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1B365D"/>
          <w:sz w:val="40"/>
        </w:rPr>
        <w:t>Automated Lithology Classification from Subsurface Well Logs Using Machine Learning</w:t>
      </w:r>
    </w:p>
    <w:p>
      <w:pPr>
        <w:spacing w:after="360"/>
      </w:pPr>
      <w:r>
        <w:rPr>
          <w:rFonts w:ascii="Arial" w:hAnsi="Arial"/>
          <w:i/>
          <w:color w:val="646464"/>
          <w:sz w:val="22"/>
        </w:rPr>
        <w:t>Final Academic Project Report | Course: SCOA032 - Subsurface Characterization &amp; Advanced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Dataset: FORCE 2020 Well Log (Well 15/9-23)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Model: Supervised Random Forest Classifier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Evaluated Test Accuracy: 96.46%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Evaluated Test Macro-F1: 0.8600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Accurate identification of subsurface rock formations (lithology) is a foundational objective in petroleum exploration, hydrogeology, and geological carbon sequestration. Traditionally, lithology determination is performed through manual interpretation of borehole geophysical logs—a laborious, subjective process prone to human cognitive fatigue.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This project established a robust, automated, end-to-end machine learning pipeline that classifies discrete rock types directly from continuous down-hole sensor measurements. Using data from North Sea Well 15/9-23, our optimized Random Forest Classifier achieved an overall test accuracy of 96.46% and a Macro-F1 score of 0.8600 across 7 geological facies categories, validated via 5-fold stratified cross-validation (0.8684 ± 0.0275).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2. Problem Statement &amp; Objectives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Manual well log interpretation lacks standardization across analysts and cannot scale to thousands of meters of borehole data. The core technical challenge involves constructing a supervised classification framework that effectively maps multi-modal physical sensor logs (operating on disparate physical units) to discrete lithology facies, while rigorously handling severe geological class imbalance.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3. Dataset Description &amp; Preprocessing Pipeline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The project utilizes subsurface well log data from the FORCE 2020 Machine Learning Benchmark Competition (Well 15/9-23). The raw dataset comprised 11,063 depth-indexed records (1,518.2 m to 3,212.6 m) across 29 sensor tracks.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Key Data Cleaning Operations:</w:t>
        <w:br/>
        <w:t>• Dead Channel Pruning: Dropped 6 completely empty (100% NaN) curves (RSHA, SGR, SP, MUDWEIGHT, RMIC, RXO).</w:t>
        <w:br/>
        <w:t>• Redundancy Elimination: Pruned collinear drilling noise (ROP, ROPA, DCAL, RMED), retaining standard deep resistivity (RDEP).</w:t>
        <w:br/>
        <w:t>• Petrophysical Coal Protection Rule: Outlier filtering strictly protected low-density intervals (RHOB &lt; 1.8 g/cm³) from deletion, preserving genuine organic coal beds and interbedded formations.</w:t>
        <w:br/>
        <w:t>• Sensor Completeness: Retaining records with complete core sensor curves (GR, RHOB, NPHI, DTC, CALI, RDEP) yielded 10,887 high-quality records (98.41% data retention) with zero missing values and zero duplicate depths.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4. Machine Learning Methodology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1. Stratified Train-Test Split (80/20): Because natural geological class imbalance exists (shale comprises ~70% of samples while chalk, coal, and tuff each comprise &lt;1%), a stratified split was enforced to ensure identical facies proportions in both sets (8,709 train / 2,178 test).</w:t>
        <w:br/>
        <w:t>2. Zero-Leakage StandardScaler: Features were normalized to zero mean and unit variance strictly using training set parameters:</w:t>
        <w:br/>
        <w:t xml:space="preserve">   - GR: Mean = 85.62 API, Std = 47.30 API</w:t>
        <w:br/>
        <w:t xml:space="preserve">   - RHOB: Mean = 2.343 g/cm³, Std = 0.166 g/cm³</w:t>
        <w:br/>
        <w:t xml:space="preserve">   - NPHI: Mean = 0.3033 v/v, Std = 0.1285 v/v</w:t>
        <w:br/>
        <w:t xml:space="preserve">   - DTC: Mean = 118.93 µs/ft, Std = 29.45 µs/ft</w:t>
        <w:br/>
        <w:t xml:space="preserve">   - CALI: Mean = 12.07 in, Std = 1.25 in</w:t>
        <w:br/>
        <w:t xml:space="preserve">   - RDEP: Mean = 1.423 ohm.m, Std = 1.447 ohm.m</w:t>
        <w:br/>
        <w:t>3. Model Architecture: A Random Forest Classifier with 150 estimators was trained to model complex non-linear rock physics interactions.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5. Performance Evaluation &amp; Validation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Evaluation on the unseen test set (2,178 records) demonstrated exceptional classification performance across all facies: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Lithology Facies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Samples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Chalk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6.0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Coal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0.53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15.0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Limestone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326.0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Marl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182.0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Sandstone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111.0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Shale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1525.0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Tuff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0.91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13.0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rFonts w:ascii="Arial" w:hAnsi="Arial"/>
                <w:b/>
                <w:sz w:val="18"/>
              </w:rPr>
              <w:t>Macro Average</w:t>
            </w:r>
          </w:p>
        </w:tc>
        <w:tc>
          <w:tcPr>
            <w:tcW w:type="dxa" w:w="1872"/>
            <w:shd w:fill="E2E8F0"/>
          </w:tcPr>
          <w:p>
            <w:r>
              <w:rPr>
                <w:rFonts w:ascii="Arial" w:hAnsi="Arial"/>
                <w:b/>
                <w:sz w:val="18"/>
              </w:rPr>
              <w:t>0.93</w:t>
            </w:r>
          </w:p>
        </w:tc>
        <w:tc>
          <w:tcPr>
            <w:tcW w:type="dxa" w:w="1872"/>
            <w:shd w:fill="E2E8F0"/>
          </w:tcPr>
          <w:p>
            <w:r>
              <w:rPr>
                <w:rFonts w:ascii="Arial" w:hAnsi="Arial"/>
                <w:b/>
                <w:sz w:val="18"/>
              </w:rPr>
              <w:t>0.81</w:t>
            </w:r>
          </w:p>
        </w:tc>
        <w:tc>
          <w:tcPr>
            <w:tcW w:type="dxa" w:w="1872"/>
            <w:shd w:fill="E2E8F0"/>
          </w:tcPr>
          <w:p>
            <w:r>
              <w:rPr>
                <w:rFonts w:ascii="Arial" w:hAnsi="Arial"/>
                <w:b/>
                <w:sz w:val="18"/>
              </w:rPr>
              <w:t>0.86</w:t>
            </w:r>
          </w:p>
        </w:tc>
        <w:tc>
          <w:tcPr>
            <w:tcW w:type="dxa" w:w="1872"/>
            <w:shd w:fill="E2E8F0"/>
          </w:tcPr>
          <w:p>
            <w:r>
              <w:rPr>
                <w:rFonts w:ascii="Arial" w:hAnsi="Arial"/>
                <w:b/>
                <w:sz w:val="18"/>
              </w:rPr>
              <w:t>2178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hAnsi="Arial"/>
          <w:b/>
          <w:color w:val="334155"/>
          <w:sz w:val="24"/>
        </w:rPr>
        <w:t>Confusion Matrix Heatmap</w:t>
      </w:r>
    </w:p>
    <w:p>
      <w:r>
        <w:drawing>
          <wp:inline xmlns:a="http://schemas.openxmlformats.org/drawingml/2006/main" xmlns:pic="http://schemas.openxmlformats.org/drawingml/2006/picture">
            <wp:extent cx="5029200" cy="391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Confusion Matrix of True vs. Predicted Facies (Test Set).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334155"/>
          <w:sz w:val="24"/>
        </w:rPr>
        <w:t>Petrophysical Feature Importances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Petrophysical Feature Importances extracted from Random Forest.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6. Down-Hole Well Log Profile Validation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To evaluate down-hole continuity, a 6-track composite well log was generated comparing model predictions to true geology across the complex reservoir interval (2,800 m to 3,200 m depth):</w:t>
      </w:r>
    </w:p>
    <w:p>
      <w:r>
        <w:drawing>
          <wp:inline xmlns:a="http://schemas.openxmlformats.org/drawingml/2006/main" xmlns:pic="http://schemas.openxmlformats.org/drawingml/2006/picture">
            <wp:extent cx="5486400" cy="4058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l_log_reservoir_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Down-Hole Petrophysical Composite Track Profile (Reservoir Section 2,800m - 3,200m).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B365D"/>
          <w:sz w:val="28"/>
        </w:rPr>
        <w:t>7. Conclusion</w:t>
      </w:r>
    </w:p>
    <w:p>
      <w:pPr>
        <w:spacing w:after="120" w:line="276" w:lineRule="auto"/>
      </w:pPr>
      <w:r>
        <w:rPr>
          <w:rFonts w:ascii="Arial" w:hAnsi="Arial"/>
          <w:color w:val="212529"/>
          <w:sz w:val="21"/>
        </w:rPr>
        <w:t>The developed machine learning pipeline demonstrates that subsurface rock facies can be classified with high precision (96.46%) directly from wireline sensor logs. Acoustic wave slowness (DTC, 33.61%) and natural gamma radiation (GR, 24.74%) were revealed as the primary physical controls governing facies discrimination in the North Sea basin.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