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b/>
          <w:color w:val="003366"/>
          <w:sz w:val="44"/>
        </w:rPr>
        <w:t>TECHNICAL REPORT: MAMMONTO BUILDING ENTERPRISE NETWORK INFRASTRUCTURE</w:t>
      </w:r>
    </w:p>
    <w:p>
      <w:pPr>
        <w:spacing w:after="480"/>
        <w:jc w:val="center"/>
      </w:pPr>
      <w:r>
        <w:rPr>
          <w:i/>
          <w:color w:val="555555"/>
          <w:sz w:val="28"/>
        </w:rPr>
        <w:t>Milestone 3 Final Architecture, Layer 2/3 Implementation, Security, &amp; Verification Portfolio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1. Executive Summary</w:t>
      </w:r>
    </w:p>
    <w:p>
      <w:r>
        <w:t>This technical report documents the design, configuration, implementation, and verification of the enterprise network infrastructure for the Mammonto Building (Taung site). The primary objective of this project is to deliver a robust, highly structured, scalable, and secure network environment capable of supporting segregated multi-departmental operations, dynamic host auto-configuration, wireless edge mobility, and centralized infrastructure management.</w:t>
      </w:r>
    </w:p>
    <w:p>
      <w:r>
        <w:t>The completed architecture utilizes an IEEE 802.1Q Router-on-a-Stick deployment model anchored by a Cisco ISR 4331 Edge Router, a Cisco Catalyst Core Switch, and a Cisco Catalyst Access Switch. Through strict VLAN isolation (VLANs 10, 20, 30, 40, and 99), centralized IOS DHCP IP address allocation, Spanning-Tree PortFast edge port optimization, and dedicated management server segregation, the Mammonto Building infrastructure achieves seamless inter-VLAN routing while enforcing strict boundary security and zero-loss end-to-end reachability.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2. Architectural &amp; Topographical Overview</w:t>
      </w:r>
    </w:p>
    <w:p>
      <w:r>
        <w:t>The Mammonto Building physical and logical topology is organized into three distinct hierarchical computing tiers: Edge Routing, Distribution/Core Switching, and Access Layer Switching.</w:t>
      </w:r>
    </w:p>
    <w:p>
      <w:pPr>
        <w:keepNext/>
        <w:spacing w:before="240" w:after="80"/>
      </w:pPr>
      <w:r>
        <w:rPr>
          <w:b/>
          <w:color w:val="005689"/>
          <w:sz w:val="26"/>
        </w:rPr>
        <w:t>Table 2.1: Master VLAN Addressing &amp; Subnet Allocation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VLAN ID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VLAN Name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Subnet CIDR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Default Gateway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Description &amp; Scope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ADMIN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10.32.10.0/24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10.32.10.1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Executive &amp; Administrative workstations</w:t>
            </w:r>
          </w:p>
        </w:tc>
      </w:tr>
      <w:tr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10.32.20.0/24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10.32.20.1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Engineering &amp; Project teams (+8 Expansion staff)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FINANCE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10.32.30.0/24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10.32.30.1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Accounting &amp; Financial records workstations</w:t>
            </w:r>
          </w:p>
        </w:tc>
      </w:tr>
      <w:tr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STAFF-WIFI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10.32.40.0/24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10.32.40.1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Wireless AP endpoints (Laptops, Tablets, Mobiles)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MANAGEMENT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10.32.99.0/24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10.32.99.1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Central Infrastructure &amp; Management Server (Static)</w:t>
            </w:r>
          </w:p>
        </w:tc>
      </w:tr>
    </w:tbl>
    <w:p/>
    <w:p>
      <w:pPr>
        <w:keepNext/>
        <w:spacing w:before="360" w:after="120"/>
      </w:pPr>
      <w:r>
        <w:rPr>
          <w:b/>
          <w:color w:val="003366"/>
          <w:sz w:val="32"/>
        </w:rPr>
        <w:t>3. Layer 2 Switching &amp; IEEE 802.1Q Trunking</w:t>
      </w:r>
    </w:p>
    <w:p>
      <w:r>
        <w:t>Layer 2 segmentation guarantees that broadcast domains are contained within individual departments, preventing broadcast storms and unauthorized sniffer access across VLAN boundaries. 802.1Q trunking is configured on all inter-switch and switch-to-router links to carry tagged frames across the backbone.</w:t>
      </w:r>
    </w:p>
    <w:p>
      <w:r>
        <w:t>• Trunk Links: Core Switch Gi0/1 (to Router Gi0/0/0) and Core Switch Gi0/2 (to Access Switch Gi0/1) operate in mode trunk, permitting VLANs 10, 20, 30, 40, and 99.</w:t>
        <w:br/>
        <w:t>• Access Ports: Switch-Access FastEthernet interfaces 0/1–3 (VLAN 20), FastEthernet 0/4–5 (VLAN 30), FastEthernet 0/6 (VLAN 40 AP01). Core Switch FastEthernet 0/3 is dedicated to Management Server (VLAN 99).</w:t>
        <w:br/>
        <w:t>• Spanning-Tree Optimization: PortFast is enabled on all access edge interfaces to immediately transition ports from blocking to forwarding mode, bypassing STP listening/learning states for immediate DHCP binding upon host boot.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4. Layer 3 Inter-VLAN Routing &amp; Dynamic DHCP Services</w:t>
      </w:r>
    </w:p>
    <w:p>
      <w:r>
        <w:t>Inter-VLAN communication is achieved through a Router-on-a-Stick architecture configured on Cisco ISR 4331 physical interface GigabitEthernet 0/0/0. Logical 802.1Q subinterfaces (Gi0/0/0.10 through Gi0/0/0.99) terminate each VLAN broadcast domain and provide default gateway services.</w:t>
      </w:r>
    </w:p>
    <w:p>
      <w:r>
        <w:t>To automate endpoint IP provisioning, Cisco IOS DHCP pools are active on the router for VLANs 10, 20, 30, and 40. Static address exclusion ranges (ip dhcp excluded-address 10.32.x.1 10.32.x.10) preserve low-ip address space for subinterface gateways and static infrastructure devices.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5. Network Security, Infrastructure Hardening, &amp; Management</w:t>
      </w:r>
    </w:p>
    <w:p>
      <w:r>
        <w:t>System security is enforced across both physical and control planes:</w:t>
        <w:br/>
        <w:t>1. Out-of-Band Management Segregation: Management Server (10.32.99.10) resides on isolated VLAN 99, preventing standard workstation access while allowing administrative monitoring.</w:t>
        <w:br/>
        <w:t>2. Port Security &amp; Unused Port Suppression: Unassigned FastEthernet ports on access and core switches are administratively shut down or placed in non-routed state to prevent unauthorized rogue device attachment.</w:t>
        <w:br/>
        <w:t>3. NVRAM Configuration Persistence: All running configurations across Router-ISR4331, Core-Switch-01, and Switch-Access are committed to NVRAM via 'write memory' to ensure zero loss upon cold boot or power disruption.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6. Comprehensive Verification, Testing Results, &amp; ICMP Logs</w:t>
      </w:r>
    </w:p>
    <w:p>
      <w:r>
        <w:t>Full verification was executed inside Cisco Packet Tracer, testing Layer 1 physical link status, Layer 2 trunking tables, Layer 3 subinterfaces, DHCP auto-leasing, and cross-subnet ICMP ping reachability.</w:t>
      </w:r>
    </w:p>
    <w:p>
      <w:pPr>
        <w:keepNext/>
        <w:spacing w:before="240" w:after="80"/>
      </w:pPr>
      <w:r>
        <w:rPr>
          <w:b/>
          <w:color w:val="005689"/>
          <w:sz w:val="26"/>
        </w:rPr>
        <w:t>Table 6.1: Comprehensive Network Test &amp; Verification Evidence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Target / Command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Source Device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Verification Objective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TEST-01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show vlan brief / trunk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Switch-Access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 (100%)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Confirms VLAN segregation (10,20,30,40,99) and 802.1Q trunking on Gi0/1.</w:t>
            </w:r>
          </w:p>
        </w:tc>
      </w:tr>
      <w:tr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TEST-02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show ip interface brief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Router-ISR4331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 (100%)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Confirms subinterfaces Gi0/0/0.10 through .99 are Status: up / Protocol: up.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TEST-03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ipconfig /all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 PC 01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 (100%)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Confirms host dynamic lease: IP 10.32.20.x, Gateway 10.32.20.1 via IOS DHCP.</w:t>
            </w:r>
          </w:p>
        </w:tc>
      </w:tr>
      <w:tr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TEST-04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ping 10.32.20.1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 PC 01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 (0% Loss)</w:t>
            </w:r>
          </w:p>
        </w:tc>
        <w:tc>
          <w:tcPr>
            <w:tcW w:type="dxa" w:w="1872"/>
            <w:shd w:val="clear" w:color="auto"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Confirms 100% ICMP reachability to local subinterface default gateway.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TEST-05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ping 10.32.99.10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 PC 01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 (0% Loss)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Confirms Inter-VLAN routing across trunk links to Management Server (10.32.99.10).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003366"/>
          <w:sz w:val="32"/>
        </w:rPr>
        <w:t>7. Conclusion &amp; Recommendation for Future Expansion</w:t>
      </w:r>
    </w:p>
    <w:p>
      <w:r>
        <w:t>The Mammonto Building enterprise network infrastructure has been fully designed, configured, visually decorated, and verified. All requirements for Milestone 3 have been successfully fulfilled. The network architecture provides complete inter-VLAN reachability, dynamic host configuration, and dedicated management security.</w:t>
      </w:r>
    </w:p>
    <w:p>
      <w:r>
        <w:t>For future expansion, it is recommended to introduce First Hop Redundancy Protocols (FHRP) such as HSRP/VRRP across dual distribution switches, alongside IEEE 802.1X port-based authentication on access switches for enhanced wireless and endpoint access control.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