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3546"/>
          <w:sz w:val="30"/>
          <w:szCs w:val="30"/>
        </w:rPr>
        <w:t xml:space="preserve">IDA117V Group Project — Contribution Statement</w:t>
      </w:r>
    </w:p>
    <w:p>
      <w:pPr>
        <w:spacing w:after="120"/>
      </w:pPr>
      <w:r>
        <w:rPr>
          <w:color w:val="444444"/>
          <w:sz w:val="19"/>
          <w:szCs w:val="19"/>
        </w:rPr>
        <w:t xml:space="preserve">Predicting Municipal Audit Outcomes · Group: Auditors · Lecturer: Dr Dan Masethe · Submission date: 20/10/2026</w:t>
      </w:r>
    </w:p>
    <w:p>
      <w:pPr>
        <w:spacing w:after="160"/>
      </w:pPr>
      <w:r>
        <w:rPr>
          <w:sz w:val="18"/>
          <w:szCs w:val="18"/>
        </w:rPr>
        <w:t xml:space="preserve">Each member's role and specific outputs, as agreed by the team, are listed below. Each member confirms their entry by signing.</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300"/>
        <w:gridCol w:w="5000"/>
        <w:gridCol w:w="2000"/>
        <w:gridCol w:w="1200"/>
      </w:tblGrid>
      <w:tr>
        <w:trPr>
          <w:tblHeader/>
        </w:trPr>
        <w:tc>
          <w:tcPr>
            <w:tcW w:type="dxa" w:w="2300"/>
            <w:tcBorders>
              <w:top w:val="single" w:color="8A93A6" w:sz="4"/>
              <w:left w:val="single" w:color="8A93A6" w:sz="4"/>
              <w:bottom w:val="single" w:color="8A93A6" w:sz="4"/>
              <w:right w:val="single" w:color="8A93A6" w:sz="4"/>
            </w:tcBorders>
            <w:shd w:fill="2E3546" w:color="auto" w:val="clear"/>
            <w:tcMar>
              <w:top w:type="dxa" w:w="50"/>
              <w:left w:type="dxa" w:w="80"/>
              <w:bottom w:type="dxa" w:w="50"/>
              <w:right w:type="dxa" w:w="80"/>
            </w:tcMar>
          </w:tcPr>
          <w:p>
            <w:r>
              <w:rPr>
                <w:rFonts w:ascii="Calibri" w:cs="Calibri" w:eastAsia="Calibri" w:hAnsi="Calibri"/>
                <w:b/>
                <w:bCs/>
                <w:color w:val="FFFFFF"/>
                <w:sz w:val="17"/>
                <w:szCs w:val="17"/>
              </w:rPr>
              <w:t xml:space="preserve">Name</w:t>
            </w:r>
          </w:p>
        </w:tc>
        <w:tc>
          <w:tcPr>
            <w:tcW w:type="dxa" w:w="1500"/>
            <w:tcBorders>
              <w:top w:val="single" w:color="8A93A6" w:sz="4"/>
              <w:left w:val="single" w:color="8A93A6" w:sz="4"/>
              <w:bottom w:val="single" w:color="8A93A6" w:sz="4"/>
              <w:right w:val="single" w:color="8A93A6" w:sz="4"/>
            </w:tcBorders>
            <w:shd w:fill="2E3546" w:color="auto" w:val="clear"/>
            <w:tcMar>
              <w:top w:type="dxa" w:w="50"/>
              <w:left w:type="dxa" w:w="80"/>
              <w:bottom w:type="dxa" w:w="50"/>
              <w:right w:type="dxa" w:w="80"/>
            </w:tcMar>
          </w:tcPr>
          <w:p>
            <w:r>
              <w:rPr>
                <w:rFonts w:ascii="Calibri" w:cs="Calibri" w:eastAsia="Calibri" w:hAnsi="Calibri"/>
                <w:b/>
                <w:bCs/>
                <w:color w:val="FFFFFF"/>
                <w:sz w:val="17"/>
                <w:szCs w:val="17"/>
              </w:rPr>
              <w:t xml:space="preserve">Student number</w:t>
            </w:r>
          </w:p>
        </w:tc>
        <w:tc>
          <w:tcPr>
            <w:tcW w:type="dxa" w:w="2300"/>
            <w:tcBorders>
              <w:top w:val="single" w:color="8A93A6" w:sz="4"/>
              <w:left w:val="single" w:color="8A93A6" w:sz="4"/>
              <w:bottom w:val="single" w:color="8A93A6" w:sz="4"/>
              <w:right w:val="single" w:color="8A93A6" w:sz="4"/>
            </w:tcBorders>
            <w:shd w:fill="2E3546" w:color="auto" w:val="clear"/>
            <w:tcMar>
              <w:top w:type="dxa" w:w="50"/>
              <w:left w:type="dxa" w:w="80"/>
              <w:bottom w:type="dxa" w:w="50"/>
              <w:right w:type="dxa" w:w="80"/>
            </w:tcMar>
          </w:tcPr>
          <w:p>
            <w:r>
              <w:rPr>
                <w:rFonts w:ascii="Calibri" w:cs="Calibri" w:eastAsia="Calibri" w:hAnsi="Calibri"/>
                <w:b/>
                <w:bCs/>
                <w:color w:val="FFFFFF"/>
                <w:sz w:val="17"/>
                <w:szCs w:val="17"/>
              </w:rPr>
              <w:t xml:space="preserve">Role</w:t>
            </w:r>
          </w:p>
        </w:tc>
        <w:tc>
          <w:tcPr>
            <w:tcW w:type="dxa" w:w="5000"/>
            <w:tcBorders>
              <w:top w:val="single" w:color="8A93A6" w:sz="4"/>
              <w:left w:val="single" w:color="8A93A6" w:sz="4"/>
              <w:bottom w:val="single" w:color="8A93A6" w:sz="4"/>
              <w:right w:val="single" w:color="8A93A6" w:sz="4"/>
            </w:tcBorders>
            <w:shd w:fill="2E3546" w:color="auto" w:val="clear"/>
            <w:tcMar>
              <w:top w:type="dxa" w:w="50"/>
              <w:left w:type="dxa" w:w="80"/>
              <w:bottom w:type="dxa" w:w="50"/>
              <w:right w:type="dxa" w:w="80"/>
            </w:tcMar>
          </w:tcPr>
          <w:p>
            <w:r>
              <w:rPr>
                <w:rFonts w:ascii="Calibri" w:cs="Calibri" w:eastAsia="Calibri" w:hAnsi="Calibri"/>
                <w:b/>
                <w:bCs/>
                <w:color w:val="FFFFFF"/>
                <w:sz w:val="17"/>
                <w:szCs w:val="17"/>
              </w:rPr>
              <w:t xml:space="preserve">Specific outputs and evidence</w:t>
            </w:r>
          </w:p>
        </w:tc>
        <w:tc>
          <w:tcPr>
            <w:tcW w:type="dxa" w:w="2000"/>
            <w:tcBorders>
              <w:top w:val="single" w:color="8A93A6" w:sz="4"/>
              <w:left w:val="single" w:color="8A93A6" w:sz="4"/>
              <w:bottom w:val="single" w:color="8A93A6" w:sz="4"/>
              <w:right w:val="single" w:color="8A93A6" w:sz="4"/>
            </w:tcBorders>
            <w:shd w:fill="2E3546" w:color="auto" w:val="clear"/>
            <w:tcMar>
              <w:top w:type="dxa" w:w="50"/>
              <w:left w:type="dxa" w:w="80"/>
              <w:bottom w:type="dxa" w:w="50"/>
              <w:right w:type="dxa" w:w="80"/>
            </w:tcMar>
          </w:tcPr>
          <w:p>
            <w:r>
              <w:rPr>
                <w:rFonts w:ascii="Calibri" w:cs="Calibri" w:eastAsia="Calibri" w:hAnsi="Calibri"/>
                <w:b/>
                <w:bCs/>
                <w:color w:val="FFFFFF"/>
                <w:sz w:val="17"/>
                <w:szCs w:val="17"/>
              </w:rPr>
              <w:t xml:space="preserve">Signature</w:t>
            </w:r>
          </w:p>
        </w:tc>
        <w:tc>
          <w:tcPr>
            <w:tcW w:type="dxa" w:w="1200"/>
            <w:tcBorders>
              <w:top w:val="single" w:color="8A93A6" w:sz="4"/>
              <w:left w:val="single" w:color="8A93A6" w:sz="4"/>
              <w:bottom w:val="single" w:color="8A93A6" w:sz="4"/>
              <w:right w:val="single" w:color="8A93A6" w:sz="4"/>
            </w:tcBorders>
            <w:shd w:fill="2E3546" w:color="auto" w:val="clear"/>
            <w:tcMar>
              <w:top w:type="dxa" w:w="50"/>
              <w:left w:type="dxa" w:w="80"/>
              <w:bottom w:type="dxa" w:w="50"/>
              <w:right w:type="dxa" w:w="80"/>
            </w:tcMar>
          </w:tcPr>
          <w:p>
            <w:r>
              <w:rPr>
                <w:rFonts w:ascii="Calibri" w:cs="Calibri" w:eastAsia="Calibri" w:hAnsi="Calibri"/>
                <w:b/>
                <w:bCs/>
                <w:color w:val="FFFFFF"/>
                <w:sz w:val="17"/>
                <w:szCs w:val="17"/>
              </w:rPr>
              <w:t xml:space="preserve">Date</w:t>
            </w:r>
          </w:p>
        </w:tc>
      </w:tr>
      <w:tr>
        <w:trPr>
          <w:trHeight w:val="640" w:hRule="atLeast"/>
        </w:trPr>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 Chaba</w:t>
            </w:r>
          </w:p>
        </w:tc>
        <w:tc>
          <w:tcPr>
            <w:tcW w:type="dxa" w:w="15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216089898</w:t>
            </w:r>
          </w:p>
        </w:tc>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Data governance and preparation (Question 2)</w:t>
            </w:r>
          </w:p>
        </w:tc>
        <w:tc>
          <w:tcPr>
            <w:tcW w:type="dxa" w:w="5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Data acquisition from the Municipal Money API and modelling dataset (src/build_modeling_dataset.py); Question 2: data audit, five EDA figures, time-based split and preprocessing pipeline (src/audit_q21_v2.py, visualize_q22_v2.py, split_q23_v2.py, pipeline_q24.py) and the Question 2 report section.</w:t>
            </w:r>
          </w:p>
        </w:tc>
        <w:tc>
          <w:tcPr>
            <w:tcW w:type="dxa" w:w="2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TC</w:t>
            </w:r>
          </w:p>
        </w:tc>
        <w:tc>
          <w:tcPr>
            <w:tcW w:type="dxa" w:w="12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20/10/2026</w:t>
            </w:r>
          </w:p>
        </w:tc>
      </w:tr>
      <w:tr>
        <w:trPr>
          <w:trHeight w:val="640" w:hRule="atLeast"/>
        </w:trPr>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 Tabohane</w:t>
            </w:r>
          </w:p>
        </w:tc>
        <w:tc>
          <w:tcPr>
            <w:tcW w:type="dxa" w:w="15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217033101</w:t>
            </w:r>
          </w:p>
        </w:tc>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Optimisation, ablation and statistical testing (Questions 5–6)</w:t>
            </w:r>
          </w:p>
        </w:tc>
        <w:tc>
          <w:tcPr>
            <w:tcW w:type="dxa" w:w="5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Question 5: Optuna optimisation of the champion and the one-time test on the 2023 year (src/optimise_q5.py); Question 6: ablation study and McNemar's test (src/ablation_mcnemar_q6.py) and the Questions 5–6 report sections.</w:t>
            </w:r>
          </w:p>
        </w:tc>
        <w:tc>
          <w:tcPr>
            <w:tcW w:type="dxa" w:w="2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RT</w:t>
            </w:r>
          </w:p>
        </w:tc>
        <w:tc>
          <w:tcPr>
            <w:tcW w:type="dxa" w:w="12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20/10/2026</w:t>
            </w:r>
          </w:p>
        </w:tc>
      </w:tr>
      <w:tr>
        <w:trPr>
          <w:trHeight w:val="640" w:hRule="atLeast"/>
        </w:trPr>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 Mabena</w:t>
            </w:r>
          </w:p>
        </w:tc>
        <w:tc>
          <w:tcPr>
            <w:tcW w:type="dxa" w:w="15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221641221</w:t>
            </w:r>
          </w:p>
        </w:tc>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Problem definition and evaluation (Questions 1 and 4)</w:t>
            </w:r>
          </w:p>
        </w:tc>
        <w:tc>
          <w:tcPr>
            <w:tcW w:type="dxa" w:w="5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Question 1: problem, stakeholder, decision and success criteria; Question 4: evaluation metrics, ROC/PR curves, walk-forward cross-validation and overfitting analysis (src/evaluate_q4.py) and the Questions 1 and 4 report sections.</w:t>
            </w:r>
          </w:p>
        </w:tc>
        <w:tc>
          <w:tcPr>
            <w:tcW w:type="dxa" w:w="2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TM</w:t>
            </w:r>
          </w:p>
        </w:tc>
        <w:tc>
          <w:tcPr>
            <w:tcW w:type="dxa" w:w="12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20/10/2026</w:t>
            </w:r>
          </w:p>
        </w:tc>
      </w:tr>
      <w:tr>
        <w:trPr>
          <w:trHeight w:val="640" w:hRule="atLeast"/>
        </w:trPr>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 Tshinavhe</w:t>
            </w:r>
          </w:p>
        </w:tc>
        <w:tc>
          <w:tcPr>
            <w:tcW w:type="dxa" w:w="15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219537948</w:t>
            </w:r>
          </w:p>
        </w:tc>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Deployment, uncertainty and recommendation (Questions 7–8)</w:t>
            </w:r>
          </w:p>
        </w:tc>
        <w:tc>
          <w:tcPr>
            <w:tcW w:type="dxa" w:w="5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Question 7: Streamlit dashboard (app/) and 2025 forecast (src/forecast_next.py); Question 8: bootstrap uncertainty, calibration, fairness, recommendation and reproducibility package (run_all.py, docs/); merged report and presentations.</w:t>
            </w:r>
          </w:p>
        </w:tc>
        <w:tc>
          <w:tcPr>
            <w:tcW w:type="dxa" w:w="2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TT</w:t>
            </w:r>
          </w:p>
        </w:tc>
        <w:tc>
          <w:tcPr>
            <w:tcW w:type="dxa" w:w="12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20/10/2026</w:t>
            </w:r>
          </w:p>
        </w:tc>
      </w:tr>
      <w:tr>
        <w:trPr>
          <w:trHeight w:val="640" w:hRule="atLeast"/>
        </w:trPr>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 Khosa</w:t>
            </w:r>
          </w:p>
        </w:tc>
        <w:tc>
          <w:tcPr>
            <w:tcW w:type="dxa" w:w="15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221335970</w:t>
            </w:r>
          </w:p>
        </w:tc>
        <w:tc>
          <w:tcPr>
            <w:tcW w:type="dxa" w:w="23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Modelling (first Question 3 run)</w:t>
            </w:r>
          </w:p>
        </w:tc>
        <w:tc>
          <w:tcPr>
            <w:tcW w:type="dxa" w:w="5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First baseline and four-model notebook and Question 3 write-up (Baseline&amp;Models.ipynb, notebooks/archive).</w:t>
            </w:r>
          </w:p>
        </w:tc>
        <w:tc>
          <w:tcPr>
            <w:tcW w:type="dxa" w:w="20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PK</w:t>
            </w:r>
          </w:p>
        </w:tc>
        <w:tc>
          <w:tcPr>
            <w:tcW w:type="dxa" w:w="1200"/>
            <w:tcBorders>
              <w:top w:val="single" w:color="8A93A6" w:sz="4"/>
              <w:left w:val="single" w:color="8A93A6" w:sz="4"/>
              <w:bottom w:val="single" w:color="8A93A6" w:sz="4"/>
              <w:right w:val="single" w:color="8A93A6"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20/10/2026</w:t>
            </w:r>
          </w:p>
        </w:tc>
      </w:tr>
    </w:tbl>
    <w:p>
      <w:pPr>
        <w:spacing w:after="80" w:before="200"/>
      </w:pPr>
      <w:r>
        <w:rPr>
          <w:sz w:val="18"/>
          <w:szCs w:val="18"/>
        </w:rPr>
        <w:t xml:space="preserve">All members confirm that they understand and can defend the complete pipeline and user interface, that every dataset, library and external source is referenced, and that the contributions above are accurate.</w:t>
      </w:r>
    </w:p>
    <w:p>
      <w:r>
        <w:rPr>
          <w:sz w:val="18"/>
          <w:szCs w:val="18"/>
        </w:rPr>
        <w:t xml:space="preserve">AI assistance: AI tools (Claude, by Anthropic) were used to assist with research, coding and drafting; the team reviewed and verified all of it.</w:t>
      </w:r>
    </w:p>
    <w:sectPr>
      <w:pgSz w:w="16838" w:h="11906" w:orient="landscape"/>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IDA117V Contribution Statement</dc:title>
  <dc:creator>IDA117V Group</dc:creator>
  <cp:lastModifiedBy>Un-named</cp:lastModifiedBy>
  <cp:revision>1</cp:revision>
  <dcterms:created xsi:type="dcterms:W3CDTF">2026-10-20T21:08:30.934Z</dcterms:created>
  <dcterms:modified xsi:type="dcterms:W3CDTF">2026-10-20T21:08:30.954Z</dcterms:modified>
</cp:coreProperties>
</file>

<file path=docProps/custom.xml><?xml version="1.0" encoding="utf-8"?>
<Properties xmlns="http://schemas.openxmlformats.org/officeDocument/2006/custom-properties" xmlns:vt="http://schemas.openxmlformats.org/officeDocument/2006/docPropsVTypes"/>
</file>