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F157C" w14:textId="77777777" w:rsidR="00C041CC" w:rsidRDefault="00000000">
      <w:pPr>
        <w:pStyle w:val="Heading1"/>
      </w:pPr>
      <w:r>
        <w:t>QUESTION 1: PROBLEM DEFINITION, SUCCESS MEASURES AND DATA JUSTIFICATION</w:t>
      </w:r>
    </w:p>
    <w:p w14:paraId="6387F536" w14:textId="77777777" w:rsidR="00C041CC" w:rsidRDefault="00000000">
      <w:pPr>
        <w:pStyle w:val="Heading2"/>
      </w:pPr>
      <w:r>
        <w:t>1.1 Service-delivery problem and classification task</w:t>
      </w:r>
    </w:p>
    <w:p w14:paraId="49BC338C" w14:textId="338B3840" w:rsidR="00747253" w:rsidRDefault="00000000" w:rsidP="00747253">
      <w:pPr>
        <w:spacing w:after="120"/>
      </w:pPr>
      <w:r>
        <w:t>Every year the Auditor-General of South Africa (AGSA) audits all 257 municipalities.</w:t>
      </w:r>
      <w:r w:rsidR="00747253">
        <w:t xml:space="preserve"> </w:t>
      </w:r>
      <w:r w:rsidR="00747253">
        <w:t>Some pass and many fail for various reasons or for not submitting their financial statements at all. The audit outcome matter for residents because poor financial management leads to unpaid municipality bills, neglected infrastructure and failing services. The problem is that audit results arrive long after the financial year has ended, so Treasury usually responds only once the damage has been done.</w:t>
      </w:r>
    </w:p>
    <w:p w14:paraId="40A309CF" w14:textId="77777777" w:rsidR="00747253" w:rsidRDefault="00747253">
      <w:pPr>
        <w:spacing w:after="120"/>
      </w:pPr>
    </w:p>
    <w:p w14:paraId="5ED55C07" w14:textId="77777777" w:rsidR="00C041CC" w:rsidRDefault="00000000">
      <w:pPr>
        <w:spacing w:after="120"/>
      </w:pPr>
      <w:r>
        <w:rPr>
          <w:b/>
          <w:bCs/>
        </w:rPr>
        <w:t>Affected population.</w:t>
      </w:r>
      <w:r>
        <w:t xml:space="preserve"> Residents of poorly governed municipalities, who bear the service failures, and the creditors and suppliers who go unpaid.</w:t>
      </w:r>
    </w:p>
    <w:p w14:paraId="3A385AED" w14:textId="77777777" w:rsidR="00C041CC" w:rsidRDefault="00000000">
      <w:pPr>
        <w:spacing w:after="120"/>
      </w:pPr>
      <w:r>
        <w:rPr>
          <w:b/>
          <w:bCs/>
        </w:rPr>
        <w:t>Decision-maker.</w:t>
      </w:r>
      <w:r>
        <w:t xml:space="preserve"> National Treasury's local government support function and the provincial treasuries, who decide each year where to send financial-management support, secondments and oversight attention.</w:t>
      </w:r>
    </w:p>
    <w:p w14:paraId="1F04FC88" w14:textId="77777777" w:rsidR="00C041CC" w:rsidRDefault="00000000">
      <w:pPr>
        <w:spacing w:after="120"/>
      </w:pPr>
      <w:r>
        <w:rPr>
          <w:b/>
          <w:bCs/>
        </w:rPr>
        <w:t>Intended benefit.</w:t>
      </w:r>
      <w:r>
        <w:t xml:space="preserve"> Earlier, evidence-based and more consistent targeting of limited support, so that struggling municipalities are reached before service delivery collapses. The model supports human judgement; it does not replace the audit or decide funding.</w:t>
      </w:r>
    </w:p>
    <w:p w14:paraId="1D58BD5B" w14:textId="77777777" w:rsidR="00C041CC" w:rsidRDefault="00000000">
      <w:pPr>
        <w:spacing w:after="120"/>
      </w:pPr>
      <w:r>
        <w:t>The problem is converted into a binary classification task as follows.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C041CC" w14:paraId="3E25FD24" w14:textId="77777777">
        <w:tblPrEx>
          <w:tblCellMar>
            <w:top w:w="0" w:type="dxa"/>
            <w:bottom w:w="0" w:type="dxa"/>
          </w:tblCellMar>
        </w:tblPrEx>
        <w:trPr>
          <w:tblHeader/>
        </w:trPr>
        <w:tc>
          <w:tcPr>
            <w:tcW w:w="2200" w:type="dxa"/>
            <w:tcBorders>
              <w:top w:val="single" w:sz="4" w:space="0" w:color="BFC6D4"/>
              <w:left w:val="single" w:sz="4" w:space="0" w:color="BFC6D4"/>
              <w:bottom w:val="single" w:sz="4" w:space="0" w:color="BFC6D4"/>
              <w:right w:val="single" w:sz="4" w:space="0" w:color="BFC6D4"/>
            </w:tcBorders>
            <w:shd w:val="clear" w:color="auto" w:fill="2E3546"/>
            <w:tcMar>
              <w:top w:w="60" w:type="dxa"/>
              <w:left w:w="90" w:type="dxa"/>
              <w:bottom w:w="60" w:type="dxa"/>
              <w:right w:w="90" w:type="dxa"/>
            </w:tcMar>
          </w:tcPr>
          <w:p w14:paraId="70651EA0" w14:textId="77777777" w:rsidR="00C041CC" w:rsidRDefault="00000000">
            <w:r>
              <w:rPr>
                <w:b/>
                <w:bCs/>
                <w:color w:val="FFFFFF"/>
                <w:sz w:val="19"/>
                <w:szCs w:val="19"/>
              </w:rPr>
              <w:t>Element</w:t>
            </w:r>
          </w:p>
        </w:tc>
        <w:tc>
          <w:tcPr>
            <w:tcW w:w="6826" w:type="dxa"/>
            <w:tcBorders>
              <w:top w:val="single" w:sz="4" w:space="0" w:color="BFC6D4"/>
              <w:left w:val="single" w:sz="4" w:space="0" w:color="BFC6D4"/>
              <w:bottom w:val="single" w:sz="4" w:space="0" w:color="BFC6D4"/>
              <w:right w:val="single" w:sz="4" w:space="0" w:color="BFC6D4"/>
            </w:tcBorders>
            <w:shd w:val="clear" w:color="auto" w:fill="2E3546"/>
            <w:tcMar>
              <w:top w:w="60" w:type="dxa"/>
              <w:left w:w="90" w:type="dxa"/>
              <w:bottom w:w="60" w:type="dxa"/>
              <w:right w:w="90" w:type="dxa"/>
            </w:tcMar>
          </w:tcPr>
          <w:p w14:paraId="7254E6C5" w14:textId="77777777" w:rsidR="00C041CC" w:rsidRDefault="00000000">
            <w:r>
              <w:rPr>
                <w:b/>
                <w:bCs/>
                <w:color w:val="FFFFFF"/>
                <w:sz w:val="19"/>
                <w:szCs w:val="19"/>
              </w:rPr>
              <w:t>Definition</w:t>
            </w:r>
          </w:p>
        </w:tc>
      </w:tr>
      <w:tr w:rsidR="00C041CC" w14:paraId="5DFC531A" w14:textId="77777777">
        <w:tblPrEx>
          <w:tblCellMar>
            <w:top w:w="0" w:type="dxa"/>
            <w:bottom w:w="0" w:type="dxa"/>
          </w:tblCellMar>
        </w:tblPrEx>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3F6FB"/>
            <w:tcMar>
              <w:top w:w="60" w:type="dxa"/>
              <w:left w:w="90" w:type="dxa"/>
              <w:bottom w:w="60" w:type="dxa"/>
              <w:right w:w="90" w:type="dxa"/>
            </w:tcMar>
          </w:tcPr>
          <w:p w14:paraId="526D255E" w14:textId="77777777" w:rsidR="00C041CC" w:rsidRDefault="00000000">
            <w:r>
              <w:rPr>
                <w:b/>
                <w:bCs/>
                <w:color w:val="000000"/>
                <w:sz w:val="19"/>
                <w:szCs w:val="19"/>
              </w:rPr>
              <w:t>Unit of prediction</w:t>
            </w:r>
          </w:p>
        </w:tc>
        <w:tc>
          <w:tcPr>
            <w:tcW w:w="6826" w:type="dxa"/>
            <w:tcBorders>
              <w:top w:val="single" w:sz="4" w:space="0" w:color="BFC6D4"/>
              <w:left w:val="single" w:sz="4" w:space="0" w:color="BFC6D4"/>
              <w:bottom w:val="single" w:sz="4" w:space="0" w:color="BFC6D4"/>
              <w:right w:val="single" w:sz="4" w:space="0" w:color="BFC6D4"/>
            </w:tcBorders>
            <w:tcMar>
              <w:top w:w="60" w:type="dxa"/>
              <w:left w:w="90" w:type="dxa"/>
              <w:bottom w:w="60" w:type="dxa"/>
              <w:right w:w="90" w:type="dxa"/>
            </w:tcMar>
          </w:tcPr>
          <w:p w14:paraId="403F7871" w14:textId="77777777" w:rsidR="00C041CC" w:rsidRDefault="00000000">
            <w:r>
              <w:rPr>
                <w:color w:val="000000"/>
                <w:sz w:val="19"/>
                <w:szCs w:val="19"/>
              </w:rPr>
              <w:t>One municipality in one financial year t (a municipality-year), identified by its Municipal Demarcation Board code.</w:t>
            </w:r>
          </w:p>
        </w:tc>
      </w:tr>
      <w:tr w:rsidR="00C041CC" w14:paraId="04DF9AC0" w14:textId="77777777">
        <w:tblPrEx>
          <w:tblCellMar>
            <w:top w:w="0" w:type="dxa"/>
            <w:bottom w:w="0" w:type="dxa"/>
          </w:tblCellMar>
        </w:tblPrEx>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3F6FB"/>
            <w:tcMar>
              <w:top w:w="60" w:type="dxa"/>
              <w:left w:w="90" w:type="dxa"/>
              <w:bottom w:w="60" w:type="dxa"/>
              <w:right w:w="90" w:type="dxa"/>
            </w:tcMar>
          </w:tcPr>
          <w:p w14:paraId="340CF44C" w14:textId="77777777" w:rsidR="00C041CC" w:rsidRDefault="00000000">
            <w:r>
              <w:rPr>
                <w:b/>
                <w:bCs/>
                <w:color w:val="000000"/>
                <w:sz w:val="19"/>
                <w:szCs w:val="19"/>
              </w:rPr>
              <w:t>Inputs</w:t>
            </w:r>
          </w:p>
        </w:tc>
        <w:tc>
          <w:tcPr>
            <w:tcW w:w="6826" w:type="dxa"/>
            <w:tcBorders>
              <w:top w:val="single" w:sz="4" w:space="0" w:color="BFC6D4"/>
              <w:left w:val="single" w:sz="4" w:space="0" w:color="BFC6D4"/>
              <w:bottom w:val="single" w:sz="4" w:space="0" w:color="BFC6D4"/>
              <w:right w:val="single" w:sz="4" w:space="0" w:color="BFC6D4"/>
            </w:tcBorders>
            <w:tcMar>
              <w:top w:w="60" w:type="dxa"/>
              <w:left w:w="90" w:type="dxa"/>
              <w:bottom w:w="60" w:type="dxa"/>
              <w:right w:w="90" w:type="dxa"/>
            </w:tcMar>
          </w:tcPr>
          <w:p w14:paraId="7004D801" w14:textId="77777777" w:rsidR="00C041CC" w:rsidRDefault="00000000">
            <w:r>
              <w:rPr>
                <w:color w:val="000000"/>
                <w:sz w:val="19"/>
                <w:szCs w:val="19"/>
              </w:rPr>
              <w:t xml:space="preserve">Nine financial indicators for year t: total revenue, total expenditure, operating surplus, cash coverage ratio, collection rate, debtor days, repairs and maintenance ratio, irregular expenditure ratio and grant dependency; </w:t>
            </w:r>
            <w:proofErr w:type="gramStart"/>
            <w:r>
              <w:rPr>
                <w:color w:val="000000"/>
                <w:sz w:val="19"/>
                <w:szCs w:val="19"/>
              </w:rPr>
              <w:t>plus</w:t>
            </w:r>
            <w:proofErr w:type="gramEnd"/>
            <w:r>
              <w:rPr>
                <w:color w:val="000000"/>
                <w:sz w:val="19"/>
                <w:szCs w:val="19"/>
              </w:rPr>
              <w:t xml:space="preserve"> the audit outcome for year t (</w:t>
            </w:r>
            <w:proofErr w:type="spellStart"/>
            <w:r>
              <w:rPr>
                <w:color w:val="000000"/>
                <w:sz w:val="19"/>
                <w:szCs w:val="19"/>
              </w:rPr>
              <w:t>at_risk</w:t>
            </w:r>
            <w:proofErr w:type="spellEnd"/>
            <w:r>
              <w:rPr>
                <w:color w:val="000000"/>
                <w:sz w:val="19"/>
                <w:szCs w:val="19"/>
              </w:rPr>
              <w:t xml:space="preserve"> or </w:t>
            </w:r>
            <w:proofErr w:type="spellStart"/>
            <w:r>
              <w:rPr>
                <w:color w:val="000000"/>
                <w:sz w:val="19"/>
                <w:szCs w:val="19"/>
              </w:rPr>
              <w:t>not_at_risk</w:t>
            </w:r>
            <w:proofErr w:type="spellEnd"/>
            <w:r>
              <w:rPr>
                <w:color w:val="000000"/>
                <w:sz w:val="19"/>
                <w:szCs w:val="19"/>
              </w:rPr>
              <w:t>).</w:t>
            </w:r>
          </w:p>
        </w:tc>
      </w:tr>
      <w:tr w:rsidR="00C041CC" w14:paraId="77BBA217" w14:textId="77777777">
        <w:tblPrEx>
          <w:tblCellMar>
            <w:top w:w="0" w:type="dxa"/>
            <w:bottom w:w="0" w:type="dxa"/>
          </w:tblCellMar>
        </w:tblPrEx>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3F6FB"/>
            <w:tcMar>
              <w:top w:w="60" w:type="dxa"/>
              <w:left w:w="90" w:type="dxa"/>
              <w:bottom w:w="60" w:type="dxa"/>
              <w:right w:w="90" w:type="dxa"/>
            </w:tcMar>
          </w:tcPr>
          <w:p w14:paraId="114058F2" w14:textId="77777777" w:rsidR="00C041CC" w:rsidRDefault="00000000">
            <w:r>
              <w:rPr>
                <w:b/>
                <w:bCs/>
                <w:color w:val="000000"/>
                <w:sz w:val="19"/>
                <w:szCs w:val="19"/>
              </w:rPr>
              <w:t>Target classes</w:t>
            </w:r>
          </w:p>
        </w:tc>
        <w:tc>
          <w:tcPr>
            <w:tcW w:w="6826" w:type="dxa"/>
            <w:tcBorders>
              <w:top w:val="single" w:sz="4" w:space="0" w:color="BFC6D4"/>
              <w:left w:val="single" w:sz="4" w:space="0" w:color="BFC6D4"/>
              <w:bottom w:val="single" w:sz="4" w:space="0" w:color="BFC6D4"/>
              <w:right w:val="single" w:sz="4" w:space="0" w:color="BFC6D4"/>
            </w:tcBorders>
            <w:tcMar>
              <w:top w:w="60" w:type="dxa"/>
              <w:left w:w="90" w:type="dxa"/>
              <w:bottom w:w="60" w:type="dxa"/>
              <w:right w:w="90" w:type="dxa"/>
            </w:tcMar>
          </w:tcPr>
          <w:p w14:paraId="6CA1014C" w14:textId="77777777" w:rsidR="00C041CC" w:rsidRDefault="00000000">
            <w:r>
              <w:rPr>
                <w:color w:val="000000"/>
                <w:sz w:val="19"/>
                <w:szCs w:val="19"/>
              </w:rPr>
              <w:t xml:space="preserve">The AGSA outcome for year t+1. </w:t>
            </w:r>
            <w:proofErr w:type="spellStart"/>
            <w:r>
              <w:rPr>
                <w:b/>
                <w:bCs/>
                <w:color w:val="000000"/>
                <w:sz w:val="19"/>
                <w:szCs w:val="19"/>
              </w:rPr>
              <w:t>at_risk</w:t>
            </w:r>
            <w:proofErr w:type="spellEnd"/>
            <w:r>
              <w:rPr>
                <w:color w:val="000000"/>
                <w:sz w:val="19"/>
                <w:szCs w:val="19"/>
              </w:rPr>
              <w:t xml:space="preserve"> = qualified, adverse, disclaimer or outstanding. </w:t>
            </w:r>
            <w:proofErr w:type="spellStart"/>
            <w:r>
              <w:rPr>
                <w:b/>
                <w:bCs/>
                <w:color w:val="000000"/>
                <w:sz w:val="19"/>
                <w:szCs w:val="19"/>
              </w:rPr>
              <w:t>not_at_risk</w:t>
            </w:r>
            <w:proofErr w:type="spellEnd"/>
            <w:r>
              <w:rPr>
                <w:color w:val="000000"/>
                <w:sz w:val="19"/>
                <w:szCs w:val="19"/>
              </w:rPr>
              <w:t xml:space="preserve"> = unqualified, with or without findings.</w:t>
            </w:r>
          </w:p>
        </w:tc>
      </w:tr>
      <w:tr w:rsidR="00C041CC" w14:paraId="2CFB565E" w14:textId="77777777">
        <w:tblPrEx>
          <w:tblCellMar>
            <w:top w:w="0" w:type="dxa"/>
            <w:bottom w:w="0" w:type="dxa"/>
          </w:tblCellMar>
        </w:tblPrEx>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3F6FB"/>
            <w:tcMar>
              <w:top w:w="60" w:type="dxa"/>
              <w:left w:w="90" w:type="dxa"/>
              <w:bottom w:w="60" w:type="dxa"/>
              <w:right w:w="90" w:type="dxa"/>
            </w:tcMar>
          </w:tcPr>
          <w:p w14:paraId="74463254" w14:textId="77777777" w:rsidR="00C041CC" w:rsidRDefault="00000000">
            <w:r>
              <w:rPr>
                <w:b/>
                <w:bCs/>
                <w:color w:val="000000"/>
                <w:sz w:val="19"/>
                <w:szCs w:val="19"/>
              </w:rPr>
              <w:t>Prediction horizon</w:t>
            </w:r>
          </w:p>
        </w:tc>
        <w:tc>
          <w:tcPr>
            <w:tcW w:w="6826" w:type="dxa"/>
            <w:tcBorders>
              <w:top w:val="single" w:sz="4" w:space="0" w:color="BFC6D4"/>
              <w:left w:val="single" w:sz="4" w:space="0" w:color="BFC6D4"/>
              <w:bottom w:val="single" w:sz="4" w:space="0" w:color="BFC6D4"/>
              <w:right w:val="single" w:sz="4" w:space="0" w:color="BFC6D4"/>
            </w:tcBorders>
            <w:tcMar>
              <w:top w:w="60" w:type="dxa"/>
              <w:left w:w="90" w:type="dxa"/>
              <w:bottom w:w="60" w:type="dxa"/>
              <w:right w:w="90" w:type="dxa"/>
            </w:tcMar>
          </w:tcPr>
          <w:p w14:paraId="4405C8F6" w14:textId="77777777" w:rsidR="00C041CC" w:rsidRDefault="00000000">
            <w:r>
              <w:rPr>
                <w:color w:val="000000"/>
                <w:sz w:val="19"/>
                <w:szCs w:val="19"/>
              </w:rPr>
              <w:t xml:space="preserve">One audit cycle. The flag can be issued as soon as the year t results </w:t>
            </w:r>
            <w:proofErr w:type="gramStart"/>
            <w:r>
              <w:rPr>
                <w:color w:val="000000"/>
                <w:sz w:val="19"/>
                <w:szCs w:val="19"/>
              </w:rPr>
              <w:t>are known,</w:t>
            </w:r>
            <w:proofErr w:type="gramEnd"/>
            <w:r>
              <w:rPr>
                <w:color w:val="000000"/>
                <w:sz w:val="19"/>
                <w:szCs w:val="19"/>
              </w:rPr>
              <w:t xml:space="preserve"> about a year before the year t+1 outcome is published.</w:t>
            </w:r>
          </w:p>
        </w:tc>
      </w:tr>
      <w:tr w:rsidR="00C041CC" w14:paraId="08F987B6" w14:textId="77777777">
        <w:tblPrEx>
          <w:tblCellMar>
            <w:top w:w="0" w:type="dxa"/>
            <w:bottom w:w="0" w:type="dxa"/>
          </w:tblCellMar>
        </w:tblPrEx>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3F6FB"/>
            <w:tcMar>
              <w:top w:w="60" w:type="dxa"/>
              <w:left w:w="90" w:type="dxa"/>
              <w:bottom w:w="60" w:type="dxa"/>
              <w:right w:w="90" w:type="dxa"/>
            </w:tcMar>
          </w:tcPr>
          <w:p w14:paraId="412D1530" w14:textId="77777777" w:rsidR="00C041CC" w:rsidRDefault="00000000">
            <w:r>
              <w:rPr>
                <w:b/>
                <w:bCs/>
                <w:color w:val="000000"/>
                <w:sz w:val="19"/>
                <w:szCs w:val="19"/>
              </w:rPr>
              <w:t>Intended decision</w:t>
            </w:r>
          </w:p>
        </w:tc>
        <w:tc>
          <w:tcPr>
            <w:tcW w:w="6826" w:type="dxa"/>
            <w:tcBorders>
              <w:top w:val="single" w:sz="4" w:space="0" w:color="BFC6D4"/>
              <w:left w:val="single" w:sz="4" w:space="0" w:color="BFC6D4"/>
              <w:bottom w:val="single" w:sz="4" w:space="0" w:color="BFC6D4"/>
              <w:right w:val="single" w:sz="4" w:space="0" w:color="BFC6D4"/>
            </w:tcBorders>
            <w:tcMar>
              <w:top w:w="60" w:type="dxa"/>
              <w:left w:w="90" w:type="dxa"/>
              <w:bottom w:w="60" w:type="dxa"/>
              <w:right w:w="90" w:type="dxa"/>
            </w:tcMar>
          </w:tcPr>
          <w:p w14:paraId="79929F63" w14:textId="77777777" w:rsidR="00C041CC" w:rsidRDefault="00000000">
            <w:r>
              <w:rPr>
                <w:color w:val="000000"/>
                <w:sz w:val="19"/>
                <w:szCs w:val="19"/>
              </w:rPr>
              <w:t>Rank municipalities by risk so that Treasury can prioritise its limited support budget and staff.</w:t>
            </w:r>
          </w:p>
        </w:tc>
      </w:tr>
    </w:tbl>
    <w:p w14:paraId="67D81693" w14:textId="77777777" w:rsidR="00C041CC" w:rsidRDefault="00000000">
      <w:pPr>
        <w:spacing w:before="60" w:after="160"/>
      </w:pPr>
      <w:r>
        <w:rPr>
          <w:i/>
          <w:iCs/>
          <w:color w:val="555555"/>
          <w:sz w:val="19"/>
          <w:szCs w:val="19"/>
        </w:rPr>
        <w:t>Table 1.1: The classification task.</w:t>
      </w:r>
    </w:p>
    <w:p w14:paraId="67E6EDDA" w14:textId="77777777" w:rsidR="00C041CC" w:rsidRDefault="00000000">
      <w:pPr>
        <w:pStyle w:val="Heading2"/>
      </w:pPr>
      <w:r>
        <w:t>1.2 Success measures and the cost of errors</w:t>
      </w:r>
    </w:p>
    <w:p w14:paraId="213FA5FB" w14:textId="77777777" w:rsidR="00C041CC" w:rsidRDefault="00000000">
      <w:pPr>
        <w:spacing w:after="120"/>
      </w:pPr>
      <w:r>
        <w:rPr>
          <w:b/>
          <w:bCs/>
        </w:rPr>
        <w:t>Primary technical metric: macro-F1.</w:t>
      </w:r>
      <w:r>
        <w:t xml:space="preserve"> It is the average of the </w:t>
      </w:r>
      <w:proofErr w:type="spellStart"/>
      <w:r>
        <w:t>at_risk</w:t>
      </w:r>
      <w:proofErr w:type="spellEnd"/>
      <w:r>
        <w:t xml:space="preserve"> and </w:t>
      </w:r>
      <w:proofErr w:type="spellStart"/>
      <w:r>
        <w:t>not_at_risk</w:t>
      </w:r>
      <w:proofErr w:type="spellEnd"/>
      <w:r>
        <w:t xml:space="preserve"> F1 scores, so both classes count equally. It is used instead of accuracy because the classes are unevenly sized (about 55/45): a model that always predicts </w:t>
      </w:r>
      <w:proofErr w:type="spellStart"/>
      <w:r>
        <w:t>not_at_risk</w:t>
      </w:r>
      <w:proofErr w:type="spellEnd"/>
      <w:r>
        <w:t xml:space="preserve"> reaches 57.8% accuracy on the 2022 validation year but a macro-F1 of only 0.366. Recall, precision, ROC-AUC and PR-AUC for the </w:t>
      </w:r>
      <w:proofErr w:type="spellStart"/>
      <w:r>
        <w:t>at_risk</w:t>
      </w:r>
      <w:proofErr w:type="spellEnd"/>
      <w:r>
        <w:t xml:space="preserve"> class are reported alongside it.</w:t>
      </w:r>
    </w:p>
    <w:p w14:paraId="21CF433C" w14:textId="77777777" w:rsidR="00C041CC" w:rsidRDefault="00000000">
      <w:pPr>
        <w:spacing w:after="60"/>
      </w:pPr>
      <w:r>
        <w:rPr>
          <w:b/>
          <w:bCs/>
        </w:rPr>
        <w:t>Service-delivery success indicators.</w:t>
      </w:r>
    </w:p>
    <w:p w14:paraId="27531F5A" w14:textId="77777777" w:rsidR="00C041CC" w:rsidRDefault="00000000">
      <w:pPr>
        <w:pStyle w:val="ListParagraph"/>
        <w:numPr>
          <w:ilvl w:val="0"/>
          <w:numId w:val="2"/>
        </w:numPr>
        <w:spacing w:after="80"/>
      </w:pPr>
      <w:r>
        <w:rPr>
          <w:b/>
          <w:bCs/>
        </w:rPr>
        <w:t>Coverage:</w:t>
      </w:r>
      <w:r>
        <w:t xml:space="preserve"> the share of municipalities that go on to receive a poor audit that had been flagged one cycle earlier (recall for </w:t>
      </w:r>
      <w:proofErr w:type="spellStart"/>
      <w:r>
        <w:t>at_risk</w:t>
      </w:r>
      <w:proofErr w:type="spellEnd"/>
      <w:r>
        <w:t>). This is the proportion of failing municipalities Treasury could have reached before the failure.</w:t>
      </w:r>
    </w:p>
    <w:p w14:paraId="3AE68F45" w14:textId="77777777" w:rsidR="00C041CC" w:rsidRDefault="00000000">
      <w:pPr>
        <w:pStyle w:val="ListParagraph"/>
        <w:numPr>
          <w:ilvl w:val="0"/>
          <w:numId w:val="2"/>
        </w:numPr>
        <w:spacing w:after="80"/>
      </w:pPr>
      <w:r>
        <w:rPr>
          <w:b/>
          <w:bCs/>
        </w:rPr>
        <w:lastRenderedPageBreak/>
        <w:t>Targeting efficiency:</w:t>
      </w:r>
      <w:r>
        <w:t xml:space="preserve"> the share of flagged municipalities that do receive a poor audit (precision for </w:t>
      </w:r>
      <w:proofErr w:type="spellStart"/>
      <w:r>
        <w:t>at_risk</w:t>
      </w:r>
      <w:proofErr w:type="spellEnd"/>
      <w:r>
        <w:t>). This shows how much of Treasury's scarce support capacity goes to municipalities in genuine need.</w:t>
      </w:r>
    </w:p>
    <w:p w14:paraId="3A132029" w14:textId="77777777" w:rsidR="00C041CC" w:rsidRDefault="00000000">
      <w:pPr>
        <w:spacing w:before="80" w:after="160"/>
      </w:pPr>
      <w:r>
        <w:t>These indicators measure whether the right municipalities are flagged. Whether the support that follows improves services can only be judged in later audit cycles, which is outside the scope of this project.</w:t>
      </w:r>
    </w:p>
    <w:p w14:paraId="0AC5936C" w14:textId="77777777" w:rsidR="00C041CC" w:rsidRDefault="00000000">
      <w:pPr>
        <w:spacing w:after="80"/>
      </w:pPr>
      <w:r>
        <w:rPr>
          <w:b/>
          <w:bCs/>
        </w:rPr>
        <w:t>Cost of errors.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900"/>
        <w:gridCol w:w="4426"/>
      </w:tblGrid>
      <w:tr w:rsidR="00C041CC" w14:paraId="5B298176" w14:textId="77777777">
        <w:tblPrEx>
          <w:tblCellMar>
            <w:top w:w="0" w:type="dxa"/>
            <w:bottom w:w="0" w:type="dxa"/>
          </w:tblCellMar>
        </w:tblPrEx>
        <w:trPr>
          <w:tblHeader/>
        </w:trPr>
        <w:tc>
          <w:tcPr>
            <w:tcW w:w="1700" w:type="dxa"/>
            <w:tcBorders>
              <w:top w:val="single" w:sz="4" w:space="0" w:color="BFC6D4"/>
              <w:left w:val="single" w:sz="4" w:space="0" w:color="BFC6D4"/>
              <w:bottom w:val="single" w:sz="4" w:space="0" w:color="BFC6D4"/>
              <w:right w:val="single" w:sz="4" w:space="0" w:color="BFC6D4"/>
            </w:tcBorders>
            <w:shd w:val="clear" w:color="auto" w:fill="2E3546"/>
            <w:tcMar>
              <w:top w:w="60" w:type="dxa"/>
              <w:left w:w="90" w:type="dxa"/>
              <w:bottom w:w="60" w:type="dxa"/>
              <w:right w:w="90" w:type="dxa"/>
            </w:tcMar>
          </w:tcPr>
          <w:p w14:paraId="58B5577F" w14:textId="77777777" w:rsidR="00C041CC" w:rsidRDefault="00000000">
            <w:r>
              <w:rPr>
                <w:b/>
                <w:bCs/>
                <w:color w:val="FFFFFF"/>
                <w:sz w:val="19"/>
                <w:szCs w:val="19"/>
              </w:rPr>
              <w:t>Error</w:t>
            </w:r>
          </w:p>
        </w:tc>
        <w:tc>
          <w:tcPr>
            <w:tcW w:w="2900" w:type="dxa"/>
            <w:tcBorders>
              <w:top w:val="single" w:sz="4" w:space="0" w:color="BFC6D4"/>
              <w:left w:val="single" w:sz="4" w:space="0" w:color="BFC6D4"/>
              <w:bottom w:val="single" w:sz="4" w:space="0" w:color="BFC6D4"/>
              <w:right w:val="single" w:sz="4" w:space="0" w:color="BFC6D4"/>
            </w:tcBorders>
            <w:shd w:val="clear" w:color="auto" w:fill="2E3546"/>
            <w:tcMar>
              <w:top w:w="60" w:type="dxa"/>
              <w:left w:w="90" w:type="dxa"/>
              <w:bottom w:w="60" w:type="dxa"/>
              <w:right w:w="90" w:type="dxa"/>
            </w:tcMar>
          </w:tcPr>
          <w:p w14:paraId="3FEA84FE" w14:textId="77777777" w:rsidR="00C041CC" w:rsidRDefault="00000000">
            <w:r>
              <w:rPr>
                <w:b/>
                <w:bCs/>
                <w:color w:val="FFFFFF"/>
                <w:sz w:val="19"/>
                <w:szCs w:val="19"/>
              </w:rPr>
              <w:t>What happens</w:t>
            </w:r>
          </w:p>
        </w:tc>
        <w:tc>
          <w:tcPr>
            <w:tcW w:w="4426" w:type="dxa"/>
            <w:tcBorders>
              <w:top w:val="single" w:sz="4" w:space="0" w:color="BFC6D4"/>
              <w:left w:val="single" w:sz="4" w:space="0" w:color="BFC6D4"/>
              <w:bottom w:val="single" w:sz="4" w:space="0" w:color="BFC6D4"/>
              <w:right w:val="single" w:sz="4" w:space="0" w:color="BFC6D4"/>
            </w:tcBorders>
            <w:shd w:val="clear" w:color="auto" w:fill="2E3546"/>
            <w:tcMar>
              <w:top w:w="60" w:type="dxa"/>
              <w:left w:w="90" w:type="dxa"/>
              <w:bottom w:w="60" w:type="dxa"/>
              <w:right w:w="90" w:type="dxa"/>
            </w:tcMar>
          </w:tcPr>
          <w:p w14:paraId="22FCE6A8" w14:textId="77777777" w:rsidR="00C041CC" w:rsidRDefault="00000000">
            <w:r>
              <w:rPr>
                <w:b/>
                <w:bCs/>
                <w:color w:val="FFFFFF"/>
                <w:sz w:val="19"/>
                <w:szCs w:val="19"/>
              </w:rPr>
              <w:t>Cost</w:t>
            </w:r>
          </w:p>
        </w:tc>
      </w:tr>
      <w:tr w:rsidR="00C041CC" w14:paraId="06D2AD44" w14:textId="77777777">
        <w:tblPrEx>
          <w:tblCellMar>
            <w:top w:w="0" w:type="dxa"/>
            <w:bottom w:w="0" w:type="dxa"/>
          </w:tblCellMar>
        </w:tblPrEx>
        <w:trPr>
          <w:cantSplit/>
        </w:trPr>
        <w:tc>
          <w:tcPr>
            <w:tcW w:w="1700" w:type="dxa"/>
            <w:tcBorders>
              <w:top w:val="single" w:sz="4" w:space="0" w:color="BFC6D4"/>
              <w:left w:val="single" w:sz="4" w:space="0" w:color="BFC6D4"/>
              <w:bottom w:val="single" w:sz="4" w:space="0" w:color="BFC6D4"/>
              <w:right w:val="single" w:sz="4" w:space="0" w:color="BFC6D4"/>
            </w:tcBorders>
            <w:shd w:val="clear" w:color="auto" w:fill="F3F6FB"/>
            <w:tcMar>
              <w:top w:w="60" w:type="dxa"/>
              <w:left w:w="90" w:type="dxa"/>
              <w:bottom w:w="60" w:type="dxa"/>
              <w:right w:w="90" w:type="dxa"/>
            </w:tcMar>
          </w:tcPr>
          <w:p w14:paraId="6258822D" w14:textId="77777777" w:rsidR="00C041CC" w:rsidRDefault="00000000">
            <w:r>
              <w:rPr>
                <w:b/>
                <w:bCs/>
                <w:color w:val="000000"/>
                <w:sz w:val="19"/>
                <w:szCs w:val="19"/>
              </w:rPr>
              <w:t>False negative</w:t>
            </w:r>
          </w:p>
        </w:tc>
        <w:tc>
          <w:tcPr>
            <w:tcW w:w="2900" w:type="dxa"/>
            <w:tcBorders>
              <w:top w:val="single" w:sz="4" w:space="0" w:color="BFC6D4"/>
              <w:left w:val="single" w:sz="4" w:space="0" w:color="BFC6D4"/>
              <w:bottom w:val="single" w:sz="4" w:space="0" w:color="BFC6D4"/>
              <w:right w:val="single" w:sz="4" w:space="0" w:color="BFC6D4"/>
            </w:tcBorders>
            <w:tcMar>
              <w:top w:w="60" w:type="dxa"/>
              <w:left w:w="90" w:type="dxa"/>
              <w:bottom w:w="60" w:type="dxa"/>
              <w:right w:w="90" w:type="dxa"/>
            </w:tcMar>
          </w:tcPr>
          <w:p w14:paraId="7886F147" w14:textId="77777777" w:rsidR="00C041CC" w:rsidRDefault="00000000">
            <w:r>
              <w:rPr>
                <w:color w:val="000000"/>
                <w:sz w:val="19"/>
                <w:szCs w:val="19"/>
              </w:rPr>
              <w:t>A municipality that will fail is not flagged.</w:t>
            </w:r>
          </w:p>
        </w:tc>
        <w:tc>
          <w:tcPr>
            <w:tcW w:w="4426" w:type="dxa"/>
            <w:tcBorders>
              <w:top w:val="single" w:sz="4" w:space="0" w:color="BFC6D4"/>
              <w:left w:val="single" w:sz="4" w:space="0" w:color="BFC6D4"/>
              <w:bottom w:val="single" w:sz="4" w:space="0" w:color="BFC6D4"/>
              <w:right w:val="single" w:sz="4" w:space="0" w:color="BFC6D4"/>
            </w:tcBorders>
            <w:tcMar>
              <w:top w:w="60" w:type="dxa"/>
              <w:left w:w="90" w:type="dxa"/>
              <w:bottom w:w="60" w:type="dxa"/>
              <w:right w:w="90" w:type="dxa"/>
            </w:tcMar>
          </w:tcPr>
          <w:p w14:paraId="6BE33770" w14:textId="77777777" w:rsidR="00C041CC" w:rsidRDefault="00000000">
            <w:r>
              <w:rPr>
                <w:color w:val="000000"/>
                <w:sz w:val="19"/>
                <w:szCs w:val="19"/>
              </w:rPr>
              <w:t>Support arrives late or not at all. Unpaid creditors, service breakdowns and irregular spending continue for another year, and residents bear the cost.</w:t>
            </w:r>
          </w:p>
        </w:tc>
      </w:tr>
      <w:tr w:rsidR="00C041CC" w14:paraId="7F45369A" w14:textId="77777777">
        <w:tblPrEx>
          <w:tblCellMar>
            <w:top w:w="0" w:type="dxa"/>
            <w:bottom w:w="0" w:type="dxa"/>
          </w:tblCellMar>
        </w:tblPrEx>
        <w:trPr>
          <w:cantSplit/>
        </w:trPr>
        <w:tc>
          <w:tcPr>
            <w:tcW w:w="1700" w:type="dxa"/>
            <w:tcBorders>
              <w:top w:val="single" w:sz="4" w:space="0" w:color="BFC6D4"/>
              <w:left w:val="single" w:sz="4" w:space="0" w:color="BFC6D4"/>
              <w:bottom w:val="single" w:sz="4" w:space="0" w:color="BFC6D4"/>
              <w:right w:val="single" w:sz="4" w:space="0" w:color="BFC6D4"/>
            </w:tcBorders>
            <w:shd w:val="clear" w:color="auto" w:fill="F3F6FB"/>
            <w:tcMar>
              <w:top w:w="60" w:type="dxa"/>
              <w:left w:w="90" w:type="dxa"/>
              <w:bottom w:w="60" w:type="dxa"/>
              <w:right w:w="90" w:type="dxa"/>
            </w:tcMar>
          </w:tcPr>
          <w:p w14:paraId="5B4DBAA1" w14:textId="77777777" w:rsidR="00C041CC" w:rsidRDefault="00000000">
            <w:r>
              <w:rPr>
                <w:b/>
                <w:bCs/>
                <w:color w:val="000000"/>
                <w:sz w:val="19"/>
                <w:szCs w:val="19"/>
              </w:rPr>
              <w:t>False positive</w:t>
            </w:r>
          </w:p>
        </w:tc>
        <w:tc>
          <w:tcPr>
            <w:tcW w:w="2900" w:type="dxa"/>
            <w:tcBorders>
              <w:top w:val="single" w:sz="4" w:space="0" w:color="BFC6D4"/>
              <w:left w:val="single" w:sz="4" w:space="0" w:color="BFC6D4"/>
              <w:bottom w:val="single" w:sz="4" w:space="0" w:color="BFC6D4"/>
              <w:right w:val="single" w:sz="4" w:space="0" w:color="BFC6D4"/>
            </w:tcBorders>
            <w:tcMar>
              <w:top w:w="60" w:type="dxa"/>
              <w:left w:w="90" w:type="dxa"/>
              <w:bottom w:w="60" w:type="dxa"/>
              <w:right w:w="90" w:type="dxa"/>
            </w:tcMar>
          </w:tcPr>
          <w:p w14:paraId="4FFDA3C7" w14:textId="77777777" w:rsidR="00C041CC" w:rsidRDefault="00000000">
            <w:r>
              <w:rPr>
                <w:color w:val="000000"/>
                <w:sz w:val="19"/>
                <w:szCs w:val="19"/>
              </w:rPr>
              <w:t>A municipality that will pass is flagged.</w:t>
            </w:r>
          </w:p>
        </w:tc>
        <w:tc>
          <w:tcPr>
            <w:tcW w:w="4426" w:type="dxa"/>
            <w:tcBorders>
              <w:top w:val="single" w:sz="4" w:space="0" w:color="BFC6D4"/>
              <w:left w:val="single" w:sz="4" w:space="0" w:color="BFC6D4"/>
              <w:bottom w:val="single" w:sz="4" w:space="0" w:color="BFC6D4"/>
              <w:right w:val="single" w:sz="4" w:space="0" w:color="BFC6D4"/>
            </w:tcBorders>
            <w:tcMar>
              <w:top w:w="60" w:type="dxa"/>
              <w:left w:w="90" w:type="dxa"/>
              <w:bottom w:w="60" w:type="dxa"/>
              <w:right w:w="90" w:type="dxa"/>
            </w:tcMar>
          </w:tcPr>
          <w:p w14:paraId="5080FBB5" w14:textId="77777777" w:rsidR="00C041CC" w:rsidRDefault="00000000">
            <w:r>
              <w:rPr>
                <w:color w:val="000000"/>
                <w:sz w:val="19"/>
                <w:szCs w:val="19"/>
              </w:rPr>
              <w:t>An unnecessary visit or secondment that uses scarce Treasury capacity that another municipality needed, and reputational harm if the flag is read as a verdict.</w:t>
            </w:r>
          </w:p>
        </w:tc>
      </w:tr>
    </w:tbl>
    <w:p w14:paraId="1D4CA8B6" w14:textId="77777777" w:rsidR="00C041CC" w:rsidRDefault="00000000">
      <w:pPr>
        <w:spacing w:before="60" w:after="160"/>
      </w:pPr>
      <w:r>
        <w:rPr>
          <w:i/>
          <w:iCs/>
          <w:color w:val="555555"/>
          <w:sz w:val="19"/>
          <w:szCs w:val="19"/>
        </w:rPr>
        <w:t>Table 1.2: Cost of the two error types.</w:t>
      </w:r>
    </w:p>
    <w:p w14:paraId="20F0FDD9" w14:textId="77777777" w:rsidR="00C041CC" w:rsidRDefault="00000000">
      <w:pPr>
        <w:spacing w:after="120"/>
      </w:pPr>
      <w:r>
        <w:t>A false negative is the more costly error. A flag is only a request to look closer and offer support, which is cheap and reversible, whereas a missed failure is not, so recall matters most. Support capacity is limited, however, so precision cannot be ignored. This is why a balanced metric (macro-F1) is the primary measure and both indicators are monitored.</w:t>
      </w:r>
    </w:p>
    <w:p w14:paraId="58473C5B" w14:textId="77777777" w:rsidR="00C041CC" w:rsidRDefault="00000000">
      <w:pPr>
        <w:pStyle w:val="Heading2"/>
      </w:pPr>
      <w:r>
        <w:t>1.3 Dataset justification, risks and safeguards</w:t>
      </w:r>
    </w:p>
    <w:p w14:paraId="3FE356AF" w14:textId="77777777" w:rsidR="00C041CC" w:rsidRDefault="00000000">
      <w:pPr>
        <w:spacing w:after="120"/>
      </w:pPr>
      <w:r>
        <w:t xml:space="preserve">The data is </w:t>
      </w:r>
      <w:r>
        <w:rPr>
          <w:b/>
          <w:bCs/>
        </w:rPr>
        <w:t>Municipal Money, Municipal Finance Data</w:t>
      </w:r>
      <w:r>
        <w:t>, published by National Treasury.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C041CC" w14:paraId="62FCFD66" w14:textId="77777777">
        <w:tblPrEx>
          <w:tblCellMar>
            <w:top w:w="0" w:type="dxa"/>
            <w:bottom w:w="0" w:type="dxa"/>
          </w:tblCellMar>
        </w:tblPrEx>
        <w:trPr>
          <w:tblHeader/>
        </w:trPr>
        <w:tc>
          <w:tcPr>
            <w:tcW w:w="1700" w:type="dxa"/>
            <w:tcBorders>
              <w:top w:val="single" w:sz="4" w:space="0" w:color="BFC6D4"/>
              <w:left w:val="single" w:sz="4" w:space="0" w:color="BFC6D4"/>
              <w:bottom w:val="single" w:sz="4" w:space="0" w:color="BFC6D4"/>
              <w:right w:val="single" w:sz="4" w:space="0" w:color="BFC6D4"/>
            </w:tcBorders>
            <w:shd w:val="clear" w:color="auto" w:fill="2E3546"/>
            <w:tcMar>
              <w:top w:w="60" w:type="dxa"/>
              <w:left w:w="90" w:type="dxa"/>
              <w:bottom w:w="60" w:type="dxa"/>
              <w:right w:w="90" w:type="dxa"/>
            </w:tcMar>
          </w:tcPr>
          <w:p w14:paraId="0F81596F" w14:textId="77777777" w:rsidR="00C041CC" w:rsidRDefault="00000000">
            <w:r>
              <w:rPr>
                <w:b/>
                <w:bCs/>
                <w:color w:val="FFFFFF"/>
                <w:sz w:val="19"/>
                <w:szCs w:val="19"/>
              </w:rPr>
              <w:t>Field</w:t>
            </w:r>
          </w:p>
        </w:tc>
        <w:tc>
          <w:tcPr>
            <w:tcW w:w="7326" w:type="dxa"/>
            <w:tcBorders>
              <w:top w:val="single" w:sz="4" w:space="0" w:color="BFC6D4"/>
              <w:left w:val="single" w:sz="4" w:space="0" w:color="BFC6D4"/>
              <w:bottom w:val="single" w:sz="4" w:space="0" w:color="BFC6D4"/>
              <w:right w:val="single" w:sz="4" w:space="0" w:color="BFC6D4"/>
            </w:tcBorders>
            <w:shd w:val="clear" w:color="auto" w:fill="2E3546"/>
            <w:tcMar>
              <w:top w:w="60" w:type="dxa"/>
              <w:left w:w="90" w:type="dxa"/>
              <w:bottom w:w="60" w:type="dxa"/>
              <w:right w:w="90" w:type="dxa"/>
            </w:tcMar>
          </w:tcPr>
          <w:p w14:paraId="7050B357" w14:textId="77777777" w:rsidR="00C041CC" w:rsidRDefault="00000000">
            <w:r>
              <w:rPr>
                <w:b/>
                <w:bCs/>
                <w:color w:val="FFFFFF"/>
                <w:sz w:val="19"/>
                <w:szCs w:val="19"/>
              </w:rPr>
              <w:t>Entry</w:t>
            </w:r>
          </w:p>
        </w:tc>
      </w:tr>
      <w:tr w:rsidR="00C041CC" w14:paraId="32A82321" w14:textId="77777777">
        <w:tblPrEx>
          <w:tblCellMar>
            <w:top w:w="0" w:type="dxa"/>
            <w:bottom w:w="0" w:type="dxa"/>
          </w:tblCellMar>
        </w:tblPrEx>
        <w:tc>
          <w:tcPr>
            <w:tcW w:w="1700" w:type="dxa"/>
            <w:tcBorders>
              <w:top w:val="single" w:sz="4" w:space="0" w:color="BFC6D4"/>
              <w:left w:val="single" w:sz="4" w:space="0" w:color="BFC6D4"/>
              <w:bottom w:val="single" w:sz="4" w:space="0" w:color="BFC6D4"/>
              <w:right w:val="single" w:sz="4" w:space="0" w:color="BFC6D4"/>
            </w:tcBorders>
            <w:shd w:val="clear" w:color="auto" w:fill="F3F6FB"/>
            <w:tcMar>
              <w:top w:w="60" w:type="dxa"/>
              <w:left w:w="90" w:type="dxa"/>
              <w:bottom w:w="60" w:type="dxa"/>
              <w:right w:w="90" w:type="dxa"/>
            </w:tcMar>
          </w:tcPr>
          <w:p w14:paraId="1E92285E" w14:textId="77777777" w:rsidR="00C041CC" w:rsidRDefault="00000000">
            <w:r>
              <w:rPr>
                <w:b/>
                <w:bCs/>
                <w:color w:val="000000"/>
                <w:sz w:val="19"/>
                <w:szCs w:val="19"/>
              </w:rPr>
              <w:t>Relevance</w:t>
            </w:r>
          </w:p>
        </w:tc>
        <w:tc>
          <w:tcPr>
            <w:tcW w:w="7326" w:type="dxa"/>
            <w:tcBorders>
              <w:top w:val="single" w:sz="4" w:space="0" w:color="BFC6D4"/>
              <w:left w:val="single" w:sz="4" w:space="0" w:color="BFC6D4"/>
              <w:bottom w:val="single" w:sz="4" w:space="0" w:color="BFC6D4"/>
              <w:right w:val="single" w:sz="4" w:space="0" w:color="BFC6D4"/>
            </w:tcBorders>
            <w:tcMar>
              <w:top w:w="60" w:type="dxa"/>
              <w:left w:w="90" w:type="dxa"/>
              <w:bottom w:w="60" w:type="dxa"/>
              <w:right w:w="90" w:type="dxa"/>
            </w:tcMar>
          </w:tcPr>
          <w:p w14:paraId="682370B8" w14:textId="77777777" w:rsidR="00C041CC" w:rsidRDefault="00000000">
            <w:r>
              <w:rPr>
                <w:color w:val="000000"/>
                <w:sz w:val="19"/>
                <w:szCs w:val="19"/>
              </w:rPr>
              <w:t>An official, municipality-level source of audited financial statements and AGSA audit opinions. The target is published directly, so no hand-labelling is needed, and the indicators are the kind Treasury and AGSA use to judge financial health. No personal data is needed.</w:t>
            </w:r>
          </w:p>
        </w:tc>
      </w:tr>
      <w:tr w:rsidR="00C041CC" w14:paraId="1DBE7489" w14:textId="77777777">
        <w:tblPrEx>
          <w:tblCellMar>
            <w:top w:w="0" w:type="dxa"/>
            <w:bottom w:w="0" w:type="dxa"/>
          </w:tblCellMar>
        </w:tblPrEx>
        <w:tc>
          <w:tcPr>
            <w:tcW w:w="1700" w:type="dxa"/>
            <w:tcBorders>
              <w:top w:val="single" w:sz="4" w:space="0" w:color="BFC6D4"/>
              <w:left w:val="single" w:sz="4" w:space="0" w:color="BFC6D4"/>
              <w:bottom w:val="single" w:sz="4" w:space="0" w:color="BFC6D4"/>
              <w:right w:val="single" w:sz="4" w:space="0" w:color="BFC6D4"/>
            </w:tcBorders>
            <w:shd w:val="clear" w:color="auto" w:fill="F3F6FB"/>
            <w:tcMar>
              <w:top w:w="60" w:type="dxa"/>
              <w:left w:w="90" w:type="dxa"/>
              <w:bottom w:w="60" w:type="dxa"/>
              <w:right w:w="90" w:type="dxa"/>
            </w:tcMar>
          </w:tcPr>
          <w:p w14:paraId="77586C1F" w14:textId="77777777" w:rsidR="00C041CC" w:rsidRDefault="00000000">
            <w:r>
              <w:rPr>
                <w:b/>
                <w:bCs/>
                <w:color w:val="000000"/>
                <w:sz w:val="19"/>
                <w:szCs w:val="19"/>
              </w:rPr>
              <w:t>Provenance</w:t>
            </w:r>
          </w:p>
        </w:tc>
        <w:tc>
          <w:tcPr>
            <w:tcW w:w="7326" w:type="dxa"/>
            <w:tcBorders>
              <w:top w:val="single" w:sz="4" w:space="0" w:color="BFC6D4"/>
              <w:left w:val="single" w:sz="4" w:space="0" w:color="BFC6D4"/>
              <w:bottom w:val="single" w:sz="4" w:space="0" w:color="BFC6D4"/>
              <w:right w:val="single" w:sz="4" w:space="0" w:color="BFC6D4"/>
            </w:tcBorders>
            <w:tcMar>
              <w:top w:w="60" w:type="dxa"/>
              <w:left w:w="90" w:type="dxa"/>
              <w:bottom w:w="60" w:type="dxa"/>
              <w:right w:w="90" w:type="dxa"/>
            </w:tcMar>
          </w:tcPr>
          <w:p w14:paraId="1638D7E0" w14:textId="7496F4B2" w:rsidR="00C041CC" w:rsidRDefault="00000000">
            <w:r>
              <w:rPr>
                <w:color w:val="000000"/>
                <w:sz w:val="19"/>
                <w:szCs w:val="19"/>
              </w:rPr>
              <w:t xml:space="preserve">Owner: National Treasury, Republic of South Africa (platform run with </w:t>
            </w:r>
            <w:proofErr w:type="spellStart"/>
            <w:r>
              <w:rPr>
                <w:color w:val="000000"/>
                <w:sz w:val="19"/>
                <w:szCs w:val="19"/>
              </w:rPr>
              <w:t>OpenUp</w:t>
            </w:r>
            <w:proofErr w:type="spellEnd"/>
            <w:r>
              <w:rPr>
                <w:color w:val="000000"/>
                <w:sz w:val="19"/>
                <w:szCs w:val="19"/>
              </w:rPr>
              <w:t xml:space="preserve">). Financial data are MFMA section 71 submissions signed off by each municipal manager and CFO ("audited actual" amounts); audit opinions come from AGSA reports. The extracts were downloaded through the public API and committed to the project repository (data/raw). </w:t>
            </w:r>
          </w:p>
        </w:tc>
      </w:tr>
      <w:tr w:rsidR="00C041CC" w14:paraId="7EF97784" w14:textId="77777777">
        <w:tblPrEx>
          <w:tblCellMar>
            <w:top w:w="0" w:type="dxa"/>
            <w:bottom w:w="0" w:type="dxa"/>
          </w:tblCellMar>
        </w:tblPrEx>
        <w:tc>
          <w:tcPr>
            <w:tcW w:w="1700" w:type="dxa"/>
            <w:tcBorders>
              <w:top w:val="single" w:sz="4" w:space="0" w:color="BFC6D4"/>
              <w:left w:val="single" w:sz="4" w:space="0" w:color="BFC6D4"/>
              <w:bottom w:val="single" w:sz="4" w:space="0" w:color="BFC6D4"/>
              <w:right w:val="single" w:sz="4" w:space="0" w:color="BFC6D4"/>
            </w:tcBorders>
            <w:shd w:val="clear" w:color="auto" w:fill="F3F6FB"/>
            <w:tcMar>
              <w:top w:w="60" w:type="dxa"/>
              <w:left w:w="90" w:type="dxa"/>
              <w:bottom w:w="60" w:type="dxa"/>
              <w:right w:w="90" w:type="dxa"/>
            </w:tcMar>
          </w:tcPr>
          <w:p w14:paraId="2E895C2D" w14:textId="77777777" w:rsidR="00C041CC" w:rsidRDefault="00000000">
            <w:r>
              <w:rPr>
                <w:b/>
                <w:bCs/>
                <w:color w:val="000000"/>
                <w:sz w:val="19"/>
                <w:szCs w:val="19"/>
              </w:rPr>
              <w:t>Licence</w:t>
            </w:r>
          </w:p>
        </w:tc>
        <w:tc>
          <w:tcPr>
            <w:tcW w:w="7326" w:type="dxa"/>
            <w:tcBorders>
              <w:top w:val="single" w:sz="4" w:space="0" w:color="BFC6D4"/>
              <w:left w:val="single" w:sz="4" w:space="0" w:color="BFC6D4"/>
              <w:bottom w:val="single" w:sz="4" w:space="0" w:color="BFC6D4"/>
              <w:right w:val="single" w:sz="4" w:space="0" w:color="BFC6D4"/>
            </w:tcBorders>
            <w:tcMar>
              <w:top w:w="60" w:type="dxa"/>
              <w:left w:w="90" w:type="dxa"/>
              <w:bottom w:w="60" w:type="dxa"/>
              <w:right w:w="90" w:type="dxa"/>
            </w:tcMar>
          </w:tcPr>
          <w:p w14:paraId="66A1EADC" w14:textId="77777777" w:rsidR="00C041CC" w:rsidRDefault="00000000">
            <w:pPr>
              <w:spacing w:after="60"/>
            </w:pPr>
            <w:r>
              <w:rPr>
                <w:color w:val="000000"/>
                <w:sz w:val="19"/>
                <w:szCs w:val="19"/>
              </w:rPr>
              <w:t>Terms of Use (municipaldata.treasury.gov.za/terms, which now redirects to municipalmoney.gov.za/terms): the data may be used for commercial and non-commercial purposes at no cost, including copying, publishing and distributing it.</w:t>
            </w:r>
          </w:p>
          <w:p w14:paraId="6CBBE2D2" w14:textId="77777777" w:rsidR="00C041CC" w:rsidRDefault="00000000">
            <w:r>
              <w:rPr>
                <w:color w:val="000000"/>
                <w:sz w:val="19"/>
                <w:szCs w:val="19"/>
              </w:rPr>
              <w:t>Conditions: acknowledge National Treasury and the date of publication; do not mislead; do not imply that Treasury endorses our analysis; do not use any personal data. There is no warranty of accuracy. The extracts can therefore be redistributed in the repository with attribution.</w:t>
            </w:r>
          </w:p>
        </w:tc>
      </w:tr>
      <w:tr w:rsidR="00C041CC" w14:paraId="3C5208D4" w14:textId="77777777">
        <w:tblPrEx>
          <w:tblCellMar>
            <w:top w:w="0" w:type="dxa"/>
            <w:bottom w:w="0" w:type="dxa"/>
          </w:tblCellMar>
        </w:tblPrEx>
        <w:tc>
          <w:tcPr>
            <w:tcW w:w="1700" w:type="dxa"/>
            <w:tcBorders>
              <w:top w:val="single" w:sz="4" w:space="0" w:color="BFC6D4"/>
              <w:left w:val="single" w:sz="4" w:space="0" w:color="BFC6D4"/>
              <w:bottom w:val="single" w:sz="4" w:space="0" w:color="BFC6D4"/>
              <w:right w:val="single" w:sz="4" w:space="0" w:color="BFC6D4"/>
            </w:tcBorders>
            <w:shd w:val="clear" w:color="auto" w:fill="F3F6FB"/>
            <w:tcMar>
              <w:top w:w="60" w:type="dxa"/>
              <w:left w:w="90" w:type="dxa"/>
              <w:bottom w:w="60" w:type="dxa"/>
              <w:right w:w="90" w:type="dxa"/>
            </w:tcMar>
          </w:tcPr>
          <w:p w14:paraId="436AEC14" w14:textId="77777777" w:rsidR="00C041CC" w:rsidRDefault="00000000">
            <w:r>
              <w:rPr>
                <w:b/>
                <w:bCs/>
                <w:color w:val="000000"/>
                <w:sz w:val="19"/>
                <w:szCs w:val="19"/>
              </w:rPr>
              <w:t>Coverage</w:t>
            </w:r>
          </w:p>
        </w:tc>
        <w:tc>
          <w:tcPr>
            <w:tcW w:w="7326" w:type="dxa"/>
            <w:tcBorders>
              <w:top w:val="single" w:sz="4" w:space="0" w:color="BFC6D4"/>
              <w:left w:val="single" w:sz="4" w:space="0" w:color="BFC6D4"/>
              <w:bottom w:val="single" w:sz="4" w:space="0" w:color="BFC6D4"/>
              <w:right w:val="single" w:sz="4" w:space="0" w:color="BFC6D4"/>
            </w:tcBorders>
            <w:tcMar>
              <w:top w:w="60" w:type="dxa"/>
              <w:left w:w="90" w:type="dxa"/>
              <w:bottom w:w="60" w:type="dxa"/>
              <w:right w:w="90" w:type="dxa"/>
            </w:tcMar>
          </w:tcPr>
          <w:p w14:paraId="77EF8F1B" w14:textId="77777777" w:rsidR="00C041CC" w:rsidRDefault="00000000">
            <w:r>
              <w:rPr>
                <w:color w:val="000000"/>
                <w:sz w:val="19"/>
                <w:szCs w:val="19"/>
              </w:rPr>
              <w:t xml:space="preserve">257 municipalities today (292 including disestablished ones). Audit opinions 2011–2024; financial datasets 2018–2025 (debtors from 2020, repairs and maintenance from 2019, grants from 2020 for 182 municipalities). Modelling set: 1,434 labelled municipality-years (feature years 2018–2023, target years 2019–2024), 54.5% </w:t>
            </w:r>
            <w:proofErr w:type="spellStart"/>
            <w:r>
              <w:rPr>
                <w:color w:val="000000"/>
                <w:sz w:val="19"/>
                <w:szCs w:val="19"/>
              </w:rPr>
              <w:t>not_at_risk</w:t>
            </w:r>
            <w:proofErr w:type="spellEnd"/>
            <w:r>
              <w:rPr>
                <w:color w:val="000000"/>
                <w:sz w:val="19"/>
                <w:szCs w:val="19"/>
              </w:rPr>
              <w:t xml:space="preserve"> and 45.5% </w:t>
            </w:r>
            <w:proofErr w:type="spellStart"/>
            <w:r>
              <w:rPr>
                <w:color w:val="000000"/>
                <w:sz w:val="19"/>
                <w:szCs w:val="19"/>
              </w:rPr>
              <w:t>at_risk</w:t>
            </w:r>
            <w:proofErr w:type="spellEnd"/>
            <w:r>
              <w:rPr>
                <w:color w:val="000000"/>
                <w:sz w:val="19"/>
                <w:szCs w:val="19"/>
              </w:rPr>
              <w:t>, plus 245 rows for 2024 used to forecast the 2025 audit.</w:t>
            </w:r>
          </w:p>
        </w:tc>
      </w:tr>
      <w:tr w:rsidR="00C041CC" w14:paraId="17AE3023" w14:textId="77777777">
        <w:tblPrEx>
          <w:tblCellMar>
            <w:top w:w="0" w:type="dxa"/>
            <w:bottom w:w="0" w:type="dxa"/>
          </w:tblCellMar>
        </w:tblPrEx>
        <w:tc>
          <w:tcPr>
            <w:tcW w:w="1700" w:type="dxa"/>
            <w:tcBorders>
              <w:top w:val="single" w:sz="4" w:space="0" w:color="BFC6D4"/>
              <w:left w:val="single" w:sz="4" w:space="0" w:color="BFC6D4"/>
              <w:bottom w:val="single" w:sz="4" w:space="0" w:color="BFC6D4"/>
              <w:right w:val="single" w:sz="4" w:space="0" w:color="BFC6D4"/>
            </w:tcBorders>
            <w:shd w:val="clear" w:color="auto" w:fill="F3F6FB"/>
            <w:tcMar>
              <w:top w:w="60" w:type="dxa"/>
              <w:left w:w="90" w:type="dxa"/>
              <w:bottom w:w="60" w:type="dxa"/>
              <w:right w:w="90" w:type="dxa"/>
            </w:tcMar>
          </w:tcPr>
          <w:p w14:paraId="322976F9" w14:textId="77777777" w:rsidR="00C041CC" w:rsidRDefault="00000000">
            <w:r>
              <w:rPr>
                <w:b/>
                <w:bCs/>
                <w:color w:val="000000"/>
                <w:sz w:val="19"/>
                <w:szCs w:val="19"/>
              </w:rPr>
              <w:t>Limitations</w:t>
            </w:r>
          </w:p>
        </w:tc>
        <w:tc>
          <w:tcPr>
            <w:tcW w:w="7326" w:type="dxa"/>
            <w:tcBorders>
              <w:top w:val="single" w:sz="4" w:space="0" w:color="BFC6D4"/>
              <w:left w:val="single" w:sz="4" w:space="0" w:color="BFC6D4"/>
              <w:bottom w:val="single" w:sz="4" w:space="0" w:color="BFC6D4"/>
              <w:right w:val="single" w:sz="4" w:space="0" w:color="BFC6D4"/>
            </w:tcBorders>
            <w:tcMar>
              <w:top w:w="60" w:type="dxa"/>
              <w:left w:w="90" w:type="dxa"/>
              <w:bottom w:w="60" w:type="dxa"/>
              <w:right w:w="90" w:type="dxa"/>
            </w:tcMar>
          </w:tcPr>
          <w:p w14:paraId="7BC5ECA5" w14:textId="77777777" w:rsidR="00C041CC" w:rsidRDefault="00000000">
            <w:pPr>
              <w:spacing w:after="60"/>
            </w:pPr>
            <w:r>
              <w:rPr>
                <w:color w:val="000000"/>
                <w:sz w:val="19"/>
                <w:szCs w:val="19"/>
              </w:rPr>
              <w:t>1. Figures are only as reliable as each municipality's submission; some are implausible (for example cash coverage of −23.7 months) and are kept as reported.</w:t>
            </w:r>
          </w:p>
          <w:p w14:paraId="73146D00" w14:textId="77777777" w:rsidR="00C041CC" w:rsidRDefault="00000000">
            <w:pPr>
              <w:spacing w:after="60"/>
            </w:pPr>
            <w:r>
              <w:rPr>
                <w:color w:val="000000"/>
                <w:sz w:val="19"/>
                <w:szCs w:val="19"/>
              </w:rPr>
              <w:t>2. Missing items are recorded as 0: debtor days are 0 before 2020 and repairs and maintenance before 2019.</w:t>
            </w:r>
          </w:p>
          <w:p w14:paraId="71A68AF7" w14:textId="77777777" w:rsidR="00C041CC" w:rsidRDefault="00000000">
            <w:pPr>
              <w:spacing w:after="60"/>
            </w:pPr>
            <w:r>
              <w:rPr>
                <w:color w:val="000000"/>
                <w:sz w:val="19"/>
                <w:szCs w:val="19"/>
              </w:rPr>
              <w:t>3. The grants extract appears truncated (100,000 rows, 182 municipalities), so grant dependency is incomplete.</w:t>
            </w:r>
          </w:p>
          <w:p w14:paraId="1D2E0A36" w14:textId="77777777" w:rsidR="00C041CC" w:rsidRDefault="00000000">
            <w:pPr>
              <w:spacing w:after="60"/>
            </w:pPr>
            <w:r>
              <w:rPr>
                <w:color w:val="000000"/>
                <w:sz w:val="19"/>
                <w:szCs w:val="19"/>
              </w:rPr>
              <w:lastRenderedPageBreak/>
              <w:t>4. The 2019-20 change in the chart of accounts (</w:t>
            </w:r>
            <w:proofErr w:type="spellStart"/>
            <w:r>
              <w:rPr>
                <w:color w:val="000000"/>
                <w:sz w:val="19"/>
                <w:szCs w:val="19"/>
              </w:rPr>
              <w:t>mSCOA</w:t>
            </w:r>
            <w:proofErr w:type="spellEnd"/>
            <w:r>
              <w:rPr>
                <w:color w:val="000000"/>
                <w:sz w:val="19"/>
                <w:szCs w:val="19"/>
              </w:rPr>
              <w:t>) and boundary changes alter line items and municipalities over time.</w:t>
            </w:r>
          </w:p>
          <w:p w14:paraId="0A4A836D" w14:textId="77777777" w:rsidR="00C041CC" w:rsidRDefault="00000000">
            <w:pPr>
              <w:spacing w:after="60"/>
            </w:pPr>
            <w:r>
              <w:rPr>
                <w:color w:val="000000"/>
                <w:sz w:val="19"/>
                <w:szCs w:val="19"/>
              </w:rPr>
              <w:t>5. Municipalities that do not submit statements are the highest-risk group but have the least data.</w:t>
            </w:r>
          </w:p>
          <w:p w14:paraId="67A09CD9" w14:textId="77777777" w:rsidR="00C041CC" w:rsidRDefault="00000000">
            <w:r>
              <w:rPr>
                <w:color w:val="000000"/>
                <w:sz w:val="19"/>
                <w:szCs w:val="19"/>
              </w:rPr>
              <w:t>6. Only six feature years are available, so the sample is small (1,434 rows).</w:t>
            </w:r>
          </w:p>
        </w:tc>
      </w:tr>
    </w:tbl>
    <w:p w14:paraId="1079797F" w14:textId="77777777" w:rsidR="00C041CC" w:rsidRDefault="00000000">
      <w:pPr>
        <w:spacing w:before="60" w:after="160"/>
      </w:pPr>
      <w:r>
        <w:rPr>
          <w:i/>
          <w:iCs/>
          <w:color w:val="555555"/>
          <w:sz w:val="19"/>
          <w:szCs w:val="19"/>
        </w:rPr>
        <w:lastRenderedPageBreak/>
        <w:t>Table 1.3: Dataset card summary.</w:t>
      </w:r>
    </w:p>
    <w:p w14:paraId="1F36BB41" w14:textId="77777777" w:rsidR="00C041CC" w:rsidRDefault="00000000">
      <w:pPr>
        <w:spacing w:before="120" w:after="100"/>
      </w:pPr>
      <w:r>
        <w:t>The table below lists the POPIA, privacy, fairness and misuse risks that apply to this project and the safeguards we propose.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300"/>
        <w:gridCol w:w="4026"/>
      </w:tblGrid>
      <w:tr w:rsidR="00C041CC" w14:paraId="64612045" w14:textId="77777777">
        <w:tblPrEx>
          <w:tblCellMar>
            <w:top w:w="0" w:type="dxa"/>
            <w:bottom w:w="0" w:type="dxa"/>
          </w:tblCellMar>
        </w:tblPrEx>
        <w:trPr>
          <w:tblHeader/>
        </w:trPr>
        <w:tc>
          <w:tcPr>
            <w:tcW w:w="1700" w:type="dxa"/>
            <w:tcBorders>
              <w:top w:val="single" w:sz="4" w:space="0" w:color="BFC6D4"/>
              <w:left w:val="single" w:sz="4" w:space="0" w:color="BFC6D4"/>
              <w:bottom w:val="single" w:sz="4" w:space="0" w:color="BFC6D4"/>
              <w:right w:val="single" w:sz="4" w:space="0" w:color="BFC6D4"/>
            </w:tcBorders>
            <w:shd w:val="clear" w:color="auto" w:fill="2E3546"/>
            <w:tcMar>
              <w:top w:w="60" w:type="dxa"/>
              <w:left w:w="90" w:type="dxa"/>
              <w:bottom w:w="60" w:type="dxa"/>
              <w:right w:w="90" w:type="dxa"/>
            </w:tcMar>
          </w:tcPr>
          <w:p w14:paraId="11BA7659" w14:textId="77777777" w:rsidR="00C041CC" w:rsidRDefault="00000000">
            <w:r>
              <w:rPr>
                <w:b/>
                <w:bCs/>
                <w:color w:val="FFFFFF"/>
                <w:sz w:val="19"/>
                <w:szCs w:val="19"/>
              </w:rPr>
              <w:t>Risk</w:t>
            </w:r>
          </w:p>
        </w:tc>
        <w:tc>
          <w:tcPr>
            <w:tcW w:w="3300" w:type="dxa"/>
            <w:tcBorders>
              <w:top w:val="single" w:sz="4" w:space="0" w:color="BFC6D4"/>
              <w:left w:val="single" w:sz="4" w:space="0" w:color="BFC6D4"/>
              <w:bottom w:val="single" w:sz="4" w:space="0" w:color="BFC6D4"/>
              <w:right w:val="single" w:sz="4" w:space="0" w:color="BFC6D4"/>
            </w:tcBorders>
            <w:shd w:val="clear" w:color="auto" w:fill="2E3546"/>
            <w:tcMar>
              <w:top w:w="60" w:type="dxa"/>
              <w:left w:w="90" w:type="dxa"/>
              <w:bottom w:w="60" w:type="dxa"/>
              <w:right w:w="90" w:type="dxa"/>
            </w:tcMar>
          </w:tcPr>
          <w:p w14:paraId="395ADD9E" w14:textId="77777777" w:rsidR="00C041CC" w:rsidRDefault="00000000">
            <w:r>
              <w:rPr>
                <w:b/>
                <w:bCs/>
                <w:color w:val="FFFFFF"/>
                <w:sz w:val="19"/>
                <w:szCs w:val="19"/>
              </w:rPr>
              <w:t>Why it matters here</w:t>
            </w:r>
          </w:p>
        </w:tc>
        <w:tc>
          <w:tcPr>
            <w:tcW w:w="4026" w:type="dxa"/>
            <w:tcBorders>
              <w:top w:val="single" w:sz="4" w:space="0" w:color="BFC6D4"/>
              <w:left w:val="single" w:sz="4" w:space="0" w:color="BFC6D4"/>
              <w:bottom w:val="single" w:sz="4" w:space="0" w:color="BFC6D4"/>
              <w:right w:val="single" w:sz="4" w:space="0" w:color="BFC6D4"/>
            </w:tcBorders>
            <w:shd w:val="clear" w:color="auto" w:fill="2E3546"/>
            <w:tcMar>
              <w:top w:w="60" w:type="dxa"/>
              <w:left w:w="90" w:type="dxa"/>
              <w:bottom w:w="60" w:type="dxa"/>
              <w:right w:w="90" w:type="dxa"/>
            </w:tcMar>
          </w:tcPr>
          <w:p w14:paraId="6DF4D375" w14:textId="77777777" w:rsidR="00C041CC" w:rsidRDefault="00000000">
            <w:r>
              <w:rPr>
                <w:b/>
                <w:bCs/>
                <w:color w:val="FFFFFF"/>
                <w:sz w:val="19"/>
                <w:szCs w:val="19"/>
              </w:rPr>
              <w:t>Safeguard</w:t>
            </w:r>
          </w:p>
        </w:tc>
      </w:tr>
      <w:tr w:rsidR="00C041CC" w14:paraId="24DD16A9" w14:textId="77777777">
        <w:tblPrEx>
          <w:tblCellMar>
            <w:top w:w="0" w:type="dxa"/>
            <w:bottom w:w="0" w:type="dxa"/>
          </w:tblCellMar>
        </w:tblPrEx>
        <w:trPr>
          <w:cantSplit/>
        </w:trPr>
        <w:tc>
          <w:tcPr>
            <w:tcW w:w="1700" w:type="dxa"/>
            <w:tcBorders>
              <w:top w:val="single" w:sz="4" w:space="0" w:color="BFC6D4"/>
              <w:left w:val="single" w:sz="4" w:space="0" w:color="BFC6D4"/>
              <w:bottom w:val="single" w:sz="4" w:space="0" w:color="BFC6D4"/>
              <w:right w:val="single" w:sz="4" w:space="0" w:color="BFC6D4"/>
            </w:tcBorders>
            <w:shd w:val="clear" w:color="auto" w:fill="F3F6FB"/>
            <w:tcMar>
              <w:top w:w="60" w:type="dxa"/>
              <w:left w:w="90" w:type="dxa"/>
              <w:bottom w:w="60" w:type="dxa"/>
              <w:right w:w="90" w:type="dxa"/>
            </w:tcMar>
          </w:tcPr>
          <w:p w14:paraId="7D1FDF23" w14:textId="77777777" w:rsidR="00C041CC" w:rsidRDefault="00000000">
            <w:r>
              <w:rPr>
                <w:b/>
                <w:bCs/>
                <w:color w:val="000000"/>
                <w:sz w:val="19"/>
                <w:szCs w:val="19"/>
              </w:rPr>
              <w:t>POPIA and privacy</w:t>
            </w:r>
          </w:p>
        </w:tc>
        <w:tc>
          <w:tcPr>
            <w:tcW w:w="3300" w:type="dxa"/>
            <w:tcBorders>
              <w:top w:val="single" w:sz="4" w:space="0" w:color="BFC6D4"/>
              <w:left w:val="single" w:sz="4" w:space="0" w:color="BFC6D4"/>
              <w:bottom w:val="single" w:sz="4" w:space="0" w:color="BFC6D4"/>
              <w:right w:val="single" w:sz="4" w:space="0" w:color="BFC6D4"/>
            </w:tcBorders>
            <w:tcMar>
              <w:top w:w="60" w:type="dxa"/>
              <w:left w:w="90" w:type="dxa"/>
              <w:bottom w:w="60" w:type="dxa"/>
              <w:right w:w="90" w:type="dxa"/>
            </w:tcMar>
          </w:tcPr>
          <w:p w14:paraId="4AC04D61" w14:textId="77777777" w:rsidR="00C041CC" w:rsidRDefault="00000000">
            <w:r>
              <w:rPr>
                <w:color w:val="000000"/>
                <w:sz w:val="19"/>
                <w:szCs w:val="19"/>
              </w:rPr>
              <w:t>POPIA protects personal information. The Municipal Officials dataset lists named staff with emails and phone numbers. Municipal finances are public records, but they still describe identifiable public bodies.</w:t>
            </w:r>
          </w:p>
        </w:tc>
        <w:tc>
          <w:tcPr>
            <w:tcW w:w="4026" w:type="dxa"/>
            <w:tcBorders>
              <w:top w:val="single" w:sz="4" w:space="0" w:color="BFC6D4"/>
              <w:left w:val="single" w:sz="4" w:space="0" w:color="BFC6D4"/>
              <w:bottom w:val="single" w:sz="4" w:space="0" w:color="BFC6D4"/>
              <w:right w:val="single" w:sz="4" w:space="0" w:color="BFC6D4"/>
            </w:tcBorders>
            <w:tcMar>
              <w:top w:w="60" w:type="dxa"/>
              <w:left w:w="90" w:type="dxa"/>
              <w:bottom w:w="60" w:type="dxa"/>
              <w:right w:w="90" w:type="dxa"/>
            </w:tcMar>
          </w:tcPr>
          <w:p w14:paraId="4E657241" w14:textId="77777777" w:rsidR="00C041CC" w:rsidRDefault="00000000">
            <w:r>
              <w:rPr>
                <w:color w:val="000000"/>
                <w:sz w:val="19"/>
                <w:szCs w:val="19"/>
              </w:rPr>
              <w:t>Officials and all contact fields were excluded at download; the nine raw extracts contain no staff names, emails or phone numbers; no linking to other sources; the app needs no credentials and stores no personal data; uploads are limited to 500 rows of the financial columns only.</w:t>
            </w:r>
          </w:p>
        </w:tc>
      </w:tr>
      <w:tr w:rsidR="00C041CC" w14:paraId="40A63FD4" w14:textId="77777777">
        <w:tblPrEx>
          <w:tblCellMar>
            <w:top w:w="0" w:type="dxa"/>
            <w:bottom w:w="0" w:type="dxa"/>
          </w:tblCellMar>
        </w:tblPrEx>
        <w:trPr>
          <w:cantSplit/>
        </w:trPr>
        <w:tc>
          <w:tcPr>
            <w:tcW w:w="1700" w:type="dxa"/>
            <w:tcBorders>
              <w:top w:val="single" w:sz="4" w:space="0" w:color="BFC6D4"/>
              <w:left w:val="single" w:sz="4" w:space="0" w:color="BFC6D4"/>
              <w:bottom w:val="single" w:sz="4" w:space="0" w:color="BFC6D4"/>
              <w:right w:val="single" w:sz="4" w:space="0" w:color="BFC6D4"/>
            </w:tcBorders>
            <w:shd w:val="clear" w:color="auto" w:fill="F3F6FB"/>
            <w:tcMar>
              <w:top w:w="60" w:type="dxa"/>
              <w:left w:w="90" w:type="dxa"/>
              <w:bottom w:w="60" w:type="dxa"/>
              <w:right w:w="90" w:type="dxa"/>
            </w:tcMar>
          </w:tcPr>
          <w:p w14:paraId="50BB0C36" w14:textId="77777777" w:rsidR="00C041CC" w:rsidRDefault="00000000">
            <w:r>
              <w:rPr>
                <w:b/>
                <w:bCs/>
                <w:color w:val="000000"/>
                <w:sz w:val="19"/>
                <w:szCs w:val="19"/>
              </w:rPr>
              <w:t>Fairness</w:t>
            </w:r>
          </w:p>
        </w:tc>
        <w:tc>
          <w:tcPr>
            <w:tcW w:w="3300" w:type="dxa"/>
            <w:tcBorders>
              <w:top w:val="single" w:sz="4" w:space="0" w:color="BFC6D4"/>
              <w:left w:val="single" w:sz="4" w:space="0" w:color="BFC6D4"/>
              <w:bottom w:val="single" w:sz="4" w:space="0" w:color="BFC6D4"/>
              <w:right w:val="single" w:sz="4" w:space="0" w:color="BFC6D4"/>
            </w:tcBorders>
            <w:tcMar>
              <w:top w:w="60" w:type="dxa"/>
              <w:left w:w="90" w:type="dxa"/>
              <w:bottom w:w="60" w:type="dxa"/>
              <w:right w:w="90" w:type="dxa"/>
            </w:tcMar>
          </w:tcPr>
          <w:p w14:paraId="32D06403" w14:textId="77777777" w:rsidR="00C041CC" w:rsidRDefault="00000000">
            <w:r>
              <w:rPr>
                <w:color w:val="000000"/>
                <w:sz w:val="19"/>
                <w:szCs w:val="19"/>
              </w:rPr>
              <w:t>Province and municipality type are proxies for rurality and poverty, and the audit history carries past failure forward, so some groups may be flagged wrongly more often.</w:t>
            </w:r>
          </w:p>
        </w:tc>
        <w:tc>
          <w:tcPr>
            <w:tcW w:w="4026" w:type="dxa"/>
            <w:tcBorders>
              <w:top w:val="single" w:sz="4" w:space="0" w:color="BFC6D4"/>
              <w:left w:val="single" w:sz="4" w:space="0" w:color="BFC6D4"/>
              <w:bottom w:val="single" w:sz="4" w:space="0" w:color="BFC6D4"/>
              <w:right w:val="single" w:sz="4" w:space="0" w:color="BFC6D4"/>
            </w:tcBorders>
            <w:tcMar>
              <w:top w:w="60" w:type="dxa"/>
              <w:left w:w="90" w:type="dxa"/>
              <w:bottom w:w="60" w:type="dxa"/>
              <w:right w:w="90" w:type="dxa"/>
            </w:tcMar>
          </w:tcPr>
          <w:p w14:paraId="7F998C3F" w14:textId="77777777" w:rsidR="00C041CC" w:rsidRDefault="00000000">
            <w:r>
              <w:rPr>
                <w:color w:val="000000"/>
                <w:sz w:val="19"/>
                <w:szCs w:val="19"/>
              </w:rPr>
              <w:t>Province and type are not model inputs. Recall and false-positive rate are reported by province and type (Q8.1 found, for example, a 28.6% false-alarm rate in the Northern Cape and 70.0% recall in Limpopo). Flagged lists are reviewed by province before support is allocated.</w:t>
            </w:r>
          </w:p>
        </w:tc>
      </w:tr>
      <w:tr w:rsidR="00C041CC" w14:paraId="18E13792" w14:textId="77777777">
        <w:tblPrEx>
          <w:tblCellMar>
            <w:top w:w="0" w:type="dxa"/>
            <w:bottom w:w="0" w:type="dxa"/>
          </w:tblCellMar>
        </w:tblPrEx>
        <w:trPr>
          <w:cantSplit/>
        </w:trPr>
        <w:tc>
          <w:tcPr>
            <w:tcW w:w="1700" w:type="dxa"/>
            <w:tcBorders>
              <w:top w:val="single" w:sz="4" w:space="0" w:color="BFC6D4"/>
              <w:left w:val="single" w:sz="4" w:space="0" w:color="BFC6D4"/>
              <w:bottom w:val="single" w:sz="4" w:space="0" w:color="BFC6D4"/>
              <w:right w:val="single" w:sz="4" w:space="0" w:color="BFC6D4"/>
            </w:tcBorders>
            <w:shd w:val="clear" w:color="auto" w:fill="F3F6FB"/>
            <w:tcMar>
              <w:top w:w="60" w:type="dxa"/>
              <w:left w:w="90" w:type="dxa"/>
              <w:bottom w:w="60" w:type="dxa"/>
              <w:right w:w="90" w:type="dxa"/>
            </w:tcMar>
          </w:tcPr>
          <w:p w14:paraId="44EB7411" w14:textId="77777777" w:rsidR="00C041CC" w:rsidRDefault="00000000">
            <w:r>
              <w:rPr>
                <w:b/>
                <w:bCs/>
                <w:color w:val="000000"/>
                <w:sz w:val="19"/>
                <w:szCs w:val="19"/>
              </w:rPr>
              <w:t>Misuse: punishment</w:t>
            </w:r>
          </w:p>
        </w:tc>
        <w:tc>
          <w:tcPr>
            <w:tcW w:w="3300" w:type="dxa"/>
            <w:tcBorders>
              <w:top w:val="single" w:sz="4" w:space="0" w:color="BFC6D4"/>
              <w:left w:val="single" w:sz="4" w:space="0" w:color="BFC6D4"/>
              <w:bottom w:val="single" w:sz="4" w:space="0" w:color="BFC6D4"/>
              <w:right w:val="single" w:sz="4" w:space="0" w:color="BFC6D4"/>
            </w:tcBorders>
            <w:tcMar>
              <w:top w:w="60" w:type="dxa"/>
              <w:left w:w="90" w:type="dxa"/>
              <w:bottom w:w="60" w:type="dxa"/>
              <w:right w:w="90" w:type="dxa"/>
            </w:tcMar>
          </w:tcPr>
          <w:p w14:paraId="17D09807" w14:textId="77777777" w:rsidR="00C041CC" w:rsidRDefault="00000000">
            <w:r>
              <w:rPr>
                <w:color w:val="000000"/>
                <w:sz w:val="19"/>
                <w:szCs w:val="19"/>
              </w:rPr>
              <w:t>A flag could be used to cut funding, publish league tables or judge officials.</w:t>
            </w:r>
          </w:p>
        </w:tc>
        <w:tc>
          <w:tcPr>
            <w:tcW w:w="4026" w:type="dxa"/>
            <w:tcBorders>
              <w:top w:val="single" w:sz="4" w:space="0" w:color="BFC6D4"/>
              <w:left w:val="single" w:sz="4" w:space="0" w:color="BFC6D4"/>
              <w:bottom w:val="single" w:sz="4" w:space="0" w:color="BFC6D4"/>
              <w:right w:val="single" w:sz="4" w:space="0" w:color="BFC6D4"/>
            </w:tcBorders>
            <w:tcMar>
              <w:top w:w="60" w:type="dxa"/>
              <w:left w:w="90" w:type="dxa"/>
              <w:bottom w:w="60" w:type="dxa"/>
              <w:right w:w="90" w:type="dxa"/>
            </w:tcMar>
          </w:tcPr>
          <w:p w14:paraId="386514F1" w14:textId="77777777" w:rsidR="00C041CC" w:rsidRDefault="00000000">
            <w:r>
              <w:rPr>
                <w:color w:val="000000"/>
                <w:sz w:val="19"/>
                <w:szCs w:val="19"/>
              </w:rPr>
              <w:t>Decision support only: a flag means "look closer and offer support". No automatic allocation of funds. The app carries a responsible-use notice and a list of when not to use the model.</w:t>
            </w:r>
          </w:p>
        </w:tc>
      </w:tr>
      <w:tr w:rsidR="00C041CC" w14:paraId="3B901F98" w14:textId="77777777">
        <w:tblPrEx>
          <w:tblCellMar>
            <w:top w:w="0" w:type="dxa"/>
            <w:bottom w:w="0" w:type="dxa"/>
          </w:tblCellMar>
        </w:tblPrEx>
        <w:trPr>
          <w:cantSplit/>
        </w:trPr>
        <w:tc>
          <w:tcPr>
            <w:tcW w:w="1700" w:type="dxa"/>
            <w:tcBorders>
              <w:top w:val="single" w:sz="4" w:space="0" w:color="BFC6D4"/>
              <w:left w:val="single" w:sz="4" w:space="0" w:color="BFC6D4"/>
              <w:bottom w:val="single" w:sz="4" w:space="0" w:color="BFC6D4"/>
              <w:right w:val="single" w:sz="4" w:space="0" w:color="BFC6D4"/>
            </w:tcBorders>
            <w:shd w:val="clear" w:color="auto" w:fill="F3F6FB"/>
            <w:tcMar>
              <w:top w:w="60" w:type="dxa"/>
              <w:left w:w="90" w:type="dxa"/>
              <w:bottom w:w="60" w:type="dxa"/>
              <w:right w:w="90" w:type="dxa"/>
            </w:tcMar>
          </w:tcPr>
          <w:p w14:paraId="131DA399" w14:textId="77777777" w:rsidR="00C041CC" w:rsidRDefault="00000000">
            <w:r>
              <w:rPr>
                <w:b/>
                <w:bCs/>
                <w:color w:val="000000"/>
                <w:sz w:val="19"/>
                <w:szCs w:val="19"/>
              </w:rPr>
              <w:t>Misuse: false reassurance</w:t>
            </w:r>
          </w:p>
        </w:tc>
        <w:tc>
          <w:tcPr>
            <w:tcW w:w="3300" w:type="dxa"/>
            <w:tcBorders>
              <w:top w:val="single" w:sz="4" w:space="0" w:color="BFC6D4"/>
              <w:left w:val="single" w:sz="4" w:space="0" w:color="BFC6D4"/>
              <w:bottom w:val="single" w:sz="4" w:space="0" w:color="BFC6D4"/>
              <w:right w:val="single" w:sz="4" w:space="0" w:color="BFC6D4"/>
            </w:tcBorders>
            <w:tcMar>
              <w:top w:w="60" w:type="dxa"/>
              <w:left w:w="90" w:type="dxa"/>
              <w:bottom w:w="60" w:type="dxa"/>
              <w:right w:w="90" w:type="dxa"/>
            </w:tcMar>
          </w:tcPr>
          <w:p w14:paraId="7319E9F6" w14:textId="77777777" w:rsidR="00C041CC" w:rsidRDefault="00000000">
            <w:r>
              <w:rPr>
                <w:color w:val="000000"/>
                <w:sz w:val="19"/>
                <w:szCs w:val="19"/>
              </w:rPr>
              <w:t>On the 2023 test year the model's yes/no predictions are almost identical to "repeat last year's outcome" (they differ for one municipality, Q5.3), so it adds little for a municipality that deteriorates after a clean audit.</w:t>
            </w:r>
          </w:p>
        </w:tc>
        <w:tc>
          <w:tcPr>
            <w:tcW w:w="4026" w:type="dxa"/>
            <w:tcBorders>
              <w:top w:val="single" w:sz="4" w:space="0" w:color="BFC6D4"/>
              <w:left w:val="single" w:sz="4" w:space="0" w:color="BFC6D4"/>
              <w:bottom w:val="single" w:sz="4" w:space="0" w:color="BFC6D4"/>
              <w:right w:val="single" w:sz="4" w:space="0" w:color="BFC6D4"/>
            </w:tcBorders>
            <w:tcMar>
              <w:top w:w="60" w:type="dxa"/>
              <w:left w:w="90" w:type="dxa"/>
              <w:bottom w:w="60" w:type="dxa"/>
              <w:right w:w="90" w:type="dxa"/>
            </w:tcMar>
          </w:tcPr>
          <w:p w14:paraId="44318A36" w14:textId="77777777" w:rsidR="00C041CC" w:rsidRDefault="00000000">
            <w:r>
              <w:rPr>
                <w:color w:val="000000"/>
                <w:sz w:val="19"/>
                <w:szCs w:val="19"/>
              </w:rPr>
              <w:t>State this limitation wherever results are shown; do not treat "not at risk" as safe; re-check the model against the published AGSA outcomes every year.</w:t>
            </w:r>
          </w:p>
        </w:tc>
      </w:tr>
      <w:tr w:rsidR="00C041CC" w14:paraId="0BB08E00" w14:textId="77777777">
        <w:tblPrEx>
          <w:tblCellMar>
            <w:top w:w="0" w:type="dxa"/>
            <w:bottom w:w="0" w:type="dxa"/>
          </w:tblCellMar>
        </w:tblPrEx>
        <w:trPr>
          <w:cantSplit/>
        </w:trPr>
        <w:tc>
          <w:tcPr>
            <w:tcW w:w="1700" w:type="dxa"/>
            <w:tcBorders>
              <w:top w:val="single" w:sz="4" w:space="0" w:color="BFC6D4"/>
              <w:left w:val="single" w:sz="4" w:space="0" w:color="BFC6D4"/>
              <w:bottom w:val="single" w:sz="4" w:space="0" w:color="BFC6D4"/>
              <w:right w:val="single" w:sz="4" w:space="0" w:color="BFC6D4"/>
            </w:tcBorders>
            <w:shd w:val="clear" w:color="auto" w:fill="F3F6FB"/>
            <w:tcMar>
              <w:top w:w="60" w:type="dxa"/>
              <w:left w:w="90" w:type="dxa"/>
              <w:bottom w:w="60" w:type="dxa"/>
              <w:right w:w="90" w:type="dxa"/>
            </w:tcMar>
          </w:tcPr>
          <w:p w14:paraId="2318EC3A" w14:textId="77777777" w:rsidR="00C041CC" w:rsidRDefault="00000000">
            <w:r>
              <w:rPr>
                <w:b/>
                <w:bCs/>
                <w:color w:val="000000"/>
                <w:sz w:val="19"/>
                <w:szCs w:val="19"/>
              </w:rPr>
              <w:t>Misuse: gaming and reuse</w:t>
            </w:r>
          </w:p>
        </w:tc>
        <w:tc>
          <w:tcPr>
            <w:tcW w:w="3300" w:type="dxa"/>
            <w:tcBorders>
              <w:top w:val="single" w:sz="4" w:space="0" w:color="BFC6D4"/>
              <w:left w:val="single" w:sz="4" w:space="0" w:color="BFC6D4"/>
              <w:bottom w:val="single" w:sz="4" w:space="0" w:color="BFC6D4"/>
              <w:right w:val="single" w:sz="4" w:space="0" w:color="BFC6D4"/>
            </w:tcBorders>
            <w:tcMar>
              <w:top w:w="60" w:type="dxa"/>
              <w:left w:w="90" w:type="dxa"/>
              <w:bottom w:w="60" w:type="dxa"/>
              <w:right w:w="90" w:type="dxa"/>
            </w:tcMar>
          </w:tcPr>
          <w:p w14:paraId="0E2B3707" w14:textId="77777777" w:rsidR="00C041CC" w:rsidRDefault="00000000">
            <w:r>
              <w:rPr>
                <w:color w:val="000000"/>
                <w:sz w:val="19"/>
                <w:szCs w:val="19"/>
              </w:rPr>
              <w:t>Once the indicators are known to matter, reported figures could be adjusted, and others (for example lenders) could reuse the scores for credit decisions.</w:t>
            </w:r>
          </w:p>
        </w:tc>
        <w:tc>
          <w:tcPr>
            <w:tcW w:w="4026" w:type="dxa"/>
            <w:tcBorders>
              <w:top w:val="single" w:sz="4" w:space="0" w:color="BFC6D4"/>
              <w:left w:val="single" w:sz="4" w:space="0" w:color="BFC6D4"/>
              <w:bottom w:val="single" w:sz="4" w:space="0" w:color="BFC6D4"/>
              <w:right w:val="single" w:sz="4" w:space="0" w:color="BFC6D4"/>
            </w:tcBorders>
            <w:tcMar>
              <w:top w:w="60" w:type="dxa"/>
              <w:left w:w="90" w:type="dxa"/>
              <w:bottom w:w="60" w:type="dxa"/>
              <w:right w:w="90" w:type="dxa"/>
            </w:tcMar>
          </w:tcPr>
          <w:p w14:paraId="2AEAC5BC" w14:textId="77777777" w:rsidR="00C041CC" w:rsidRDefault="00000000">
            <w:r>
              <w:rPr>
                <w:color w:val="000000"/>
                <w:sz w:val="19"/>
                <w:szCs w:val="19"/>
              </w:rPr>
              <w:t>Access limited to Treasury support staff; documented purpose and limitations; scores not published as rankings; re-validation after accounting or boundary changes.</w:t>
            </w:r>
          </w:p>
        </w:tc>
      </w:tr>
    </w:tbl>
    <w:p w14:paraId="0F443B2B" w14:textId="77777777" w:rsidR="00C041CC" w:rsidRDefault="00000000">
      <w:pPr>
        <w:spacing w:before="60" w:after="160"/>
      </w:pPr>
      <w:r>
        <w:rPr>
          <w:i/>
          <w:iCs/>
          <w:color w:val="555555"/>
          <w:sz w:val="19"/>
          <w:szCs w:val="19"/>
        </w:rPr>
        <w:t>Table 1.4: Risks and safeguards.</w:t>
      </w:r>
    </w:p>
    <w:p w14:paraId="479E97B1" w14:textId="77777777" w:rsidR="00C041CC" w:rsidRDefault="00000000">
      <w:pPr>
        <w:pStyle w:val="Heading2"/>
      </w:pPr>
      <w:r>
        <w:t>References</w:t>
      </w:r>
    </w:p>
    <w:p w14:paraId="2A2E4E8C" w14:textId="77777777" w:rsidR="00C041CC" w:rsidRDefault="00000000">
      <w:pPr>
        <w:spacing w:after="60"/>
        <w:ind w:left="360" w:hanging="360"/>
      </w:pPr>
      <w:r>
        <w:rPr>
          <w:sz w:val="20"/>
          <w:szCs w:val="20"/>
        </w:rPr>
        <w:t>National Treasury. Municipal Money: Municipal Finance Data. https://municipaldata.treasury.gov.za (now https://municipalmoney.gov.za).</w:t>
      </w:r>
    </w:p>
    <w:p w14:paraId="4D882441" w14:textId="77777777" w:rsidR="00C041CC" w:rsidRDefault="00000000">
      <w:pPr>
        <w:spacing w:after="60"/>
        <w:ind w:left="360" w:hanging="360"/>
      </w:pPr>
      <w:r>
        <w:rPr>
          <w:sz w:val="20"/>
          <w:szCs w:val="20"/>
        </w:rPr>
        <w:t>National Treasury. Municipal Finance Data API documentation. https://municipaldata.treasury.gov.za/docs</w:t>
      </w:r>
    </w:p>
    <w:p w14:paraId="7AE3B1D1" w14:textId="77777777" w:rsidR="00C041CC" w:rsidRDefault="00000000">
      <w:pPr>
        <w:spacing w:after="60"/>
        <w:ind w:left="360" w:hanging="360"/>
      </w:pPr>
      <w:r>
        <w:rPr>
          <w:sz w:val="20"/>
          <w:szCs w:val="20"/>
        </w:rPr>
        <w:t>National Treasury. Municipal Money Terms of Use. https://municipaldata.treasury.gov.za/terms</w:t>
      </w:r>
    </w:p>
    <w:p w14:paraId="0C29A7D3" w14:textId="77777777" w:rsidR="00C041CC" w:rsidRDefault="00000000">
      <w:pPr>
        <w:spacing w:after="60"/>
        <w:ind w:left="360" w:hanging="360"/>
      </w:pPr>
      <w:r>
        <w:rPr>
          <w:sz w:val="20"/>
          <w:szCs w:val="20"/>
        </w:rPr>
        <w:t>Auditor-General of South Africa (AGSA). MFMA general reports on local government audit outcomes. https://www.agsa.co.za</w:t>
      </w:r>
    </w:p>
    <w:p w14:paraId="3517F7BC" w14:textId="77777777" w:rsidR="00C041CC" w:rsidRDefault="00000000">
      <w:pPr>
        <w:spacing w:after="60"/>
        <w:ind w:left="360" w:hanging="360"/>
      </w:pPr>
      <w:r>
        <w:rPr>
          <w:sz w:val="20"/>
          <w:szCs w:val="20"/>
        </w:rPr>
        <w:t>Republic of South Africa. Protection of Personal Information Act 4 of 2013.</w:t>
      </w:r>
    </w:p>
    <w:sectPr w:rsidR="00C041CC">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79B10" w14:textId="77777777" w:rsidR="00F225B2" w:rsidRDefault="00F225B2">
      <w:r>
        <w:separator/>
      </w:r>
    </w:p>
  </w:endnote>
  <w:endnote w:type="continuationSeparator" w:id="0">
    <w:p w14:paraId="56F7748C" w14:textId="77777777" w:rsidR="00F225B2" w:rsidRDefault="00F225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714EE" w14:textId="77777777" w:rsidR="00C041CC" w:rsidRDefault="00000000">
    <w:pPr>
      <w:jc w:val="center"/>
    </w:pPr>
    <w:r>
      <w:rPr>
        <w:color w:val="777777"/>
        <w:sz w:val="18"/>
        <w:szCs w:val="18"/>
      </w:rPr>
      <w:t xml:space="preserve">IDA117V Group Project · Q1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747253">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76E06" w14:textId="77777777" w:rsidR="00F225B2" w:rsidRDefault="00F225B2">
      <w:r>
        <w:separator/>
      </w:r>
    </w:p>
  </w:footnote>
  <w:footnote w:type="continuationSeparator" w:id="0">
    <w:p w14:paraId="24C2151C" w14:textId="77777777" w:rsidR="00F225B2" w:rsidRDefault="00F225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7B06"/>
    <w:multiLevelType w:val="hybridMultilevel"/>
    <w:tmpl w:val="E4542050"/>
    <w:lvl w:ilvl="0" w:tplc="FC9C8586">
      <w:start w:val="1"/>
      <w:numFmt w:val="bullet"/>
      <w:lvlText w:val="●"/>
      <w:lvlJc w:val="left"/>
      <w:pPr>
        <w:ind w:left="720" w:hanging="360"/>
      </w:pPr>
    </w:lvl>
    <w:lvl w:ilvl="1" w:tplc="0DCCAEAE">
      <w:start w:val="1"/>
      <w:numFmt w:val="bullet"/>
      <w:lvlText w:val="○"/>
      <w:lvlJc w:val="left"/>
      <w:pPr>
        <w:ind w:left="1440" w:hanging="360"/>
      </w:pPr>
    </w:lvl>
    <w:lvl w:ilvl="2" w:tplc="EBCEE758">
      <w:start w:val="1"/>
      <w:numFmt w:val="bullet"/>
      <w:lvlText w:val="■"/>
      <w:lvlJc w:val="left"/>
      <w:pPr>
        <w:ind w:left="2160" w:hanging="360"/>
      </w:pPr>
    </w:lvl>
    <w:lvl w:ilvl="3" w:tplc="E0802CD2">
      <w:start w:val="1"/>
      <w:numFmt w:val="bullet"/>
      <w:lvlText w:val="●"/>
      <w:lvlJc w:val="left"/>
      <w:pPr>
        <w:ind w:left="2880" w:hanging="360"/>
      </w:pPr>
    </w:lvl>
    <w:lvl w:ilvl="4" w:tplc="BB5091C6">
      <w:start w:val="1"/>
      <w:numFmt w:val="bullet"/>
      <w:lvlText w:val="○"/>
      <w:lvlJc w:val="left"/>
      <w:pPr>
        <w:ind w:left="3600" w:hanging="360"/>
      </w:pPr>
    </w:lvl>
    <w:lvl w:ilvl="5" w:tplc="E320DAB0">
      <w:start w:val="1"/>
      <w:numFmt w:val="bullet"/>
      <w:lvlText w:val="■"/>
      <w:lvlJc w:val="left"/>
      <w:pPr>
        <w:ind w:left="4320" w:hanging="360"/>
      </w:pPr>
    </w:lvl>
    <w:lvl w:ilvl="6" w:tplc="1840A632">
      <w:start w:val="1"/>
      <w:numFmt w:val="bullet"/>
      <w:lvlText w:val="●"/>
      <w:lvlJc w:val="left"/>
      <w:pPr>
        <w:ind w:left="5040" w:hanging="360"/>
      </w:pPr>
    </w:lvl>
    <w:lvl w:ilvl="7" w:tplc="5524D57C">
      <w:start w:val="1"/>
      <w:numFmt w:val="bullet"/>
      <w:lvlText w:val="●"/>
      <w:lvlJc w:val="left"/>
      <w:pPr>
        <w:ind w:left="5760" w:hanging="360"/>
      </w:pPr>
    </w:lvl>
    <w:lvl w:ilvl="8" w:tplc="954A9F7A">
      <w:start w:val="1"/>
      <w:numFmt w:val="bullet"/>
      <w:lvlText w:val="●"/>
      <w:lvlJc w:val="left"/>
      <w:pPr>
        <w:ind w:left="6480" w:hanging="360"/>
      </w:pPr>
    </w:lvl>
  </w:abstractNum>
  <w:abstractNum w:abstractNumId="1" w15:restartNumberingAfterBreak="0">
    <w:nsid w:val="60F97C44"/>
    <w:multiLevelType w:val="hybridMultilevel"/>
    <w:tmpl w:val="20E435C2"/>
    <w:lvl w:ilvl="0" w:tplc="E4180DF0">
      <w:start w:val="1"/>
      <w:numFmt w:val="bullet"/>
      <w:lvlText w:val="•"/>
      <w:lvlJc w:val="left"/>
      <w:pPr>
        <w:ind w:left="540" w:hanging="270"/>
      </w:pPr>
    </w:lvl>
    <w:lvl w:ilvl="1" w:tplc="088AF05A">
      <w:numFmt w:val="decimal"/>
      <w:lvlText w:val=""/>
      <w:lvlJc w:val="left"/>
    </w:lvl>
    <w:lvl w:ilvl="2" w:tplc="45845B0E">
      <w:numFmt w:val="decimal"/>
      <w:lvlText w:val=""/>
      <w:lvlJc w:val="left"/>
    </w:lvl>
    <w:lvl w:ilvl="3" w:tplc="BC48C060">
      <w:numFmt w:val="decimal"/>
      <w:lvlText w:val=""/>
      <w:lvlJc w:val="left"/>
    </w:lvl>
    <w:lvl w:ilvl="4" w:tplc="B7F4A23C">
      <w:numFmt w:val="decimal"/>
      <w:lvlText w:val=""/>
      <w:lvlJc w:val="left"/>
    </w:lvl>
    <w:lvl w:ilvl="5" w:tplc="78B09CB0">
      <w:numFmt w:val="decimal"/>
      <w:lvlText w:val=""/>
      <w:lvlJc w:val="left"/>
    </w:lvl>
    <w:lvl w:ilvl="6" w:tplc="97DC620E">
      <w:numFmt w:val="decimal"/>
      <w:lvlText w:val=""/>
      <w:lvlJc w:val="left"/>
    </w:lvl>
    <w:lvl w:ilvl="7" w:tplc="3042DC44">
      <w:numFmt w:val="decimal"/>
      <w:lvlText w:val=""/>
      <w:lvlJc w:val="left"/>
    </w:lvl>
    <w:lvl w:ilvl="8" w:tplc="C69CC124">
      <w:numFmt w:val="decimal"/>
      <w:lvlText w:val=""/>
      <w:lvlJc w:val="left"/>
    </w:lvl>
  </w:abstractNum>
  <w:num w:numId="1" w16cid:durableId="1177578645">
    <w:abstractNumId w:val="0"/>
    <w:lvlOverride w:ilvl="0">
      <w:startOverride w:val="1"/>
    </w:lvlOverride>
  </w:num>
  <w:num w:numId="2" w16cid:durableId="18312183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1CC"/>
    <w:rsid w:val="00747253"/>
    <w:rsid w:val="00C041CC"/>
    <w:rsid w:val="00D83791"/>
    <w:rsid w:val="00F225B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D73F4"/>
  <w15:docId w15:val="{CD1D2D8F-C730-4E2E-8E76-3B69CB1EF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b/>
      <w:bCs/>
      <w:color w:val="2E3546"/>
      <w:sz w:val="28"/>
      <w:szCs w:val="28"/>
    </w:rPr>
  </w:style>
  <w:style w:type="paragraph" w:styleId="Heading2">
    <w:name w:val="heading 2"/>
    <w:uiPriority w:val="9"/>
    <w:unhideWhenUsed/>
    <w:qFormat/>
    <w:pPr>
      <w:spacing w:before="280" w:after="120"/>
      <w:outlineLvl w:val="1"/>
    </w:pPr>
    <w:rPr>
      <w:b/>
      <w:bCs/>
      <w:color w:val="3B6FE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1403</Words>
  <Characters>8001</Characters>
  <Application>Microsoft Office Word</Application>
  <DocSecurity>0</DocSecurity>
  <Lines>66</Lines>
  <Paragraphs>18</Paragraphs>
  <ScaleCrop>false</ScaleCrop>
  <Company/>
  <LinksUpToDate>false</LinksUpToDate>
  <CharactersWithSpaces>9386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 1</dc:title>
  <dc:creator>IDA117V group</dc:creator>
  <cp:lastModifiedBy>Themba Mabena</cp:lastModifiedBy>
  <cp:revision>2</cp:revision>
  <dcterms:created xsi:type="dcterms:W3CDTF">2026-10-19T19:10:00Z</dcterms:created>
  <dcterms:modified xsi:type="dcterms:W3CDTF">2026-10-19T19:15:00Z</dcterms:modified>
</cp:coreProperties>
</file>