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899C8" w14:textId="77777777" w:rsidR="00E94C36" w:rsidRDefault="00AF364E">
      <w:pPr>
        <w:spacing w:before="2400" w:after="200"/>
      </w:pPr>
      <w:r>
        <w:rPr>
          <w:b/>
          <w:color w:val="1A365D"/>
          <w:sz w:val="48"/>
        </w:rPr>
        <w:t>STRATEGIC FINANCE &amp; INTERNAL CONTROLS OPERATIONAL PLAN</w:t>
      </w:r>
    </w:p>
    <w:p w14:paraId="66506060" w14:textId="77777777" w:rsidR="00E94C36" w:rsidRDefault="00AF364E">
      <w:pPr>
        <w:spacing w:after="4000"/>
      </w:pPr>
      <w:r>
        <w:rPr>
          <w:color w:val="4A5568"/>
          <w:sz w:val="24"/>
        </w:rPr>
        <w:t>Comprehensive Cash Flow Architecture, Low-Cost South African Startup Banking Selection, and Anti-Fraud Administrative Controls for Regional IT Ventures</w:t>
      </w:r>
    </w:p>
    <w:p w14:paraId="348E3118" w14:textId="77777777" w:rsidR="00E94C36" w:rsidRDefault="00AF364E">
      <w:pPr>
        <w:spacing w:before="1000" w:line="312" w:lineRule="auto"/>
      </w:pPr>
      <w:r>
        <w:rPr>
          <w:b/>
          <w:color w:val="1A365D"/>
        </w:rPr>
        <w:t xml:space="preserve">Prepared For: </w:t>
      </w:r>
      <w:r>
        <w:rPr>
          <w:color w:val="4A5568"/>
        </w:rPr>
        <w:t>Rehumile TMW Holdings (Pty) Ltd</w:t>
      </w:r>
      <w:r>
        <w:rPr>
          <w:color w:val="4A5568"/>
        </w:rPr>
        <w:br/>
      </w:r>
      <w:r>
        <w:rPr>
          <w:b/>
          <w:color w:val="1A365D"/>
        </w:rPr>
        <w:t xml:space="preserve">Prepared By: </w:t>
      </w:r>
      <w:r>
        <w:rPr>
          <w:color w:val="4A5568"/>
        </w:rPr>
        <w:t>Principal Corporate Financial Architect</w:t>
      </w:r>
      <w:r>
        <w:rPr>
          <w:color w:val="4A5568"/>
        </w:rPr>
        <w:br/>
      </w:r>
      <w:r>
        <w:rPr>
          <w:b/>
          <w:color w:val="1A365D"/>
        </w:rPr>
        <w:t xml:space="preserve">Jurisdiction: </w:t>
      </w:r>
      <w:r>
        <w:rPr>
          <w:color w:val="4A5568"/>
        </w:rPr>
        <w:t>Republic of South Africa</w:t>
      </w:r>
      <w:r>
        <w:rPr>
          <w:color w:val="4A5568"/>
        </w:rPr>
        <w:br/>
      </w:r>
      <w:r>
        <w:rPr>
          <w:b/>
          <w:color w:val="1A365D"/>
        </w:rPr>
        <w:t xml:space="preserve">Date: </w:t>
      </w:r>
      <w:r>
        <w:rPr>
          <w:color w:val="4A5568"/>
        </w:rPr>
        <w:t>June 25, 2026</w:t>
      </w:r>
      <w:r>
        <w:rPr>
          <w:color w:val="4A5568"/>
        </w:rPr>
        <w:br/>
      </w:r>
      <w:r>
        <w:rPr>
          <w:b/>
          <w:color w:val="1A365D"/>
        </w:rPr>
        <w:t xml:space="preserve">Status: </w:t>
      </w:r>
      <w:r>
        <w:rPr>
          <w:color w:val="4A5568"/>
        </w:rPr>
        <w:t>Confidential / Production Ready</w:t>
      </w:r>
      <w:r>
        <w:rPr>
          <w:color w:val="4A5568"/>
        </w:rPr>
        <w:br/>
      </w:r>
    </w:p>
    <w:p w14:paraId="4DFE46FA" w14:textId="77777777" w:rsidR="00E94C36" w:rsidRDefault="00AF364E">
      <w:r>
        <w:br w:type="page"/>
      </w:r>
    </w:p>
    <w:p w14:paraId="2EF5B5D2" w14:textId="77777777" w:rsidR="00E94C36" w:rsidRDefault="00AF364E">
      <w:pPr>
        <w:keepNext/>
        <w:spacing w:before="240" w:after="120"/>
      </w:pPr>
      <w:r>
        <w:rPr>
          <w:b/>
          <w:color w:val="1A365D"/>
          <w:sz w:val="36"/>
        </w:rPr>
        <w:lastRenderedPageBreak/>
        <w:t>1. Executive Financial Framework</w:t>
      </w:r>
    </w:p>
    <w:p w14:paraId="234CFA54" w14:textId="77777777" w:rsidR="00E94C36" w:rsidRDefault="00AF364E">
      <w:r>
        <w:t>For an emerging technology enterprise established within a logistically isolated rural node, structural liquidity is of far greater importance than immediate paper profitability. A business specializing in software systems engineering, complex hardware troubleshooting, network point deployments, and physical consumer electronic retail faces unique cash cycles. Capital is easily locked up in slow-moving physical inventory (such as LCD screens, desktop power supplies, and logic chips), creating localized cash</w:t>
      </w:r>
      <w:r>
        <w:t xml:space="preserve"> crunches that can halt highly profitable consulting workflows. This framework institutes rigorous mathematical structures, administrative standard operating procedures (SOPs), and banking arrangements to maximize working capital efficiency.</w:t>
      </w:r>
    </w:p>
    <w:p w14:paraId="5B2C3577" w14:textId="77777777" w:rsidR="00E94C36" w:rsidRDefault="00AF364E">
      <w:pPr>
        <w:keepNext/>
        <w:spacing w:before="240" w:after="120"/>
      </w:pPr>
      <w:r>
        <w:rPr>
          <w:b/>
          <w:color w:val="1A365D"/>
          <w:sz w:val="36"/>
        </w:rPr>
        <w:t>2. Low-Cost South African Startup Corporate Banking Matrix</w:t>
      </w:r>
    </w:p>
    <w:p w14:paraId="4A0C04F9" w14:textId="77777777" w:rsidR="00E94C36" w:rsidRDefault="00AF364E">
      <w:r>
        <w:t>To remain completely compliant with South African commercial law and corporate standards, a registered private company ((Pty) Ltd) must never co-mingle operational business revenue with personal banking assets. The financial institution selected must minimize fixed monthly service overhead while providing cost-efficient cash deposit paths, as cash remains a common payment method in rural retail transactions. Below is the comparative selection framework for unlisted South African startup banking structures:</w:t>
      </w:r>
    </w:p>
    <w:tbl>
      <w:tblPr>
        <w:tblW w:w="0" w:type="auto"/>
        <w:jc w:val="center"/>
        <w:tblLook w:val="04A0" w:firstRow="1" w:lastRow="0" w:firstColumn="1" w:lastColumn="0" w:noHBand="0" w:noVBand="1"/>
      </w:tblPr>
      <w:tblGrid>
        <w:gridCol w:w="2401"/>
        <w:gridCol w:w="2401"/>
        <w:gridCol w:w="2401"/>
        <w:gridCol w:w="2401"/>
      </w:tblGrid>
      <w:tr w:rsidR="00E94C36" w14:paraId="54683883" w14:textId="77777777">
        <w:trPr>
          <w:jc w:val="center"/>
        </w:trPr>
        <w:tc>
          <w:tcPr>
            <w:tcW w:w="2401" w:type="dxa"/>
            <w:shd w:val="clear" w:color="auto" w:fill="1A365D"/>
            <w:tcMar>
              <w:top w:w="120" w:type="dxa"/>
              <w:left w:w="150" w:type="dxa"/>
              <w:bottom w:w="120" w:type="dxa"/>
              <w:right w:w="150" w:type="dxa"/>
            </w:tcMar>
          </w:tcPr>
          <w:p w14:paraId="4A27B021" w14:textId="77777777" w:rsidR="00E94C36" w:rsidRDefault="00AF364E">
            <w:r>
              <w:rPr>
                <w:b/>
                <w:color w:val="FFFFFF"/>
                <w:sz w:val="19"/>
              </w:rPr>
              <w:t>Banking Institution</w:t>
            </w:r>
          </w:p>
        </w:tc>
        <w:tc>
          <w:tcPr>
            <w:tcW w:w="2401" w:type="dxa"/>
            <w:shd w:val="clear" w:color="auto" w:fill="1A365D"/>
            <w:tcMar>
              <w:top w:w="120" w:type="dxa"/>
              <w:left w:w="150" w:type="dxa"/>
              <w:bottom w:w="120" w:type="dxa"/>
              <w:right w:w="150" w:type="dxa"/>
            </w:tcMar>
          </w:tcPr>
          <w:p w14:paraId="6F9CBC80" w14:textId="77777777" w:rsidR="00E94C36" w:rsidRDefault="00AF364E">
            <w:r>
              <w:rPr>
                <w:b/>
                <w:color w:val="FFFFFF"/>
                <w:sz w:val="19"/>
              </w:rPr>
              <w:t>Fixed Monthly Cost</w:t>
            </w:r>
          </w:p>
        </w:tc>
        <w:tc>
          <w:tcPr>
            <w:tcW w:w="2401" w:type="dxa"/>
            <w:shd w:val="clear" w:color="auto" w:fill="1A365D"/>
            <w:tcMar>
              <w:top w:w="120" w:type="dxa"/>
              <w:left w:w="150" w:type="dxa"/>
              <w:bottom w:w="120" w:type="dxa"/>
              <w:right w:w="150" w:type="dxa"/>
            </w:tcMar>
          </w:tcPr>
          <w:p w14:paraId="6AF86485" w14:textId="77777777" w:rsidR="00E94C36" w:rsidRDefault="00AF364E">
            <w:r>
              <w:rPr>
                <w:b/>
                <w:color w:val="FFFFFF"/>
                <w:sz w:val="19"/>
              </w:rPr>
              <w:t>Cash Deposit Pricing</w:t>
            </w:r>
          </w:p>
        </w:tc>
        <w:tc>
          <w:tcPr>
            <w:tcW w:w="2401" w:type="dxa"/>
            <w:shd w:val="clear" w:color="auto" w:fill="1A365D"/>
            <w:tcMar>
              <w:top w:w="120" w:type="dxa"/>
              <w:left w:w="150" w:type="dxa"/>
              <w:bottom w:w="120" w:type="dxa"/>
              <w:right w:w="150" w:type="dxa"/>
            </w:tcMar>
          </w:tcPr>
          <w:p w14:paraId="5635436B" w14:textId="77777777" w:rsidR="00E94C36" w:rsidRDefault="00AF364E">
            <w:r>
              <w:rPr>
                <w:b/>
                <w:color w:val="FFFFFF"/>
                <w:sz w:val="19"/>
              </w:rPr>
              <w:t>Ideal Structural Fit</w:t>
            </w:r>
          </w:p>
        </w:tc>
      </w:tr>
      <w:tr w:rsidR="00E94C36" w14:paraId="758ADBFE" w14:textId="77777777">
        <w:trPr>
          <w:jc w:val="center"/>
        </w:trPr>
        <w:tc>
          <w:tcPr>
            <w:tcW w:w="2401" w:type="dxa"/>
            <w:shd w:val="clear" w:color="auto" w:fill="FFFFFF"/>
            <w:tcMar>
              <w:top w:w="100" w:type="dxa"/>
              <w:left w:w="150" w:type="dxa"/>
              <w:bottom w:w="100" w:type="dxa"/>
              <w:right w:w="150" w:type="dxa"/>
            </w:tcMar>
          </w:tcPr>
          <w:p w14:paraId="3D4CCEDC" w14:textId="77777777" w:rsidR="00E94C36" w:rsidRDefault="00AF364E">
            <w:r>
              <w:rPr>
                <w:b/>
                <w:sz w:val="19"/>
              </w:rPr>
              <w:t>Capitec Business</w:t>
            </w:r>
          </w:p>
        </w:tc>
        <w:tc>
          <w:tcPr>
            <w:tcW w:w="2401" w:type="dxa"/>
            <w:shd w:val="clear" w:color="auto" w:fill="FFFFFF"/>
            <w:tcMar>
              <w:top w:w="100" w:type="dxa"/>
              <w:left w:w="150" w:type="dxa"/>
              <w:bottom w:w="100" w:type="dxa"/>
              <w:right w:w="150" w:type="dxa"/>
            </w:tcMar>
          </w:tcPr>
          <w:p w14:paraId="46A89C86" w14:textId="77777777" w:rsidR="00E94C36" w:rsidRDefault="00AF364E">
            <w:r>
              <w:rPr>
                <w:sz w:val="19"/>
              </w:rPr>
              <w:t>R50.00 Flat Rate</w:t>
            </w:r>
          </w:p>
        </w:tc>
        <w:tc>
          <w:tcPr>
            <w:tcW w:w="2401" w:type="dxa"/>
            <w:shd w:val="clear" w:color="auto" w:fill="FFFFFF"/>
            <w:tcMar>
              <w:top w:w="100" w:type="dxa"/>
              <w:left w:w="150" w:type="dxa"/>
              <w:bottom w:w="100" w:type="dxa"/>
              <w:right w:w="150" w:type="dxa"/>
            </w:tcMar>
          </w:tcPr>
          <w:p w14:paraId="4D8988E9" w14:textId="77777777" w:rsidR="00E94C36" w:rsidRDefault="00AF364E">
            <w:r>
              <w:rPr>
                <w:sz w:val="19"/>
              </w:rPr>
              <w:t>R1.20 per R100 (At Capitec ATM)</w:t>
            </w:r>
          </w:p>
        </w:tc>
        <w:tc>
          <w:tcPr>
            <w:tcW w:w="2401" w:type="dxa"/>
            <w:shd w:val="clear" w:color="auto" w:fill="FFFFFF"/>
            <w:tcMar>
              <w:top w:w="100" w:type="dxa"/>
              <w:left w:w="150" w:type="dxa"/>
              <w:bottom w:w="100" w:type="dxa"/>
              <w:right w:w="150" w:type="dxa"/>
            </w:tcMar>
          </w:tcPr>
          <w:p w14:paraId="30563062" w14:textId="77777777" w:rsidR="00E94C36" w:rsidRDefault="00AF364E">
            <w:r>
              <w:rPr>
                <w:sz w:val="19"/>
              </w:rPr>
              <w:t>Highly Recommended. Offers the cheapest cash handling for walk-in retail laptop/computer repairs within regional hubs.</w:t>
            </w:r>
          </w:p>
        </w:tc>
      </w:tr>
      <w:tr w:rsidR="00E94C36" w14:paraId="4697E27B" w14:textId="77777777">
        <w:trPr>
          <w:jc w:val="center"/>
        </w:trPr>
        <w:tc>
          <w:tcPr>
            <w:tcW w:w="2401" w:type="dxa"/>
            <w:shd w:val="clear" w:color="auto" w:fill="F7FAFC"/>
            <w:tcMar>
              <w:top w:w="100" w:type="dxa"/>
              <w:left w:w="150" w:type="dxa"/>
              <w:bottom w:w="100" w:type="dxa"/>
              <w:right w:w="150" w:type="dxa"/>
            </w:tcMar>
          </w:tcPr>
          <w:p w14:paraId="6B26888C" w14:textId="77777777" w:rsidR="00E94C36" w:rsidRDefault="00AF364E">
            <w:r>
              <w:rPr>
                <w:b/>
                <w:sz w:val="19"/>
              </w:rPr>
              <w:t>Absa Business Evolve (PAYT)</w:t>
            </w:r>
          </w:p>
        </w:tc>
        <w:tc>
          <w:tcPr>
            <w:tcW w:w="2401" w:type="dxa"/>
            <w:shd w:val="clear" w:color="auto" w:fill="F7FAFC"/>
            <w:tcMar>
              <w:top w:w="100" w:type="dxa"/>
              <w:left w:w="150" w:type="dxa"/>
              <w:bottom w:w="100" w:type="dxa"/>
              <w:right w:w="150" w:type="dxa"/>
            </w:tcMar>
          </w:tcPr>
          <w:p w14:paraId="405144A4" w14:textId="77777777" w:rsidR="00E94C36" w:rsidRDefault="00AF364E">
            <w:r>
              <w:rPr>
                <w:sz w:val="19"/>
              </w:rPr>
              <w:t>R0.00 Base Fee</w:t>
            </w:r>
          </w:p>
        </w:tc>
        <w:tc>
          <w:tcPr>
            <w:tcW w:w="2401" w:type="dxa"/>
            <w:shd w:val="clear" w:color="auto" w:fill="F7FAFC"/>
            <w:tcMar>
              <w:top w:w="100" w:type="dxa"/>
              <w:left w:w="150" w:type="dxa"/>
              <w:bottom w:w="100" w:type="dxa"/>
              <w:right w:w="150" w:type="dxa"/>
            </w:tcMar>
          </w:tcPr>
          <w:p w14:paraId="08C32312" w14:textId="77777777" w:rsidR="00E94C36" w:rsidRDefault="00AF364E">
            <w:r>
              <w:rPr>
                <w:sz w:val="19"/>
              </w:rPr>
              <w:t>R2.50 per R100 + R11.50 flat base</w:t>
            </w:r>
          </w:p>
        </w:tc>
        <w:tc>
          <w:tcPr>
            <w:tcW w:w="2401" w:type="dxa"/>
            <w:shd w:val="clear" w:color="auto" w:fill="F7FAFC"/>
            <w:tcMar>
              <w:top w:w="100" w:type="dxa"/>
              <w:left w:w="150" w:type="dxa"/>
              <w:bottom w:w="100" w:type="dxa"/>
              <w:right w:w="150" w:type="dxa"/>
            </w:tcMar>
          </w:tcPr>
          <w:p w14:paraId="412514B3" w14:textId="77777777" w:rsidR="00E94C36" w:rsidRDefault="00AF364E">
            <w:r>
              <w:rPr>
                <w:sz w:val="19"/>
              </w:rPr>
              <w:t>Suitable as a secondary digital account for software development invoicing due to the lack of a fixed monthly base fee.</w:t>
            </w:r>
          </w:p>
        </w:tc>
      </w:tr>
      <w:tr w:rsidR="00E94C36" w14:paraId="151ACC7F" w14:textId="77777777">
        <w:trPr>
          <w:jc w:val="center"/>
        </w:trPr>
        <w:tc>
          <w:tcPr>
            <w:tcW w:w="2401" w:type="dxa"/>
            <w:shd w:val="clear" w:color="auto" w:fill="FFFFFF"/>
            <w:tcMar>
              <w:top w:w="100" w:type="dxa"/>
              <w:left w:w="150" w:type="dxa"/>
              <w:bottom w:w="100" w:type="dxa"/>
              <w:right w:w="150" w:type="dxa"/>
            </w:tcMar>
          </w:tcPr>
          <w:p w14:paraId="4BD85F27" w14:textId="77777777" w:rsidR="00E94C36" w:rsidRDefault="00AF364E">
            <w:r>
              <w:rPr>
                <w:b/>
                <w:sz w:val="19"/>
              </w:rPr>
              <w:t>Bank Zero Business</w:t>
            </w:r>
          </w:p>
        </w:tc>
        <w:tc>
          <w:tcPr>
            <w:tcW w:w="2401" w:type="dxa"/>
            <w:shd w:val="clear" w:color="auto" w:fill="FFFFFF"/>
            <w:tcMar>
              <w:top w:w="100" w:type="dxa"/>
              <w:left w:w="150" w:type="dxa"/>
              <w:bottom w:w="100" w:type="dxa"/>
              <w:right w:w="150" w:type="dxa"/>
            </w:tcMar>
          </w:tcPr>
          <w:p w14:paraId="46C7262C" w14:textId="77777777" w:rsidR="00E94C36" w:rsidRDefault="00AF364E">
            <w:r>
              <w:rPr>
                <w:sz w:val="19"/>
              </w:rPr>
              <w:t>R0.00 Base Fee</w:t>
            </w:r>
          </w:p>
        </w:tc>
        <w:tc>
          <w:tcPr>
            <w:tcW w:w="2401" w:type="dxa"/>
            <w:shd w:val="clear" w:color="auto" w:fill="FFFFFF"/>
            <w:tcMar>
              <w:top w:w="100" w:type="dxa"/>
              <w:left w:w="150" w:type="dxa"/>
              <w:bottom w:w="100" w:type="dxa"/>
              <w:right w:w="150" w:type="dxa"/>
            </w:tcMar>
          </w:tcPr>
          <w:p w14:paraId="61103901" w14:textId="77777777" w:rsidR="00E94C36" w:rsidRDefault="00AF364E">
            <w:r>
              <w:rPr>
                <w:sz w:val="19"/>
              </w:rPr>
              <w:t>Restricted to third-party retail drops</w:t>
            </w:r>
          </w:p>
        </w:tc>
        <w:tc>
          <w:tcPr>
            <w:tcW w:w="2401" w:type="dxa"/>
            <w:shd w:val="clear" w:color="auto" w:fill="FFFFFF"/>
            <w:tcMar>
              <w:top w:w="100" w:type="dxa"/>
              <w:left w:w="150" w:type="dxa"/>
              <w:bottom w:w="100" w:type="dxa"/>
              <w:right w:w="150" w:type="dxa"/>
            </w:tcMar>
          </w:tcPr>
          <w:p w14:paraId="4667BF18" w14:textId="77777777" w:rsidR="00E94C36" w:rsidRDefault="00AF364E">
            <w:r>
              <w:rPr>
                <w:sz w:val="19"/>
              </w:rPr>
              <w:t>Excellent for pure electronic transaction matching, but less convenient for frequent physical cash deposits from walk-in consumers.</w:t>
            </w:r>
          </w:p>
        </w:tc>
      </w:tr>
    </w:tbl>
    <w:p w14:paraId="4023D045" w14:textId="77777777" w:rsidR="00E94C36" w:rsidRDefault="00E94C36">
      <w:pPr>
        <w:spacing w:before="160"/>
      </w:pPr>
    </w:p>
    <w:p w14:paraId="38F9C062" w14:textId="77777777" w:rsidR="00E94C36" w:rsidRDefault="00AF364E">
      <w:pPr>
        <w:keepNext/>
        <w:spacing w:before="240" w:after="120"/>
      </w:pPr>
      <w:r>
        <w:rPr>
          <w:b/>
          <w:color w:val="1A365D"/>
          <w:sz w:val="36"/>
        </w:rPr>
        <w:lastRenderedPageBreak/>
        <w:t>3. Three-Tier Cash Flow Architecture</w:t>
      </w:r>
    </w:p>
    <w:p w14:paraId="605636DB" w14:textId="77777777" w:rsidR="00E94C36" w:rsidRDefault="00AF364E">
      <w:r>
        <w:t>To ensure complete clarity regarding the movement of liquidity, the enterprise separates all liquid transactions into three clear macro-streams. This structure prevents software consulting profits from being invisibly absorbed by hardware repair tooling or un-allocated stock losses.</w:t>
      </w:r>
    </w:p>
    <w:p w14:paraId="668365CB" w14:textId="77777777" w:rsidR="00E94C36" w:rsidRDefault="00AF364E">
      <w:pPr>
        <w:keepNext/>
        <w:spacing w:before="240" w:after="120"/>
      </w:pPr>
      <w:r>
        <w:rPr>
          <w:b/>
          <w:color w:val="2B6CB0"/>
          <w:sz w:val="26"/>
        </w:rPr>
        <w:t>3.1 Operating Cash Flow (OCF)</w:t>
      </w:r>
    </w:p>
    <w:p w14:paraId="59E50EB6" w14:textId="77777777" w:rsidR="00E94C36" w:rsidRDefault="00AF364E">
      <w:r>
        <w:t>Operating Cash Flow covers the core, day-to-day revenue-generating activities of the business. This includes cash inflows from customized software deployment retainers, physical network point terminal cabling invoices, Omada controller access code sales, and laptop micro-soldering labor. Outflows include purchasing component consumables (thermal paste, solder, fluxes), transport fuel, internet connectivity costs, and general administration expenses.</w:t>
      </w:r>
    </w:p>
    <w:p w14:paraId="43724085" w14:textId="77777777" w:rsidR="00E94C36" w:rsidRDefault="00AF364E">
      <w:pPr>
        <w:keepNext/>
        <w:spacing w:before="240" w:after="120"/>
      </w:pPr>
      <w:r>
        <w:rPr>
          <w:b/>
          <w:color w:val="2B6CB0"/>
          <w:sz w:val="26"/>
        </w:rPr>
        <w:t>3.2 Investing Cash Flow (ICF)</w:t>
      </w:r>
    </w:p>
    <w:p w14:paraId="11221772" w14:textId="77777777" w:rsidR="00E94C36" w:rsidRDefault="00AF364E">
      <w:r>
        <w:t>Investing Cash Flow tracks the acquisition and disposal of long-term capital assets. For this venture, this includes purchasing advanced lab instrumentation (such as variable DC bench power supplies, digital oscilloscopes, and hot-air rework stations) as well as setting up permanent physical shop counters or external network masts.</w:t>
      </w:r>
    </w:p>
    <w:p w14:paraId="63EA1DD2" w14:textId="77777777" w:rsidR="00E94C36" w:rsidRDefault="00AF364E">
      <w:pPr>
        <w:keepNext/>
        <w:spacing w:before="240" w:after="120"/>
      </w:pPr>
      <w:r>
        <w:rPr>
          <w:b/>
          <w:color w:val="2B6CB0"/>
          <w:sz w:val="26"/>
        </w:rPr>
        <w:t>3.3 Financing Cash Flow (FCF)</w:t>
      </w:r>
    </w:p>
    <w:p w14:paraId="2786DDFA" w14:textId="77777777" w:rsidR="00E94C36" w:rsidRDefault="00AF364E">
      <w:r>
        <w:t>Financing Cash Flow measures transactions involving debt injections, direct capital contributions from the owner, or subsequent shareholder dividend distributions. This clearly separates your personal investment cash from the operational performance of the shop floor.</w:t>
      </w:r>
    </w:p>
    <w:p w14:paraId="7BFE8DBE" w14:textId="77777777" w:rsidR="00E94C36" w:rsidRDefault="00AF364E">
      <w:pPr>
        <w:keepNext/>
        <w:spacing w:before="240" w:after="120"/>
      </w:pPr>
      <w:r>
        <w:rPr>
          <w:b/>
          <w:color w:val="1A365D"/>
          <w:sz w:val="36"/>
        </w:rPr>
        <w:t>4. Internal Control Framework &amp; Anti-Fraud SOPs</w:t>
      </w:r>
    </w:p>
    <w:p w14:paraId="6F90AEA0" w14:textId="77777777" w:rsidR="00E94C36" w:rsidRDefault="00AF364E">
      <w:r>
        <w:t>Operating an IT environment that combines high-value micro-components (CPUs, NVMe solid-state drives, RAM) with physical cash collections requires strict administrative safeguards. Shrinkage, unauthorized side-jobs using company tools, and unrecorded cash intakes are mitigated via the following controls:</w:t>
      </w:r>
    </w:p>
    <w:p w14:paraId="1C883307" w14:textId="77777777" w:rsidR="00E94C36" w:rsidRDefault="00AF364E">
      <w:pPr>
        <w:keepNext/>
        <w:spacing w:before="240" w:after="120"/>
      </w:pPr>
      <w:r>
        <w:rPr>
          <w:b/>
          <w:color w:val="2B6CB0"/>
          <w:sz w:val="26"/>
        </w:rPr>
        <w:t>4.1 Dual-Custody Storefront Cash Drops</w:t>
      </w:r>
    </w:p>
    <w:p w14:paraId="301A539C" w14:textId="77777777" w:rsidR="00E94C36" w:rsidRDefault="00AF364E">
      <w:r>
        <w:t>1. For every customer drop-off (e.g., a dead laptop motherboard), the service technician must log the computer's serial number, external physical condition, and initial diagnosis into a numbered Multi-Part Job Card.</w:t>
      </w:r>
      <w:r>
        <w:br/>
        <w:t>2. When the customer returns to collect and pay for the machine, the administrative desk receives the physical cash or handles the card speed-point payment, issuing a system-generated invoice.</w:t>
      </w:r>
      <w:r>
        <w:br/>
      </w:r>
      <w:r>
        <w:t>3. The technician is legally barred from directly accepting payment, and the administrator is barred from releasing hardware without a matched, validated receipt stub. This separation of duties prevents pocketed cash and unrecorded repair loops.</w:t>
      </w:r>
    </w:p>
    <w:p w14:paraId="7D0646C2" w14:textId="77777777" w:rsidR="00E94C36" w:rsidRDefault="00AF364E">
      <w:pPr>
        <w:keepNext/>
        <w:spacing w:before="240" w:after="120"/>
      </w:pPr>
      <w:r>
        <w:rPr>
          <w:b/>
          <w:color w:val="2B6CB0"/>
          <w:sz w:val="26"/>
        </w:rPr>
        <w:t>4.2 Inventory Ring-Fencing and Tool Registry</w:t>
      </w:r>
    </w:p>
    <w:p w14:paraId="74D57E6E" w14:textId="77777777" w:rsidR="00E94C36" w:rsidRDefault="00AF364E">
      <w:r>
        <w:t xml:space="preserve">All specialized lab assets (e.g., the auto-ranging digital multimeter, direct-drive cartridge soldering tips) are registered as corporate assets. High-turnover micro-stock, specifically bulk containers of premium 8.5 W/mK thermal paste and replacement M.2 storage packages, must be stored in locked, anti-static </w:t>
      </w:r>
      <w:r>
        <w:lastRenderedPageBreak/>
        <w:t>cabinets. Technicians must log out specific amounts against an active, verified invoice number, ensuring that component reduction perfectly balances with recorded parts revenue.</w:t>
      </w:r>
    </w:p>
    <w:p w14:paraId="3D6028D7" w14:textId="77777777" w:rsidR="00E94C36" w:rsidRDefault="00AF364E">
      <w:pPr>
        <w:keepNext/>
        <w:spacing w:before="240" w:after="120"/>
      </w:pPr>
      <w:r>
        <w:rPr>
          <w:b/>
          <w:color w:val="1A365D"/>
          <w:sz w:val="36"/>
        </w:rPr>
        <w:t>5. Profitability &amp; Financial Performance Metrics</w:t>
      </w:r>
    </w:p>
    <w:p w14:paraId="2D0B82B8" w14:textId="77777777" w:rsidR="00E94C36" w:rsidRDefault="00AF364E">
      <w:r>
        <w:t>To accurately judge whether the enterprise is fundamentally sound or losing value through hidden overheads, you must measure performance using specific mathematical calculations at the end of every operating month.</w:t>
      </w:r>
    </w:p>
    <w:p w14:paraId="2DA292AE" w14:textId="77777777" w:rsidR="00E94C36" w:rsidRDefault="00AF364E">
      <w:pPr>
        <w:keepNext/>
        <w:spacing w:before="240" w:after="120"/>
      </w:pPr>
      <w:r>
        <w:rPr>
          <w:b/>
          <w:color w:val="2B6CB0"/>
          <w:sz w:val="26"/>
        </w:rPr>
        <w:t>5.1 Gross Profit Margin (GPM)</w:t>
      </w:r>
    </w:p>
    <w:p w14:paraId="50E1DBC6" w14:textId="77777777" w:rsidR="00E94C36" w:rsidRDefault="00AF364E">
      <w:r>
        <w:t>Gross Profit Margin assesses the direct profitability of your individual service and parts sales, completely separate from general business expenses like bank account fees or marketing costs. For example, when replacing a laptop screen, the direct cost includes the screen's purchase price, import logistics fees, and any applied customs duties.</w:t>
      </w:r>
    </w:p>
    <w:p w14:paraId="03B92E79" w14:textId="77777777" w:rsidR="00E94C36" w:rsidRDefault="00AF364E">
      <w:pPr>
        <w:ind w:left="720"/>
      </w:pPr>
      <w:r>
        <w:rPr>
          <w:rFonts w:ascii="Courier New" w:hAnsi="Courier New"/>
          <w:b/>
          <w:sz w:val="22"/>
        </w:rPr>
        <w:t>GPM = [(Total Revenue - Cost of Goods Sold) / Total Revenue] x 100</w:t>
      </w:r>
    </w:p>
    <w:p w14:paraId="72388EE0" w14:textId="77777777" w:rsidR="00E94C36" w:rsidRDefault="00AF364E">
      <w:pPr>
        <w:keepNext/>
        <w:spacing w:before="240" w:after="120"/>
      </w:pPr>
      <w:r>
        <w:rPr>
          <w:b/>
          <w:color w:val="2B6CB0"/>
          <w:sz w:val="26"/>
        </w:rPr>
        <w:t>5.2 Net Profit Margin (NPM)</w:t>
      </w:r>
    </w:p>
    <w:p w14:paraId="7ECE2D0B" w14:textId="77777777" w:rsidR="00E94C36" w:rsidRDefault="00AF364E">
      <w:r>
        <w:t>Net Profit Margin is the definitive metric of overall business health. It incorporates all operating costs, including internet links, electricity, banking service charges, tool depreciation, and corporate taxes.</w:t>
      </w:r>
    </w:p>
    <w:p w14:paraId="46A300FF" w14:textId="77777777" w:rsidR="00E94C36" w:rsidRDefault="00AF364E">
      <w:pPr>
        <w:ind w:left="720"/>
      </w:pPr>
      <w:r>
        <w:rPr>
          <w:rFonts w:ascii="Courier New" w:hAnsi="Courier New"/>
          <w:b/>
          <w:sz w:val="22"/>
        </w:rPr>
        <w:t>NPM = [Net Income / Total Revenue] x 100</w:t>
      </w:r>
    </w:p>
    <w:p w14:paraId="766A162B" w14:textId="77777777" w:rsidR="00E94C36" w:rsidRDefault="00AF364E">
      <w:pPr>
        <w:keepNext/>
        <w:spacing w:before="240" w:after="120"/>
      </w:pPr>
      <w:r>
        <w:rPr>
          <w:b/>
          <w:color w:val="2B6CB0"/>
          <w:sz w:val="26"/>
        </w:rPr>
        <w:t>5.3 Break-Even Analysis (BEA)</w:t>
      </w:r>
    </w:p>
    <w:p w14:paraId="5EE16029" w14:textId="77777777" w:rsidR="00E94C36" w:rsidRDefault="00AF364E">
      <w:r>
        <w:t>Break-Even Analysis establishes the baseline volume of activity required each month to ensure the business does not lose capital. It determines how many core repair units or network installation points must be completed just to clear your fixed overheads.</w:t>
      </w:r>
    </w:p>
    <w:p w14:paraId="0732FE5B" w14:textId="77777777" w:rsidR="00E94C36" w:rsidRDefault="00AF364E">
      <w:pPr>
        <w:ind w:left="720"/>
      </w:pPr>
      <w:r>
        <w:rPr>
          <w:rFonts w:ascii="Courier New" w:hAnsi="Courier New"/>
          <w:b/>
          <w:sz w:val="22"/>
        </w:rPr>
        <w:t>Break-Even Units = Fixed Costs / (Average Revenue Per Unit - Average Variable Cost Per Unit)</w:t>
      </w:r>
    </w:p>
    <w:p w14:paraId="4A54AD65" w14:textId="77777777" w:rsidR="00E94C36" w:rsidRDefault="00AF364E">
      <w:pPr>
        <w:keepNext/>
        <w:spacing w:before="240" w:after="120"/>
      </w:pPr>
      <w:r>
        <w:rPr>
          <w:b/>
          <w:color w:val="1A365D"/>
          <w:sz w:val="36"/>
        </w:rPr>
        <w:t>6. Day-to-Day Financial &amp; Administrative Agenda</w:t>
      </w:r>
    </w:p>
    <w:p w14:paraId="2D8CC858" w14:textId="77777777" w:rsidR="00E94C36" w:rsidRDefault="00AF364E">
      <w:r>
        <w:t>To prevent administrative backlogs and stay completely aligned with SARS compliance timelines, structure your workflows using this strict chronological schedule:</w:t>
      </w:r>
    </w:p>
    <w:p w14:paraId="0CEEAAD8" w14:textId="77777777" w:rsidR="00E94C36" w:rsidRDefault="00AF364E">
      <w:pPr>
        <w:keepNext/>
        <w:spacing w:before="240" w:after="120"/>
      </w:pPr>
      <w:r>
        <w:rPr>
          <w:b/>
          <w:i/>
          <w:sz w:val="22"/>
        </w:rPr>
        <w:t>6.1 Daily Administrative Protocol</w:t>
      </w:r>
    </w:p>
    <w:p w14:paraId="3B1CCFE6" w14:textId="77777777" w:rsidR="00E94C36" w:rsidRDefault="00AF364E">
      <w:r>
        <w:t>• Morning Shift Open: Verify the cash float balance inside the physical counter drawer. Confirm active internet uplink connectivity for your point-of-sale terminal.</w:t>
      </w:r>
      <w:r>
        <w:br/>
      </w:r>
      <w:r>
        <w:t>• Evening Shift Close: Reconcile physical cash takings and card receipts directly against the system-generated invoice log. Record any Omada network access vouchers sold throughout the day. Deposit all cash into your secure on-site safe.</w:t>
      </w:r>
    </w:p>
    <w:p w14:paraId="5B608391" w14:textId="77777777" w:rsidR="00E94C36" w:rsidRDefault="00AF364E">
      <w:pPr>
        <w:keepNext/>
        <w:spacing w:before="240" w:after="120"/>
      </w:pPr>
      <w:r>
        <w:rPr>
          <w:b/>
          <w:i/>
          <w:sz w:val="22"/>
        </w:rPr>
        <w:t>6.2 Weekly Review Routines</w:t>
      </w:r>
    </w:p>
    <w:p w14:paraId="20A449CA" w14:textId="77777777" w:rsidR="00E94C36" w:rsidRDefault="00AF364E">
      <w:r>
        <w:t>• Every Friday Afternoon: Reconcile your business bank account ledger using your digital portal. Scan all supplier purchase slips from hardware distributors (Pinnacle, Mustek, Communica) and upload them to your cloud accounting drive.</w:t>
      </w:r>
      <w:r>
        <w:br/>
      </w:r>
      <w:r>
        <w:lastRenderedPageBreak/>
        <w:t>• Outstanding Invoices: Check your debtors ledger and send formal follow-up notices to corporate clients with outstanding system development or consulting balances.</w:t>
      </w:r>
    </w:p>
    <w:p w14:paraId="59AF8460" w14:textId="77777777" w:rsidR="00E94C36" w:rsidRDefault="00AF364E">
      <w:pPr>
        <w:keepNext/>
        <w:spacing w:before="240" w:after="120"/>
      </w:pPr>
      <w:r>
        <w:rPr>
          <w:b/>
          <w:i/>
          <w:sz w:val="22"/>
        </w:rPr>
        <w:t>6.3 Monthly Close &amp; Compliance Procedures</w:t>
      </w:r>
    </w:p>
    <w:p w14:paraId="3D764758" w14:textId="77777777" w:rsidR="00E94C36" w:rsidRDefault="00AF364E">
      <w:r>
        <w:t>• Physical Cycle Count: Perform an exact physical audit of all parts in stock (screens, hard drives, thermal paste units, capacitors) to cross-check against your digital ledger.</w:t>
      </w:r>
      <w:r>
        <w:br/>
      </w:r>
      <w:r>
        <w:t>• SARS Calculation Window: Total your gross revenue to evaluate your VAT position. Compile employee logs for monthly UIF filings. Run your GPM and NPM calculations to assess operational profitability.</w:t>
      </w:r>
    </w:p>
    <w:sectPr w:rsidR="00E94C36"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7091994">
    <w:abstractNumId w:val="8"/>
  </w:num>
  <w:num w:numId="2" w16cid:durableId="1868450180">
    <w:abstractNumId w:val="6"/>
  </w:num>
  <w:num w:numId="3" w16cid:durableId="1104694676">
    <w:abstractNumId w:val="5"/>
  </w:num>
  <w:num w:numId="4" w16cid:durableId="998466448">
    <w:abstractNumId w:val="4"/>
  </w:num>
  <w:num w:numId="5" w16cid:durableId="1059401370">
    <w:abstractNumId w:val="7"/>
  </w:num>
  <w:num w:numId="6" w16cid:durableId="652876359">
    <w:abstractNumId w:val="3"/>
  </w:num>
  <w:num w:numId="7" w16cid:durableId="923417905">
    <w:abstractNumId w:val="2"/>
  </w:num>
  <w:num w:numId="8" w16cid:durableId="1685395204">
    <w:abstractNumId w:val="1"/>
  </w:num>
  <w:num w:numId="9" w16cid:durableId="699359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115B"/>
    <w:rsid w:val="00AA1D8D"/>
    <w:rsid w:val="00AF364E"/>
    <w:rsid w:val="00B47730"/>
    <w:rsid w:val="00CB0664"/>
    <w:rsid w:val="00E94C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497B91"/>
  <w14:defaultImageDpi w14:val="300"/>
  <w15:docId w15:val="{F614B9A7-4129-0F4C-84FA-28040D6DC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00" w:lineRule="auto"/>
    </w:pPr>
    <w:rPr>
      <w:rFonts w:ascii="Arial" w:hAnsi="Arial"/>
      <w:color w:val="2D3748"/>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1246</Words>
  <Characters>7106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Zama Gwala</cp:lastModifiedBy>
  <cp:revision>2</cp:revision>
  <dcterms:created xsi:type="dcterms:W3CDTF">2026-06-25T10:43:00Z</dcterms:created>
  <dcterms:modified xsi:type="dcterms:W3CDTF">2026-06-25T10:43:00Z</dcterms:modified>
  <cp:category/>
</cp:coreProperties>
</file>