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863E" w14:textId="72ED3BBC" w:rsidR="0085115F" w:rsidRDefault="0085115F" w:rsidP="00612E5E">
      <w:pPr>
        <w:pStyle w:val="Heading1"/>
        <w:jc w:val="center"/>
        <w:rPr>
          <w:lang w:val="el-GR"/>
        </w:rPr>
      </w:pPr>
      <w:r w:rsidRPr="0085115F">
        <w:rPr>
          <w:lang w:val="el-GR"/>
        </w:rPr>
        <w:t>Έρευνα για παρόμοιες εφαρμογές και διαφοροποίηση</w:t>
      </w:r>
    </w:p>
    <w:p w14:paraId="121983C0" w14:textId="77777777" w:rsidR="0085115F" w:rsidRPr="0085115F" w:rsidRDefault="0085115F" w:rsidP="0085115F">
      <w:pPr>
        <w:rPr>
          <w:lang w:val="el-GR"/>
        </w:rPr>
      </w:pPr>
    </w:p>
    <w:p w14:paraId="7A98DBD6" w14:textId="074F2726" w:rsidR="00970352" w:rsidRDefault="00970352">
      <w:pPr>
        <w:rPr>
          <w:lang w:val="el-GR"/>
        </w:rPr>
      </w:pPr>
      <w:r>
        <w:rPr>
          <w:lang w:val="el-GR"/>
        </w:rPr>
        <w:t xml:space="preserve">Η ιδέα του </w:t>
      </w:r>
      <w:r>
        <w:t>Data</w:t>
      </w:r>
      <w:r w:rsidRPr="00970352">
        <w:rPr>
          <w:lang w:val="el-GR"/>
        </w:rPr>
        <w:t xml:space="preserve"> </w:t>
      </w:r>
      <w:r>
        <w:t>Warehousing</w:t>
      </w:r>
      <w:r w:rsidRPr="00970352">
        <w:rPr>
          <w:lang w:val="el-GR"/>
        </w:rPr>
        <w:t xml:space="preserve"> </w:t>
      </w:r>
      <w:r>
        <w:rPr>
          <w:lang w:val="el-GR"/>
        </w:rPr>
        <w:t xml:space="preserve"> δεν είναι καινούργια. Ο όρος  γεννήθηκε το 1990 και πατέρας του είναι ο </w:t>
      </w:r>
      <w:r>
        <w:t>Bill</w:t>
      </w:r>
      <w:r w:rsidRPr="00970352">
        <w:rPr>
          <w:lang w:val="el-GR"/>
        </w:rPr>
        <w:t xml:space="preserve"> </w:t>
      </w:r>
      <w:proofErr w:type="spellStart"/>
      <w:r>
        <w:t>Inmon</w:t>
      </w:r>
      <w:proofErr w:type="spellEnd"/>
      <w:sdt>
        <w:sdtPr>
          <w:id w:val="1448658767"/>
          <w:citation/>
        </w:sdtPr>
        <w:sdtEndPr/>
        <w:sdtContent>
          <w:r w:rsidR="0085115F">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Tut</w:instrText>
          </w:r>
          <w:r w:rsidR="0085115F" w:rsidRPr="0085115F">
            <w:rPr>
              <w:lang w:val="el-GR"/>
            </w:rPr>
            <w:instrText xml:space="preserve"> \</w:instrText>
          </w:r>
          <w:r w:rsidR="0085115F">
            <w:instrText>l</w:instrText>
          </w:r>
          <w:r w:rsidR="0085115F" w:rsidRPr="0085115F">
            <w:rPr>
              <w:lang w:val="el-GR"/>
            </w:rPr>
            <w:instrText xml:space="preserve"> 1033 </w:instrText>
          </w:r>
          <w:r w:rsidR="0085115F">
            <w:fldChar w:fldCharType="separate"/>
          </w:r>
          <w:r w:rsidR="0085115F" w:rsidRPr="0085115F">
            <w:rPr>
              <w:noProof/>
              <w:lang w:val="el-GR"/>
            </w:rPr>
            <w:t xml:space="preserve"> [1]</w:t>
          </w:r>
          <w:r w:rsidR="0085115F">
            <w:fldChar w:fldCharType="end"/>
          </w:r>
        </w:sdtContent>
      </w:sdt>
      <w:r w:rsidRPr="00970352">
        <w:rPr>
          <w:lang w:val="el-GR"/>
        </w:rPr>
        <w:t>.</w:t>
      </w:r>
      <w:r>
        <w:rPr>
          <w:lang w:val="el-GR"/>
        </w:rPr>
        <w:t xml:space="preserve"> Το </w:t>
      </w:r>
      <w:r>
        <w:t>data</w:t>
      </w:r>
      <w:r w:rsidRPr="00970352">
        <w:rPr>
          <w:lang w:val="el-GR"/>
        </w:rPr>
        <w:t xml:space="preserve"> </w:t>
      </w:r>
      <w:r>
        <w:t>warehousing</w:t>
      </w:r>
      <w:r w:rsidRPr="00970352">
        <w:rPr>
          <w:lang w:val="el-GR"/>
        </w:rPr>
        <w:t xml:space="preserve"> </w:t>
      </w:r>
      <w:r>
        <w:rPr>
          <w:lang w:val="el-GR"/>
        </w:rPr>
        <w:t>συνέχεια επαυξάνεται και αναπτύσσεται με σκοπό την καλύτερη συμβολή του στο στρατηγικό σχεδιασμό μιας επιχείρησης</w:t>
      </w:r>
      <w:r w:rsidR="0085115F" w:rsidRPr="0085115F">
        <w:rPr>
          <w:lang w:val="el-GR"/>
        </w:rPr>
        <w:t xml:space="preserve"> </w:t>
      </w:r>
      <w:sdt>
        <w:sdtPr>
          <w:rPr>
            <w:lang w:val="el-GR"/>
          </w:rPr>
          <w:id w:val="1059518396"/>
          <w:citation/>
        </w:sdtPr>
        <w:sdtEndPr/>
        <w:sdtContent>
          <w:r w:rsidR="0085115F">
            <w:rPr>
              <w:lang w:val="el-GR"/>
            </w:rPr>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Dat</w:instrText>
          </w:r>
          <w:r w:rsidR="0085115F" w:rsidRPr="0085115F">
            <w:rPr>
              <w:lang w:val="el-GR"/>
            </w:rPr>
            <w:instrText xml:space="preserve"> \</w:instrText>
          </w:r>
          <w:r w:rsidR="0085115F">
            <w:instrText>l</w:instrText>
          </w:r>
          <w:r w:rsidR="0085115F" w:rsidRPr="0085115F">
            <w:rPr>
              <w:lang w:val="el-GR"/>
            </w:rPr>
            <w:instrText xml:space="preserve"> 1033 </w:instrText>
          </w:r>
          <w:r w:rsidR="0085115F">
            <w:rPr>
              <w:lang w:val="el-GR"/>
            </w:rPr>
            <w:fldChar w:fldCharType="separate"/>
          </w:r>
          <w:r w:rsidR="0085115F" w:rsidRPr="0085115F">
            <w:rPr>
              <w:noProof/>
              <w:lang w:val="el-GR"/>
            </w:rPr>
            <w:t>[2]</w:t>
          </w:r>
          <w:r w:rsidR="0085115F">
            <w:rPr>
              <w:lang w:val="el-GR"/>
            </w:rPr>
            <w:fldChar w:fldCharType="end"/>
          </w:r>
        </w:sdtContent>
      </w:sdt>
      <w:sdt>
        <w:sdtPr>
          <w:rPr>
            <w:lang w:val="el-GR"/>
          </w:rPr>
          <w:id w:val="-761134953"/>
          <w:citation/>
        </w:sdtPr>
        <w:sdtEndPr/>
        <w:sdtContent>
          <w:r w:rsidR="0085115F">
            <w:rPr>
              <w:lang w:val="el-GR"/>
            </w:rPr>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Wha</w:instrText>
          </w:r>
          <w:r w:rsidR="0085115F" w:rsidRPr="0085115F">
            <w:rPr>
              <w:lang w:val="el-GR"/>
            </w:rPr>
            <w:instrText xml:space="preserve"> \</w:instrText>
          </w:r>
          <w:r w:rsidR="0085115F">
            <w:instrText>l</w:instrText>
          </w:r>
          <w:r w:rsidR="0085115F" w:rsidRPr="0085115F">
            <w:rPr>
              <w:lang w:val="el-GR"/>
            </w:rPr>
            <w:instrText xml:space="preserve"> 1033 </w:instrText>
          </w:r>
          <w:r w:rsidR="0085115F">
            <w:rPr>
              <w:lang w:val="el-GR"/>
            </w:rPr>
            <w:fldChar w:fldCharType="separate"/>
          </w:r>
          <w:r w:rsidR="0085115F" w:rsidRPr="0085115F">
            <w:rPr>
              <w:noProof/>
              <w:lang w:val="el-GR"/>
            </w:rPr>
            <w:t xml:space="preserve"> [3]</w:t>
          </w:r>
          <w:r w:rsidR="0085115F">
            <w:rPr>
              <w:lang w:val="el-GR"/>
            </w:rPr>
            <w:fldChar w:fldCharType="end"/>
          </w:r>
        </w:sdtContent>
      </w:sdt>
      <w:r>
        <w:rPr>
          <w:lang w:val="el-GR"/>
        </w:rPr>
        <w:t>.</w:t>
      </w:r>
    </w:p>
    <w:p w14:paraId="44091194" w14:textId="2A7BDB16" w:rsidR="0059700D" w:rsidRDefault="00970352">
      <w:pPr>
        <w:rPr>
          <w:lang w:val="el-GR"/>
        </w:rPr>
      </w:pPr>
      <w:r>
        <w:rPr>
          <w:lang w:val="el-GR"/>
        </w:rPr>
        <w:t xml:space="preserve">Τι είναι όμως ένα </w:t>
      </w:r>
      <w:r>
        <w:t>data</w:t>
      </w:r>
      <w:r w:rsidRPr="00970352">
        <w:rPr>
          <w:lang w:val="el-GR"/>
        </w:rPr>
        <w:t xml:space="preserve"> </w:t>
      </w:r>
      <w:r>
        <w:t>warehouse</w:t>
      </w:r>
      <w:r>
        <w:rPr>
          <w:lang w:val="el-GR"/>
        </w:rPr>
        <w:t>; Είναι μια βάση δεδομένων, διαφορετική από την κύρια βάση δεδομένων ενός  προηγμένου πληροφοριακού συστήματος. Περιέχει ιστορικά δεδομένα και βοηθά στην ανάλυση της πορείας μιας επιχείρησης (για παράδειγμα μπορεί να περιέχει ιστορικά δεδομένα σχετικά με τα σχόλια των πελατών μιας επιχείρησης, και συμβάλει στην διαδικασία λήψης αποφάσεων από τα διοικητικά στελέχη).</w:t>
      </w:r>
    </w:p>
    <w:p w14:paraId="6C90B32E" w14:textId="2841BC40" w:rsidR="00970352" w:rsidRPr="0085115F" w:rsidRDefault="00970352">
      <w:pPr>
        <w:rPr>
          <w:lang w:val="el-GR"/>
        </w:rPr>
      </w:pPr>
      <w:r>
        <w:rPr>
          <w:lang w:val="el-GR"/>
        </w:rPr>
        <w:t xml:space="preserve">Υπάρχουν διάφορες έτοιμες εφαρμογές </w:t>
      </w:r>
      <w:r>
        <w:t>data</w:t>
      </w:r>
      <w:r w:rsidRPr="00970352">
        <w:rPr>
          <w:lang w:val="el-GR"/>
        </w:rPr>
        <w:t xml:space="preserve"> </w:t>
      </w:r>
      <w:r>
        <w:t>warehousing</w:t>
      </w:r>
      <w:r>
        <w:rPr>
          <w:lang w:val="el-GR"/>
        </w:rPr>
        <w:t xml:space="preserve"> στην αγορά, από διάφορες εταιρίες. Σαν παραδείγματα αναφέρονται το </w:t>
      </w:r>
      <w:r>
        <w:t>Amazon</w:t>
      </w:r>
      <w:r w:rsidRPr="0085115F">
        <w:rPr>
          <w:lang w:val="el-GR"/>
        </w:rPr>
        <w:t xml:space="preserve"> </w:t>
      </w:r>
      <w:r>
        <w:t>Redshift</w:t>
      </w:r>
      <w:r w:rsidRPr="0085115F">
        <w:rPr>
          <w:lang w:val="el-GR"/>
        </w:rPr>
        <w:t xml:space="preserve">, </w:t>
      </w:r>
      <w:r w:rsidR="0085115F">
        <w:rPr>
          <w:lang w:val="el-GR"/>
        </w:rPr>
        <w:t xml:space="preserve">το </w:t>
      </w:r>
      <w:r w:rsidR="0085115F">
        <w:t>IBM</w:t>
      </w:r>
      <w:r w:rsidR="0085115F" w:rsidRPr="0085115F">
        <w:rPr>
          <w:lang w:val="el-GR"/>
        </w:rPr>
        <w:t xml:space="preserve"> </w:t>
      </w:r>
      <w:r w:rsidR="0085115F">
        <w:t>Db</w:t>
      </w:r>
      <w:r w:rsidR="0085115F" w:rsidRPr="0085115F">
        <w:rPr>
          <w:lang w:val="el-GR"/>
        </w:rPr>
        <w:t xml:space="preserve">2 </w:t>
      </w:r>
      <w:r w:rsidR="0085115F">
        <w:rPr>
          <w:lang w:val="el-GR"/>
        </w:rPr>
        <w:t xml:space="preserve">και το </w:t>
      </w:r>
      <w:r w:rsidR="0085115F">
        <w:t>Google</w:t>
      </w:r>
      <w:r w:rsidR="0085115F" w:rsidRPr="0085115F">
        <w:rPr>
          <w:lang w:val="el-GR"/>
        </w:rPr>
        <w:t xml:space="preserve"> </w:t>
      </w:r>
      <w:proofErr w:type="spellStart"/>
      <w:r w:rsidR="0085115F">
        <w:t>BigQuery</w:t>
      </w:r>
      <w:proofErr w:type="spellEnd"/>
      <w:sdt>
        <w:sdtPr>
          <w:id w:val="-1990788828"/>
          <w:citation/>
        </w:sdtPr>
        <w:sdtEndPr/>
        <w:sdtContent>
          <w:r w:rsidR="0085115F">
            <w:fldChar w:fldCharType="begin"/>
          </w:r>
          <w:r w:rsidR="0085115F" w:rsidRPr="0085115F">
            <w:rPr>
              <w:lang w:val="el-GR"/>
            </w:rPr>
            <w:instrText xml:space="preserve"> </w:instrText>
          </w:r>
          <w:r w:rsidR="0085115F">
            <w:instrText>CITATION</w:instrText>
          </w:r>
          <w:r w:rsidR="0085115F" w:rsidRPr="0085115F">
            <w:rPr>
              <w:lang w:val="el-GR"/>
            </w:rPr>
            <w:instrText xml:space="preserve"> </w:instrText>
          </w:r>
          <w:r w:rsidR="0085115F">
            <w:instrText>G</w:instrText>
          </w:r>
          <w:r w:rsidR="0085115F" w:rsidRPr="0085115F">
            <w:rPr>
              <w:lang w:val="el-GR"/>
            </w:rPr>
            <w:instrText>2 \</w:instrText>
          </w:r>
          <w:r w:rsidR="0085115F">
            <w:instrText>l</w:instrText>
          </w:r>
          <w:r w:rsidR="0085115F" w:rsidRPr="0085115F">
            <w:rPr>
              <w:lang w:val="el-GR"/>
            </w:rPr>
            <w:instrText xml:space="preserve"> 1033 </w:instrText>
          </w:r>
          <w:r w:rsidR="0085115F">
            <w:fldChar w:fldCharType="separate"/>
          </w:r>
          <w:r w:rsidR="0085115F" w:rsidRPr="0085115F">
            <w:rPr>
              <w:noProof/>
              <w:lang w:val="el-GR"/>
            </w:rPr>
            <w:t xml:space="preserve"> [4]</w:t>
          </w:r>
          <w:r w:rsidR="0085115F">
            <w:fldChar w:fldCharType="end"/>
          </w:r>
        </w:sdtContent>
      </w:sdt>
      <w:r w:rsidR="0085115F" w:rsidRPr="0085115F">
        <w:rPr>
          <w:lang w:val="el-GR"/>
        </w:rPr>
        <w:t>.</w:t>
      </w:r>
    </w:p>
    <w:p w14:paraId="29D141B3" w14:textId="230A5F22" w:rsidR="0085115F" w:rsidRDefault="0085115F">
      <w:pPr>
        <w:rPr>
          <w:lang w:val="el-GR"/>
        </w:rPr>
      </w:pPr>
      <w:r>
        <w:rPr>
          <w:lang w:val="el-GR"/>
        </w:rPr>
        <w:t xml:space="preserve">Η εφαρμογή που υλοποιεί το παρόν </w:t>
      </w:r>
      <w:r>
        <w:t>project</w:t>
      </w:r>
      <w:r>
        <w:rPr>
          <w:lang w:val="el-GR"/>
        </w:rPr>
        <w:t xml:space="preserve">, διαφέρει από τα παραπάνω, λόγω του ότι ο σκοπός του είναι να προσφέρει μια εύχρηστη και </w:t>
      </w:r>
      <w:r>
        <w:t>lightweight</w:t>
      </w:r>
      <w:r w:rsidRPr="0085115F">
        <w:rPr>
          <w:lang w:val="el-GR"/>
        </w:rPr>
        <w:t xml:space="preserve"> </w:t>
      </w:r>
      <w:r>
        <w:rPr>
          <w:lang w:val="el-GR"/>
        </w:rPr>
        <w:t>πλατφόρμα διαχείρισης</w:t>
      </w:r>
      <w:r w:rsidRPr="0085115F">
        <w:rPr>
          <w:lang w:val="el-GR"/>
        </w:rPr>
        <w:t xml:space="preserve"> </w:t>
      </w:r>
      <w:r>
        <w:rPr>
          <w:lang w:val="el-GR"/>
        </w:rPr>
        <w:t xml:space="preserve">αρχείων </w:t>
      </w:r>
      <w:r>
        <w:t>backup</w:t>
      </w:r>
      <w:r>
        <w:rPr>
          <w:lang w:val="el-GR"/>
        </w:rPr>
        <w:t>, χαμηλού κόστους. Απευθύνεται είτε σε έναν μεμονωμένο χρήστη είτε σε μια ολόκληρη επιχείρηση.</w:t>
      </w:r>
    </w:p>
    <w:p w14:paraId="0F5D687B" w14:textId="31D0A18E" w:rsidR="0085115F" w:rsidRDefault="0085115F">
      <w:pPr>
        <w:rPr>
          <w:lang w:val="el-GR"/>
        </w:rPr>
      </w:pPr>
    </w:p>
    <w:sdt>
      <w:sdtPr>
        <w:rPr>
          <w:rFonts w:asciiTheme="minorHAnsi" w:eastAsiaTheme="minorHAnsi" w:hAnsiTheme="minorHAnsi" w:cstheme="minorBidi"/>
          <w:color w:val="auto"/>
          <w:sz w:val="22"/>
          <w:szCs w:val="22"/>
        </w:rPr>
        <w:id w:val="109788546"/>
        <w:docPartObj>
          <w:docPartGallery w:val="Bibliographies"/>
          <w:docPartUnique/>
        </w:docPartObj>
      </w:sdtPr>
      <w:sdtEndPr/>
      <w:sdtContent>
        <w:p w14:paraId="4F638ECE" w14:textId="4CD036C5" w:rsidR="0085115F" w:rsidRDefault="0085115F">
          <w:pPr>
            <w:pStyle w:val="Heading1"/>
          </w:pPr>
          <w:r>
            <w:t>Bibliography</w:t>
          </w:r>
        </w:p>
        <w:sdt>
          <w:sdtPr>
            <w:id w:val="111145805"/>
            <w:bibliography/>
          </w:sdtPr>
          <w:sdtEndPr/>
          <w:sdtContent>
            <w:p w14:paraId="7991B6DD" w14:textId="77777777" w:rsidR="0085115F" w:rsidRDefault="008511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5115F" w14:paraId="26D41BF5" w14:textId="77777777">
                <w:trPr>
                  <w:divId w:val="1985314218"/>
                  <w:tblCellSpacing w:w="15" w:type="dxa"/>
                </w:trPr>
                <w:tc>
                  <w:tcPr>
                    <w:tcW w:w="50" w:type="pct"/>
                    <w:hideMark/>
                  </w:tcPr>
                  <w:p w14:paraId="11C5897E" w14:textId="42600AF8" w:rsidR="0085115F" w:rsidRDefault="0085115F">
                    <w:pPr>
                      <w:pStyle w:val="Bibliography"/>
                      <w:rPr>
                        <w:noProof/>
                        <w:sz w:val="24"/>
                        <w:szCs w:val="24"/>
                      </w:rPr>
                    </w:pPr>
                    <w:r>
                      <w:rPr>
                        <w:noProof/>
                      </w:rPr>
                      <w:t xml:space="preserve">[1] </w:t>
                    </w:r>
                  </w:p>
                </w:tc>
                <w:tc>
                  <w:tcPr>
                    <w:tcW w:w="0" w:type="auto"/>
                    <w:hideMark/>
                  </w:tcPr>
                  <w:p w14:paraId="623859A6" w14:textId="77777777" w:rsidR="0085115F" w:rsidRDefault="0085115F">
                    <w:pPr>
                      <w:pStyle w:val="Bibliography"/>
                      <w:rPr>
                        <w:noProof/>
                      </w:rPr>
                    </w:pPr>
                    <w:r>
                      <w:rPr>
                        <w:noProof/>
                      </w:rPr>
                      <w:t>"Tutorials Point," [Online]. Available: https://www.tutorialspoint.com/dwh/dwh_overview.htm.</w:t>
                    </w:r>
                  </w:p>
                </w:tc>
              </w:tr>
              <w:tr w:rsidR="0085115F" w14:paraId="2F9F01FF" w14:textId="77777777">
                <w:trPr>
                  <w:divId w:val="1985314218"/>
                  <w:tblCellSpacing w:w="15" w:type="dxa"/>
                </w:trPr>
                <w:tc>
                  <w:tcPr>
                    <w:tcW w:w="50" w:type="pct"/>
                    <w:hideMark/>
                  </w:tcPr>
                  <w:p w14:paraId="32415A00" w14:textId="77777777" w:rsidR="0085115F" w:rsidRDefault="0085115F">
                    <w:pPr>
                      <w:pStyle w:val="Bibliography"/>
                      <w:rPr>
                        <w:noProof/>
                      </w:rPr>
                    </w:pPr>
                    <w:r>
                      <w:rPr>
                        <w:noProof/>
                      </w:rPr>
                      <w:t xml:space="preserve">[2] </w:t>
                    </w:r>
                  </w:p>
                </w:tc>
                <w:tc>
                  <w:tcPr>
                    <w:tcW w:w="0" w:type="auto"/>
                    <w:hideMark/>
                  </w:tcPr>
                  <w:p w14:paraId="10267D3B" w14:textId="77777777" w:rsidR="0085115F" w:rsidRDefault="0085115F">
                    <w:pPr>
                      <w:pStyle w:val="Bibliography"/>
                      <w:rPr>
                        <w:noProof/>
                      </w:rPr>
                    </w:pPr>
                    <w:r>
                      <w:rPr>
                        <w:noProof/>
                      </w:rPr>
                      <w:t>"Data Channel," [Online]. Available: https://datachannel.co/blogs/best-applications-of-data-warehousing/.</w:t>
                    </w:r>
                  </w:p>
                </w:tc>
              </w:tr>
              <w:tr w:rsidR="0085115F" w14:paraId="53EBED46" w14:textId="77777777">
                <w:trPr>
                  <w:divId w:val="1985314218"/>
                  <w:tblCellSpacing w:w="15" w:type="dxa"/>
                </w:trPr>
                <w:tc>
                  <w:tcPr>
                    <w:tcW w:w="50" w:type="pct"/>
                    <w:hideMark/>
                  </w:tcPr>
                  <w:p w14:paraId="021C6B02" w14:textId="77777777" w:rsidR="0085115F" w:rsidRDefault="0085115F">
                    <w:pPr>
                      <w:pStyle w:val="Bibliography"/>
                      <w:rPr>
                        <w:noProof/>
                      </w:rPr>
                    </w:pPr>
                    <w:r>
                      <w:rPr>
                        <w:noProof/>
                      </w:rPr>
                      <w:t xml:space="preserve">[3] </w:t>
                    </w:r>
                  </w:p>
                </w:tc>
                <w:tc>
                  <w:tcPr>
                    <w:tcW w:w="0" w:type="auto"/>
                    <w:hideMark/>
                  </w:tcPr>
                  <w:p w14:paraId="1741D743" w14:textId="77777777" w:rsidR="0085115F" w:rsidRDefault="0085115F">
                    <w:pPr>
                      <w:pStyle w:val="Bibliography"/>
                      <w:rPr>
                        <w:noProof/>
                      </w:rPr>
                    </w:pPr>
                    <w:r>
                      <w:rPr>
                        <w:noProof/>
                      </w:rPr>
                      <w:t>"What is DBMS," [Online]. Available: https://whatisdbms.com/12-applications-of-data-warehouse/.</w:t>
                    </w:r>
                  </w:p>
                </w:tc>
              </w:tr>
              <w:tr w:rsidR="0085115F" w14:paraId="7E414378" w14:textId="77777777">
                <w:trPr>
                  <w:divId w:val="1985314218"/>
                  <w:tblCellSpacing w:w="15" w:type="dxa"/>
                </w:trPr>
                <w:tc>
                  <w:tcPr>
                    <w:tcW w:w="50" w:type="pct"/>
                    <w:hideMark/>
                  </w:tcPr>
                  <w:p w14:paraId="1CFA6F4C" w14:textId="77777777" w:rsidR="0085115F" w:rsidRDefault="0085115F">
                    <w:pPr>
                      <w:pStyle w:val="Bibliography"/>
                      <w:rPr>
                        <w:noProof/>
                      </w:rPr>
                    </w:pPr>
                    <w:r>
                      <w:rPr>
                        <w:noProof/>
                      </w:rPr>
                      <w:t xml:space="preserve">[4] </w:t>
                    </w:r>
                  </w:p>
                </w:tc>
                <w:tc>
                  <w:tcPr>
                    <w:tcW w:w="0" w:type="auto"/>
                    <w:hideMark/>
                  </w:tcPr>
                  <w:p w14:paraId="4E8C7A6B" w14:textId="77777777" w:rsidR="0085115F" w:rsidRDefault="0085115F">
                    <w:pPr>
                      <w:pStyle w:val="Bibliography"/>
                      <w:rPr>
                        <w:noProof/>
                      </w:rPr>
                    </w:pPr>
                    <w:r>
                      <w:rPr>
                        <w:noProof/>
                      </w:rPr>
                      <w:t>"G2," [Online]. Available: https://www.g2.com/categories/data-warehouse.</w:t>
                    </w:r>
                  </w:p>
                </w:tc>
              </w:tr>
            </w:tbl>
            <w:p w14:paraId="28C64250" w14:textId="77777777" w:rsidR="0085115F" w:rsidRDefault="0085115F">
              <w:pPr>
                <w:divId w:val="1985314218"/>
                <w:rPr>
                  <w:rFonts w:eastAsia="Times New Roman"/>
                  <w:noProof/>
                </w:rPr>
              </w:pPr>
            </w:p>
            <w:p w14:paraId="396A4F34" w14:textId="21F689F5" w:rsidR="0085115F" w:rsidRDefault="0085115F">
              <w:r>
                <w:rPr>
                  <w:b/>
                  <w:bCs/>
                  <w:noProof/>
                </w:rPr>
                <w:fldChar w:fldCharType="end"/>
              </w:r>
            </w:p>
          </w:sdtContent>
        </w:sdt>
      </w:sdtContent>
    </w:sdt>
    <w:p w14:paraId="2BD28626" w14:textId="77777777" w:rsidR="0085115F" w:rsidRPr="0085115F" w:rsidRDefault="0085115F"/>
    <w:sectPr w:rsidR="0085115F" w:rsidRPr="0085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52"/>
    <w:rsid w:val="0059700D"/>
    <w:rsid w:val="00612E5E"/>
    <w:rsid w:val="0085115F"/>
    <w:rsid w:val="00970352"/>
    <w:rsid w:val="0097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3BDC"/>
  <w15:chartTrackingRefBased/>
  <w15:docId w15:val="{3411C16C-DA0E-43D5-89A5-9CD44C035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15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1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7762">
      <w:bodyDiv w:val="1"/>
      <w:marLeft w:val="0"/>
      <w:marRight w:val="0"/>
      <w:marTop w:val="0"/>
      <w:marBottom w:val="0"/>
      <w:divBdr>
        <w:top w:val="none" w:sz="0" w:space="0" w:color="auto"/>
        <w:left w:val="none" w:sz="0" w:space="0" w:color="auto"/>
        <w:bottom w:val="none" w:sz="0" w:space="0" w:color="auto"/>
        <w:right w:val="none" w:sz="0" w:space="0" w:color="auto"/>
      </w:divBdr>
    </w:div>
    <w:div w:id="58792603">
      <w:bodyDiv w:val="1"/>
      <w:marLeft w:val="0"/>
      <w:marRight w:val="0"/>
      <w:marTop w:val="0"/>
      <w:marBottom w:val="0"/>
      <w:divBdr>
        <w:top w:val="none" w:sz="0" w:space="0" w:color="auto"/>
        <w:left w:val="none" w:sz="0" w:space="0" w:color="auto"/>
        <w:bottom w:val="none" w:sz="0" w:space="0" w:color="auto"/>
        <w:right w:val="none" w:sz="0" w:space="0" w:color="auto"/>
      </w:divBdr>
    </w:div>
    <w:div w:id="209196167">
      <w:bodyDiv w:val="1"/>
      <w:marLeft w:val="0"/>
      <w:marRight w:val="0"/>
      <w:marTop w:val="0"/>
      <w:marBottom w:val="0"/>
      <w:divBdr>
        <w:top w:val="none" w:sz="0" w:space="0" w:color="auto"/>
        <w:left w:val="none" w:sz="0" w:space="0" w:color="auto"/>
        <w:bottom w:val="none" w:sz="0" w:space="0" w:color="auto"/>
        <w:right w:val="none" w:sz="0" w:space="0" w:color="auto"/>
      </w:divBdr>
    </w:div>
    <w:div w:id="458306510">
      <w:bodyDiv w:val="1"/>
      <w:marLeft w:val="0"/>
      <w:marRight w:val="0"/>
      <w:marTop w:val="0"/>
      <w:marBottom w:val="0"/>
      <w:divBdr>
        <w:top w:val="none" w:sz="0" w:space="0" w:color="auto"/>
        <w:left w:val="none" w:sz="0" w:space="0" w:color="auto"/>
        <w:bottom w:val="none" w:sz="0" w:space="0" w:color="auto"/>
        <w:right w:val="none" w:sz="0" w:space="0" w:color="auto"/>
      </w:divBdr>
    </w:div>
    <w:div w:id="496652745">
      <w:bodyDiv w:val="1"/>
      <w:marLeft w:val="0"/>
      <w:marRight w:val="0"/>
      <w:marTop w:val="0"/>
      <w:marBottom w:val="0"/>
      <w:divBdr>
        <w:top w:val="none" w:sz="0" w:space="0" w:color="auto"/>
        <w:left w:val="none" w:sz="0" w:space="0" w:color="auto"/>
        <w:bottom w:val="none" w:sz="0" w:space="0" w:color="auto"/>
        <w:right w:val="none" w:sz="0" w:space="0" w:color="auto"/>
      </w:divBdr>
    </w:div>
    <w:div w:id="500237000">
      <w:bodyDiv w:val="1"/>
      <w:marLeft w:val="0"/>
      <w:marRight w:val="0"/>
      <w:marTop w:val="0"/>
      <w:marBottom w:val="0"/>
      <w:divBdr>
        <w:top w:val="none" w:sz="0" w:space="0" w:color="auto"/>
        <w:left w:val="none" w:sz="0" w:space="0" w:color="auto"/>
        <w:bottom w:val="none" w:sz="0" w:space="0" w:color="auto"/>
        <w:right w:val="none" w:sz="0" w:space="0" w:color="auto"/>
      </w:divBdr>
    </w:div>
    <w:div w:id="575013230">
      <w:bodyDiv w:val="1"/>
      <w:marLeft w:val="0"/>
      <w:marRight w:val="0"/>
      <w:marTop w:val="0"/>
      <w:marBottom w:val="0"/>
      <w:divBdr>
        <w:top w:val="none" w:sz="0" w:space="0" w:color="auto"/>
        <w:left w:val="none" w:sz="0" w:space="0" w:color="auto"/>
        <w:bottom w:val="none" w:sz="0" w:space="0" w:color="auto"/>
        <w:right w:val="none" w:sz="0" w:space="0" w:color="auto"/>
      </w:divBdr>
    </w:div>
    <w:div w:id="728773800">
      <w:bodyDiv w:val="1"/>
      <w:marLeft w:val="0"/>
      <w:marRight w:val="0"/>
      <w:marTop w:val="0"/>
      <w:marBottom w:val="0"/>
      <w:divBdr>
        <w:top w:val="none" w:sz="0" w:space="0" w:color="auto"/>
        <w:left w:val="none" w:sz="0" w:space="0" w:color="auto"/>
        <w:bottom w:val="none" w:sz="0" w:space="0" w:color="auto"/>
        <w:right w:val="none" w:sz="0" w:space="0" w:color="auto"/>
      </w:divBdr>
    </w:div>
    <w:div w:id="784346623">
      <w:bodyDiv w:val="1"/>
      <w:marLeft w:val="0"/>
      <w:marRight w:val="0"/>
      <w:marTop w:val="0"/>
      <w:marBottom w:val="0"/>
      <w:divBdr>
        <w:top w:val="none" w:sz="0" w:space="0" w:color="auto"/>
        <w:left w:val="none" w:sz="0" w:space="0" w:color="auto"/>
        <w:bottom w:val="none" w:sz="0" w:space="0" w:color="auto"/>
        <w:right w:val="none" w:sz="0" w:space="0" w:color="auto"/>
      </w:divBdr>
    </w:div>
    <w:div w:id="1436637355">
      <w:bodyDiv w:val="1"/>
      <w:marLeft w:val="0"/>
      <w:marRight w:val="0"/>
      <w:marTop w:val="0"/>
      <w:marBottom w:val="0"/>
      <w:divBdr>
        <w:top w:val="none" w:sz="0" w:space="0" w:color="auto"/>
        <w:left w:val="none" w:sz="0" w:space="0" w:color="auto"/>
        <w:bottom w:val="none" w:sz="0" w:space="0" w:color="auto"/>
        <w:right w:val="none" w:sz="0" w:space="0" w:color="auto"/>
      </w:divBdr>
    </w:div>
    <w:div w:id="1475870771">
      <w:bodyDiv w:val="1"/>
      <w:marLeft w:val="0"/>
      <w:marRight w:val="0"/>
      <w:marTop w:val="0"/>
      <w:marBottom w:val="0"/>
      <w:divBdr>
        <w:top w:val="none" w:sz="0" w:space="0" w:color="auto"/>
        <w:left w:val="none" w:sz="0" w:space="0" w:color="auto"/>
        <w:bottom w:val="none" w:sz="0" w:space="0" w:color="auto"/>
        <w:right w:val="none" w:sz="0" w:space="0" w:color="auto"/>
      </w:divBdr>
    </w:div>
    <w:div w:id="1551384107">
      <w:bodyDiv w:val="1"/>
      <w:marLeft w:val="0"/>
      <w:marRight w:val="0"/>
      <w:marTop w:val="0"/>
      <w:marBottom w:val="0"/>
      <w:divBdr>
        <w:top w:val="none" w:sz="0" w:space="0" w:color="auto"/>
        <w:left w:val="none" w:sz="0" w:space="0" w:color="auto"/>
        <w:bottom w:val="none" w:sz="0" w:space="0" w:color="auto"/>
        <w:right w:val="none" w:sz="0" w:space="0" w:color="auto"/>
      </w:divBdr>
    </w:div>
    <w:div w:id="1729307582">
      <w:bodyDiv w:val="1"/>
      <w:marLeft w:val="0"/>
      <w:marRight w:val="0"/>
      <w:marTop w:val="0"/>
      <w:marBottom w:val="0"/>
      <w:divBdr>
        <w:top w:val="none" w:sz="0" w:space="0" w:color="auto"/>
        <w:left w:val="none" w:sz="0" w:space="0" w:color="auto"/>
        <w:bottom w:val="none" w:sz="0" w:space="0" w:color="auto"/>
        <w:right w:val="none" w:sz="0" w:space="0" w:color="auto"/>
      </w:divBdr>
    </w:div>
    <w:div w:id="1730836983">
      <w:bodyDiv w:val="1"/>
      <w:marLeft w:val="0"/>
      <w:marRight w:val="0"/>
      <w:marTop w:val="0"/>
      <w:marBottom w:val="0"/>
      <w:divBdr>
        <w:top w:val="none" w:sz="0" w:space="0" w:color="auto"/>
        <w:left w:val="none" w:sz="0" w:space="0" w:color="auto"/>
        <w:bottom w:val="none" w:sz="0" w:space="0" w:color="auto"/>
        <w:right w:val="none" w:sz="0" w:space="0" w:color="auto"/>
      </w:divBdr>
    </w:div>
    <w:div w:id="1895970165">
      <w:bodyDiv w:val="1"/>
      <w:marLeft w:val="0"/>
      <w:marRight w:val="0"/>
      <w:marTop w:val="0"/>
      <w:marBottom w:val="0"/>
      <w:divBdr>
        <w:top w:val="none" w:sz="0" w:space="0" w:color="auto"/>
        <w:left w:val="none" w:sz="0" w:space="0" w:color="auto"/>
        <w:bottom w:val="none" w:sz="0" w:space="0" w:color="auto"/>
        <w:right w:val="none" w:sz="0" w:space="0" w:color="auto"/>
      </w:divBdr>
    </w:div>
    <w:div w:id="1901672348">
      <w:bodyDiv w:val="1"/>
      <w:marLeft w:val="0"/>
      <w:marRight w:val="0"/>
      <w:marTop w:val="0"/>
      <w:marBottom w:val="0"/>
      <w:divBdr>
        <w:top w:val="none" w:sz="0" w:space="0" w:color="auto"/>
        <w:left w:val="none" w:sz="0" w:space="0" w:color="auto"/>
        <w:bottom w:val="none" w:sz="0" w:space="0" w:color="auto"/>
        <w:right w:val="none" w:sz="0" w:space="0" w:color="auto"/>
      </w:divBdr>
    </w:div>
    <w:div w:id="1985314218">
      <w:bodyDiv w:val="1"/>
      <w:marLeft w:val="0"/>
      <w:marRight w:val="0"/>
      <w:marTop w:val="0"/>
      <w:marBottom w:val="0"/>
      <w:divBdr>
        <w:top w:val="none" w:sz="0" w:space="0" w:color="auto"/>
        <w:left w:val="none" w:sz="0" w:space="0" w:color="auto"/>
        <w:bottom w:val="none" w:sz="0" w:space="0" w:color="auto"/>
        <w:right w:val="none" w:sz="0" w:space="0" w:color="auto"/>
      </w:divBdr>
    </w:div>
    <w:div w:id="199001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G2</b:Tag>
    <b:SourceType>InternetSite</b:SourceType>
    <b:Guid>{0C7C7B34-9A3B-4C11-9D7F-4911DE58DA0E}</b:Guid>
    <b:Title>G2</b:Title>
    <b:URL>https://www.g2.com/categories/data-warehouse</b:URL>
    <b:RefOrder>4</b:RefOrder>
  </b:Source>
  <b:Source>
    <b:Tag>Tut</b:Tag>
    <b:SourceType>InternetSite</b:SourceType>
    <b:Guid>{28B474DC-4028-41A0-8B8B-E4FB97D7F80D}</b:Guid>
    <b:Title>Tutorials Point</b:Title>
    <b:URL>https://www.tutorialspoint.com/dwh/dwh_overview.htm</b:URL>
    <b:RefOrder>1</b:RefOrder>
  </b:Source>
  <b:Source>
    <b:Tag>Dat</b:Tag>
    <b:SourceType>InternetSite</b:SourceType>
    <b:Guid>{83AAA5A9-420E-484A-987E-880743A23CDB}</b:Guid>
    <b:Title>Data Channel</b:Title>
    <b:URL>https://datachannel.co/blogs/best-applications-of-data-warehousing/</b:URL>
    <b:RefOrder>2</b:RefOrder>
  </b:Source>
  <b:Source>
    <b:Tag>Wha</b:Tag>
    <b:SourceType>InternetSite</b:SourceType>
    <b:Guid>{9B99C079-0902-4DC0-8633-41CDFA6D393E}</b:Guid>
    <b:Title>What is DBMS</b:Title>
    <b:URL>https://whatisdbms.com/12-applications-of-data-warehouse/</b:URL>
    <b:RefOrder>3</b:RefOrder>
  </b:Source>
</b:Sources>
</file>

<file path=customXml/itemProps1.xml><?xml version="1.0" encoding="utf-8"?>
<ds:datastoreItem xmlns:ds="http://schemas.openxmlformats.org/officeDocument/2006/customXml" ds:itemID="{C2C268A9-809F-4C52-9C21-89484701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ΤΣΙΑΜΗΤΡΟΣ ΚΩΝΣΤΑΝΤΙΝΟΣ</dc:creator>
  <cp:keywords/>
  <dc:description/>
  <cp:lastModifiedBy>ΤΣΙΑΜΗΤΡΟΣ ΚΩΝΣΤΑΝΤΙΝΟΣ</cp:lastModifiedBy>
  <cp:revision>2</cp:revision>
  <dcterms:created xsi:type="dcterms:W3CDTF">2022-04-05T07:01:00Z</dcterms:created>
  <dcterms:modified xsi:type="dcterms:W3CDTF">2022-06-14T19:24:00Z</dcterms:modified>
</cp:coreProperties>
</file>