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D&amp;D Defense — Legal Review Packet</w:t>
      </w:r>
    </w:p>
    <w:p>
      <w:pPr>
        <w:spacing w:after="120"/>
      </w:pPr>
      <w:r>
        <w:rPr>
          <w:i/>
          <w:iCs/>
          <w:color w:val="666666"/>
          <w:sz w:val="19"/>
          <w:szCs w:val="19"/>
        </w:rPr>
        <w:t xml:space="preserve">A short brief for counsel review. Prepared by the founder; not yet reviewed by an attorney.</w:t>
      </w:r>
    </w:p>
    <w:p>
      <w:pPr>
        <w:spacing w:after="120"/>
      </w:pPr>
      <w:r>
        <w:rPr>
          <w:color w:val="666666"/>
          <w:sz w:val="18"/>
          <w:szCs w:val="18"/>
        </w:rPr>
        <w:t xml:space="preserve">Prepared June 2026 · For review by [Attorney name]</w:t>
      </w:r>
    </w:p>
    <w:p>
      <w:pPr>
        <w:pStyle w:val="Heading1"/>
      </w:pPr>
      <w:r>
        <w:t xml:space="preserve">1. What the business does (in one paragraph)</w:t>
      </w:r>
    </w:p>
    <w:p>
      <w:pPr>
        <w:spacing w:after="120"/>
      </w:pPr>
      <w:r>
        <w:t xml:space="preserve">D&amp;D Defense is a software tool. It ingests an ocean-carrier demurrage &amp; detention (D&amp;D) invoice, checks it against the U.S. Federal Maritime Commission's billing rule (46 CFR Part 541) plus arithmetic and the FMC “incentive principle” (46 CFR § 545.5), flags charges that appear disputable, and DRAFTS a dispute letter. The customer reviews the draft, completes it, and sends it to the carrier themselves. The tool does not file disputes, does not contact carriers, and does not represent anyone.</w:t>
      </w:r>
    </w:p>
    <w:p>
      <w:pPr>
        <w:pBdr>
          <w:left w:val="single" w:color="E0B500" w:sz="18" w:space="10"/>
        </w:pBdr>
        <w:shd w:fill="FFF6CC" w:val="clear"/>
        <w:spacing w:after="140" w:before="80"/>
      </w:pPr>
      <w:r>
        <w:rPr>
          <w:b/>
          <w:bCs/>
          <w:color w:val="7A5C00"/>
        </w:rPr>
        <w:t xml:space="preserve">The core question for you:  </w:t>
      </w:r>
      <w:r>
        <w:rPr>
          <w:color w:val="7A5C00"/>
        </w:rPr>
        <w:t xml:space="preserve">Does this model stay on the correct side of the line between (a) permissible self-help legal-information software and (b) the unauthorized practice of law (UPL)? Our design intent is (a). We want your confirmation and any changes needed to keep it there.</w:t>
      </w:r>
    </w:p>
    <w:p>
      <w:pPr>
        <w:pStyle w:val="Heading1"/>
      </w:pPr>
      <w:r>
        <w:t xml:space="preserve">2. Why we believe it is software, not legal practice</w:t>
      </w:r>
    </w:p>
    <w:p>
      <w:pPr>
        <w:spacing w:after="120"/>
      </w:pPr>
      <w:r>
        <w:t xml:space="preserve">We deliberately designed the product to mirror self-help tools like TurboTax / LegalZoom document generators:</w:t>
      </w:r>
    </w:p>
    <w:p>
      <w:pPr>
        <w:pStyle w:val="ListParagraph"/>
        <w:numPr>
          <w:ilvl w:val="0"/>
          <w:numId w:val="2"/>
        </w:numPr>
        <w:spacing w:after="70"/>
      </w:pPr>
      <w:r>
        <w:t xml:space="preserve">It analyzes facts (an invoice) against a published government regulation — a computation, not bespoke legal advice.</w:t>
      </w:r>
    </w:p>
    <w:p>
      <w:pPr>
        <w:pStyle w:val="ListParagraph"/>
        <w:numPr>
          <w:ilvl w:val="0"/>
          <w:numId w:val="2"/>
        </w:numPr>
        <w:spacing w:after="70"/>
      </w:pPr>
      <w:r>
        <w:t xml:space="preserve">It generates a document the customer reviews and sends; a human is always in the loop.</w:t>
      </w:r>
    </w:p>
    <w:p>
      <w:pPr>
        <w:pStyle w:val="ListParagraph"/>
        <w:numPr>
          <w:ilvl w:val="0"/>
          <w:numId w:val="2"/>
        </w:numPr>
        <w:spacing w:after="70"/>
      </w:pPr>
      <w:r>
        <w:t xml:space="preserve">It never files anything, never communicates with the carrier, and never represents the customer.</w:t>
      </w:r>
    </w:p>
    <w:p>
      <w:pPr>
        <w:pStyle w:val="ListParagraph"/>
        <w:numPr>
          <w:ilvl w:val="0"/>
          <w:numId w:val="2"/>
        </w:numPr>
        <w:spacing w:after="70"/>
      </w:pPr>
      <w:r>
        <w:t xml:space="preserve">Every output carries a prominent “not legal advice / you are the sender” disclaimer (text in §6).</w:t>
      </w:r>
    </w:p>
    <w:p>
      <w:pPr>
        <w:pStyle w:val="ListParagraph"/>
        <w:numPr>
          <w:ilvl w:val="0"/>
          <w:numId w:val="2"/>
        </w:numPr>
        <w:spacing w:after="70"/>
      </w:pPr>
      <w:r>
        <w:t xml:space="preserve">We sell primarily to businesses (freight forwarders), not consumers.</w:t>
      </w:r>
    </w:p>
    <w:p>
      <w:pPr>
        <w:spacing w:after="120"/>
      </w:pPr>
      <w:r>
        <w:rPr>
          <w:i/>
          <w:iCs/>
          <w:color w:val="666666"/>
        </w:rPr>
        <w:t xml:space="preserve">Please confirm whether these factors are sufficient in the relevant jurisdiction(s), and flag any that are weak.</w:t>
      </w:r>
    </w:p>
    <w:p>
      <w:pPr>
        <w:pStyle w:val="Heading1"/>
      </w:pPr>
      <w:r>
        <w:t xml:space="preserve">3. The three areas we most want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F172A" w:val="clear"/>
            <w:tcMar>
              <w:top w:type="dxa" w:w="70"/>
              <w:left w:type="dxa" w:w="110"/>
              <w:bottom w:type="dxa" w:w="70"/>
              <w:right w:type="dxa" w:w="110"/>
            </w:tcMar>
          </w:tcPr>
          <w:p>
            <w:r>
              <w:rPr>
                <w:b/>
                <w:bCs/>
                <w:color w:val="FFFFFF"/>
                <w:sz w:val="19"/>
                <w:szCs w:val="19"/>
              </w:rPr>
              <w:t xml:space="preserve">Area</w:t>
            </w:r>
          </w:p>
        </w:tc>
        <w:tc>
          <w:tcPr>
            <w:tcW w:type="dxa" w:w="6960"/>
            <w:tcBorders>
              <w:top w:val="single" w:color="CCCCCC" w:sz="1"/>
              <w:left w:val="single" w:color="CCCCCC" w:sz="1"/>
              <w:bottom w:val="single" w:color="CCCCCC" w:sz="1"/>
              <w:right w:val="single" w:color="CCCCCC" w:sz="1"/>
            </w:tcBorders>
            <w:shd w:fill="0F172A" w:val="clear"/>
            <w:tcMar>
              <w:top w:type="dxa" w:w="70"/>
              <w:left w:type="dxa" w:w="110"/>
              <w:bottom w:type="dxa" w:w="70"/>
              <w:right w:type="dxa" w:w="110"/>
            </w:tcMar>
          </w:tcPr>
          <w:p>
            <w:r>
              <w:rPr>
                <w:b/>
                <w:bCs/>
                <w:color w:val="FFFFFF"/>
                <w:sz w:val="19"/>
                <w:szCs w:val="19"/>
              </w:rPr>
              <w:t xml:space="preserve">Our concern / question</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sz w:val="19"/>
                <w:szCs w:val="19"/>
              </w:rPr>
              <w:t xml:space="preserve">UPL boundary</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sz w:val="19"/>
                <w:szCs w:val="19"/>
              </w:rPr>
              <w:t xml:space="preserve">Is automated 'here is a drafted dispute letter citing the regulation' safe, given the customer sends it? Any language we must add or avoid?</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sz w:val="19"/>
                <w:szCs w:val="19"/>
              </w:rPr>
              <w:t xml:space="preserve">The “Managed” tier (future)</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sz w:val="19"/>
                <w:szCs w:val="19"/>
              </w:rPr>
              <w:t xml:space="preserve">We may later offer to handle the drafting/sending workflow FOR a client. This feels closer to acting as their agent. Is this a problem? What structure (e.g., customer always clicks 'send') keeps it safe — or should we not offer it?</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sz w:val="19"/>
                <w:szCs w:val="19"/>
              </w:rPr>
              <w:t xml:space="preserve">Contingency pricing (probably avoiding)</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sz w:val="19"/>
                <w:szCs w:val="19"/>
              </w:rPr>
              <w:t xml:space="preserve">Taking a % of money the carrier waives. We lean toward NOT doing this (feels like acting as a representative). Do you agree it's best avoided, or can it be structured safely?</w:t>
            </w:r>
          </w:p>
        </w:tc>
      </w:tr>
    </w:tbl>
    <w:p>
      <w:pPr>
        <w:pStyle w:val="Heading1"/>
      </w:pPr>
      <w:r>
        <w:t xml:space="preserve">4. Accuracy &amp; reliance</w:t>
      </w:r>
    </w:p>
    <w:p>
      <w:pPr>
        <w:spacing w:after="120"/>
      </w:pPr>
      <w:r>
        <w:t xml:space="preserve">The tool's regulatory citations were verified against the published regulation by the founder, but NOT by an attorney. The dispute letters are drafts, explicitly for the customer to verify before sending. Extraction from invoices is automated and can occasionally misread a field (we added a container-number check-digit validator to catch the most damaging misreads).</w:t>
      </w:r>
    </w:p>
    <w:p>
      <w:pPr>
        <w:spacing w:after="120"/>
      </w:pPr>
      <w:r>
        <w:rPr>
          <w:i/>
          <w:iCs/>
          <w:color w:val="666666"/>
        </w:rPr>
        <w:t xml:space="preserve">Question: Is our “draft, customer verifies” framing plus the disclaimer adequate to manage accuracy/reliance risk? Should we add anything (e.g., an explicit 'verify against your original invoice' step in the product)?</w:t>
      </w:r>
    </w:p>
    <w:p>
      <w:pPr>
        <w:pStyle w:val="Heading1"/>
      </w:pPr>
      <w:r>
        <w:t xml:space="preserve">5. Regulatory currency (a known moving target)</w:t>
      </w:r>
    </w:p>
    <w:p>
      <w:pPr>
        <w:spacing w:after="120"/>
      </w:pPr>
      <w:r>
        <w:t xml:space="preserve">Part 541 is being litigated. We are aware that in 2025 a U.S. Court of Appeals set aside § 541.4 (which party may be billed); it was removed from the CFR. The rest of Part 541 (including the required-invoice-contents rule § 541.6 and the 30-day issuance rule § 541.7) is understood to remain in effect, and the tool does not rely on § 541.4.</w:t>
      </w:r>
    </w:p>
    <w:p>
      <w:pPr>
        <w:spacing w:after="120"/>
      </w:pPr>
      <w:r>
        <w:rPr>
          <w:i/>
          <w:iCs/>
          <w:color w:val="666666"/>
        </w:rPr>
        <w:t xml:space="preserve">Question: Anything else currently in flux we should know about, and how should we phrase the product so it doesn't overstate the legal certainty of any single ground?</w:t>
      </w:r>
    </w:p>
    <w:p>
      <w:pPr>
        <w:pStyle w:val="Heading1"/>
      </w:pPr>
      <w:r>
        <w:t xml:space="preserve">6. Disclaimer language currently in use (please edit freely)</w:t>
      </w:r>
    </w:p>
    <w:p>
      <w:pPr>
        <w:spacing w:after="120"/>
      </w:pPr>
      <w:r>
        <w:rPr>
          <w:color w:val="666666"/>
          <w:sz w:val="19"/>
          <w:szCs w:val="19"/>
        </w:rPr>
        <w:t xml:space="preserve">This appears on the website and on every generated report/letter:</w:t>
      </w:r>
    </w:p>
    <w:p>
      <w:pPr>
        <w:pBdr>
          <w:left w:val="single" w:color="1F5FB3" w:sz="14" w:space="10"/>
        </w:pBdr>
        <w:shd w:fill="F4F6F8" w:val="clear"/>
        <w:spacing w:after="140" w:before="60"/>
      </w:pPr>
      <w:r>
        <w:rPr>
          <w:i/>
          <w:iCs/>
        </w:rPr>
        <w:t xml:space="preserve">D&amp;D Defense provides software-based analysis and drafts documents for your review. It is not a law firm and does not provide legal advice, and it does not file disputes or represent you before any carrier or agency. You review every draft and decide what to send. Regulatory citations reference 46 CFR Part 541 and related FMC rules; verify all grounds before relying on them.</w:t>
      </w:r>
    </w:p>
    <w:p>
      <w:pPr>
        <w:spacing w:after="120"/>
      </w:pPr>
      <w:r>
        <w:rPr>
          <w:color w:val="666666"/>
          <w:sz w:val="19"/>
          <w:szCs w:val="19"/>
        </w:rPr>
        <w:t xml:space="preserve">The dispute letters additionally state, at the foot of each letter:</w:t>
      </w:r>
    </w:p>
    <w:p>
      <w:pPr>
        <w:pBdr>
          <w:left w:val="single" w:color="1F5FB3" w:sz="14" w:space="10"/>
        </w:pBdr>
        <w:shd w:fill="F4F6F8" w:val="clear"/>
        <w:spacing w:after="140" w:before="60"/>
      </w:pPr>
      <w:r>
        <w:rPr>
          <w:i/>
          <w:iCs/>
        </w:rPr>
        <w:t xml:space="preserve">DRAFT for your review. You are the sender; verify every factual claim and citation, complete the bracketed fields, and confirm the carrier's dispute contact from the invoice before sending. This letter is not legal advice.</w:t>
      </w:r>
    </w:p>
    <w:p>
      <w:pPr>
        <w:pStyle w:val="Heading1"/>
      </w:pPr>
      <w:r>
        <w:t xml:space="preserve">7. What we'd like from you</w:t>
      </w:r>
    </w:p>
    <w:p>
      <w:pPr>
        <w:pStyle w:val="ListParagraph"/>
        <w:numPr>
          <w:ilvl w:val="0"/>
          <w:numId w:val="3"/>
        </w:numPr>
        <w:spacing w:after="90"/>
      </w:pPr>
      <w:r>
        <w:t xml:space="preserve">Confirm the core model (software, customer-sends) is on the right side of UPL — or tell us what to change.</w:t>
      </w:r>
    </w:p>
    <w:p>
      <w:pPr>
        <w:pStyle w:val="ListParagraph"/>
        <w:numPr>
          <w:ilvl w:val="0"/>
          <w:numId w:val="3"/>
        </w:numPr>
        <w:spacing w:after="90"/>
      </w:pPr>
      <w:r>
        <w:t xml:space="preserve">A go / no-go (or 'go, but structured this way') on the Managed tier and on contingency pricing.</w:t>
      </w:r>
    </w:p>
    <w:p>
      <w:pPr>
        <w:pStyle w:val="ListParagraph"/>
        <w:numPr>
          <w:ilvl w:val="0"/>
          <w:numId w:val="3"/>
        </w:numPr>
        <w:spacing w:after="90"/>
      </w:pPr>
      <w:r>
        <w:t xml:space="preserve">Edits to the disclaimer language in §6 so we can adopt your version verbatim.</w:t>
      </w:r>
    </w:p>
    <w:p>
      <w:pPr>
        <w:pStyle w:val="ListParagraph"/>
        <w:numPr>
          <w:ilvl w:val="0"/>
          <w:numId w:val="3"/>
        </w:numPr>
        <w:spacing w:after="90"/>
      </w:pPr>
      <w:r>
        <w:t xml:space="preserve">A short Terms of Service + a customer agreement for the paid pilots (we can draft a first pass for you to mark up if that's easier).</w:t>
      </w:r>
    </w:p>
    <w:p>
      <w:pPr>
        <w:pStyle w:val="ListParagraph"/>
        <w:numPr>
          <w:ilvl w:val="0"/>
          <w:numId w:val="3"/>
        </w:numPr>
        <w:spacing w:after="90"/>
      </w:pPr>
      <w:r>
        <w:t xml:space="preserve">Any entity / insurance advice (e.g., should this be an LLC before taking the first paying customer; is E&amp;O insurance warranted).</w:t>
      </w:r>
    </w:p>
    <w:p>
      <w:pPr>
        <w:pBdr>
          <w:top w:val="single" w:color="CCCCCC" w:sz="4" w:space="6"/>
        </w:pBdr>
        <w:spacing w:before="240"/>
      </w:pPr>
      <w:r>
        <w:rPr>
          <w:i/>
          <w:iCs/>
          <w:color w:val="666666"/>
          <w:sz w:val="17"/>
          <w:szCs w:val="17"/>
        </w:rPr>
        <w:t xml:space="preserve">This packet was prepared by the founder to make counsel review efficient. It is a description of intent, not legal analysis, and contains no attorney work product. Nothing here should be construed as legal advice.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D&amp;D Defense — Legal Review Packet · CONFIDENTIAL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Q%1."/>
      <w:lvlJc w:val="left"/>
      <w:pPr>
        <w:ind w:left="620" w:hanging="3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0F172A"/>
      <w:sz w:val="40"/>
      <w:szCs w:val="40"/>
    </w:rPr>
  </w:style>
  <w:style w:type="paragraph" w:styleId="Heading1">
    <w:name w:val="Heading 1"/>
    <w:basedOn w:val="Normal"/>
    <w:next w:val="Normal"/>
    <w:qFormat/>
    <w:pPr>
      <w:pBdr>
        <w:bottom w:val="single" w:color="1F5FB3" w:sz="6" w:space="4"/>
      </w:pBdr>
      <w:spacing w:after="130" w:before="260"/>
      <w:outlineLvl w:val="0"/>
    </w:pPr>
    <w:rPr>
      <w:rFonts w:ascii="Arial" w:cs="Arial" w:eastAsia="Arial" w:hAnsi="Arial"/>
      <w:b/>
      <w:bCs/>
      <w:color w:val="0F172A"/>
      <w:sz w:val="28"/>
      <w:szCs w:val="28"/>
    </w:rPr>
  </w:style>
  <w:style w:type="paragraph" w:styleId="Heading2">
    <w:name w:val="Heading 2"/>
    <w:basedOn w:val="Normal"/>
    <w:next w:val="Normal"/>
    <w:qFormat/>
    <w:pPr>
      <w:spacing w:after="80" w:before="160"/>
      <w:outlineLvl w:val="1"/>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2026-06-04T10:14:26.524Z</dcterms:created>
  <dcterms:modified xsi:type="dcterms:W3CDTF">2026-06-04T10:14:26.552Z</dcterms:modified>
</cp:coreProperties>
</file>

<file path=docProps/custom.xml><?xml version="1.0" encoding="utf-8"?>
<Properties xmlns="http://schemas.openxmlformats.org/officeDocument/2006/custom-properties" xmlns:vt="http://schemas.openxmlformats.org/officeDocument/2006/docPropsVTypes"/>
</file>