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genticT5_4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5_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34.75%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-1.07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