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D39A31">
      <w:pPr>
        <w:jc w:val="center"/>
        <w:rPr>
          <w:rFonts w:hint="default" w:ascii="Times New Roman" w:hAnsi="Times New Roman" w:cs="Times New Roman" w:eastAsiaTheme="minorEastAsia"/>
          <w:b/>
          <w:bCs/>
          <w:sz w:val="28"/>
          <w:szCs w:val="28"/>
          <w:lang w:val="en-US" w:eastAsia="zh-CN"/>
        </w:rPr>
      </w:pPr>
      <w:r>
        <w:rPr>
          <w:rFonts w:hint="default" w:ascii="Times New Roman" w:hAnsi="Times New Roman" w:cs="Times New Roman"/>
          <w:b/>
          <w:bCs/>
          <w:sz w:val="28"/>
          <w:szCs w:val="28"/>
          <w:lang w:val="en-US" w:eastAsia="zh-CN"/>
        </w:rPr>
        <w:t>Supplementary Materials</w:t>
      </w:r>
    </w:p>
    <w:p w14:paraId="65D56BB1">
      <w:pPr>
        <w:pStyle w:val="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Motif analysis identifies structural configurations and observed failure patterns associated with cascade development, providing mechanism-oriented insights beyond terminal severity assessments. Engineering motifs are defined as compact, rule-based representations of infrastructure characteristics, functional dependencies, and failure events that capture hypothesized mechanisms of structural susceptibility and failure propagation. Their identification criteria are derived from the network topology, physical constraints, operational interdependencies, and protection mechanisms represented in the underlying simulation model.</w:t>
      </w:r>
    </w:p>
    <w:p w14:paraId="25F20D21">
      <w:pPr>
        <w:pStyle w:val="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Structural motifs are identified from pre-existing network attributes, whereas propagation motifs are extracted from rec</w:t>
      </w:r>
      <w:r>
        <w:rPr>
          <w:rFonts w:hint="eastAsia" w:ascii="Times New Roman" w:hAnsi="Times New Roman" w:cs="Times New Roman"/>
          <w:lang w:val="en-US" w:eastAsia="zh-CN"/>
        </w:rPr>
        <w:t xml:space="preserve">orded cascade trajectories. </w:t>
      </w:r>
      <w:r>
        <w:rPr>
          <w:rFonts w:hint="default" w:ascii="Times New Roman" w:hAnsi="Times New Roman" w:cs="Times New Roman"/>
        </w:rPr>
        <w:t>To avoid outcome-dependent identification, terminal severity labels are excluded from motif matching. Motif occurrences are systematically evaluated across 7,800 simulated cascade trajectories in the synthetic Texas power–gas system. Because motif definitions are system-specific, their transferability requires reassessment against the characteristics and operating conditions of other infrastructure systems. The resulting associations provide evidence for interpreting recurrent cascade mechanisms and formulating targeted intervention hypotheses, but do not independently establish causal relationships.</w:t>
      </w:r>
    </w:p>
    <w:p w14:paraId="51F47A36">
      <w:pPr>
        <w:rPr>
          <w:rFonts w:hint="default" w:ascii="Times New Roman" w:hAnsi="Times New Roman" w:cs="Times New Roman"/>
        </w:rPr>
      </w:pPr>
      <w:r>
        <w:rPr>
          <w:rFonts w:hint="default" w:ascii="Times New Roman" w:hAnsi="Times New Roman" w:cs="Times New Roman"/>
        </w:rPr>
        <w:br w:type="page"/>
      </w:r>
    </w:p>
    <w:p w14:paraId="0B52CC2F">
      <w:pPr>
        <w:jc w:val="center"/>
        <w:rPr>
          <w:rFonts w:hint="default" w:ascii="Times New Roman" w:hAnsi="Times New Roman" w:cs="Times New Roman" w:eastAsiaTheme="minorEastAsia"/>
          <w:lang w:val="en-US" w:eastAsia="zh-CN"/>
        </w:rPr>
      </w:pPr>
      <w:r>
        <w:rPr>
          <w:rFonts w:hint="default" w:ascii="Times New Roman" w:hAnsi="Times New Roman" w:cs="Times New Roman"/>
          <w:b/>
          <w:bCs/>
          <w:lang w:val="en-US" w:eastAsia="zh-CN"/>
        </w:rPr>
        <w:t>Table 1</w:t>
      </w:r>
      <w:r>
        <w:rPr>
          <w:rFonts w:hint="default" w:ascii="Times New Roman" w:hAnsi="Times New Roman" w:cs="Times New Roman"/>
          <w:b/>
          <w:bCs/>
          <w:lang w:val="en-US" w:eastAsia="zh-CN"/>
        </w:rPr>
        <w:t>.</w:t>
      </w:r>
      <w:r>
        <w:rPr>
          <w:rFonts w:hint="default" w:ascii="Times New Roman" w:hAnsi="Times New Roman" w:cs="Times New Roman"/>
          <w:lang w:val="en-US" w:eastAsia="zh-CN"/>
        </w:rPr>
        <w:t xml:space="preserve"> Operational definitions of structural-exposure motifs</w:t>
      </w:r>
    </w:p>
    <w:tbl>
      <w:tblPr>
        <w:tblStyle w:val="3"/>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82"/>
        <w:gridCol w:w="1596"/>
        <w:gridCol w:w="1919"/>
        <w:gridCol w:w="2563"/>
        <w:gridCol w:w="2571"/>
        <w:gridCol w:w="3817"/>
      </w:tblGrid>
      <w:tr w14:paraId="7B086D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10" w:hRule="atLeast"/>
          <w:tblHeader/>
          <w:tblCellSpacing w:w="15" w:type="dxa"/>
        </w:trPr>
        <w:tc>
          <w:tcPr>
            <w:tcW w:w="547" w:type="pct"/>
            <w:tcBorders>
              <w:top w:val="single" w:color="000000" w:sz="12" w:space="0"/>
              <w:bottom w:val="single" w:color="000000" w:sz="4" w:space="0"/>
              <w:tl2br w:val="nil"/>
            </w:tcBorders>
            <w:shd w:val="clear" w:color="auto" w:fill="FFFFFF"/>
            <w:vAlign w:val="center"/>
          </w:tcPr>
          <w:p w14:paraId="7985B055">
            <w:pPr>
              <w:keepNext w:val="0"/>
              <w:keepLines w:val="0"/>
              <w:widowControl/>
              <w:suppressLineNumbers w:val="0"/>
              <w:jc w:val="center"/>
              <w:rPr>
                <w:rFonts w:hint="default" w:ascii="Times New Roman" w:hAnsi="Times New Roman" w:cs="Times New Roman"/>
                <w:b w:val="0"/>
                <w:bCs/>
                <w:color w:val="000000"/>
                <w:sz w:val="21"/>
                <w:szCs w:val="21"/>
              </w:rPr>
            </w:pPr>
            <w:r>
              <w:rPr>
                <w:rFonts w:hint="default" w:ascii="Times New Roman" w:hAnsi="Times New Roman" w:eastAsia="宋体" w:cs="Times New Roman"/>
                <w:b w:val="0"/>
                <w:bCs/>
                <w:color w:val="000000"/>
                <w:kern w:val="0"/>
                <w:sz w:val="21"/>
                <w:szCs w:val="21"/>
                <w:lang w:val="en-US" w:eastAsia="zh-CN" w:bidi="ar"/>
              </w:rPr>
              <w:t>Motif</w:t>
            </w:r>
          </w:p>
        </w:tc>
        <w:tc>
          <w:tcPr>
            <w:tcW w:w="557" w:type="pct"/>
            <w:tcBorders>
              <w:top w:val="single" w:color="000000" w:sz="12" w:space="0"/>
              <w:bottom w:val="single" w:color="000000" w:sz="4" w:space="0"/>
            </w:tcBorders>
            <w:shd w:val="clear" w:color="auto" w:fill="FFFFFF"/>
            <w:vAlign w:val="center"/>
          </w:tcPr>
          <w:p w14:paraId="51B380A2">
            <w:pPr>
              <w:keepNext w:val="0"/>
              <w:keepLines w:val="0"/>
              <w:widowControl/>
              <w:suppressLineNumbers w:val="0"/>
              <w:jc w:val="center"/>
              <w:rPr>
                <w:rFonts w:hint="default" w:ascii="Times New Roman" w:hAnsi="Times New Roman" w:cs="Times New Roman"/>
                <w:b w:val="0"/>
                <w:bCs/>
                <w:color w:val="000000"/>
                <w:sz w:val="21"/>
                <w:szCs w:val="21"/>
              </w:rPr>
            </w:pPr>
            <w:r>
              <w:rPr>
                <w:rFonts w:hint="default" w:ascii="Times New Roman" w:hAnsi="Times New Roman" w:eastAsia="宋体" w:cs="Times New Roman"/>
                <w:b w:val="0"/>
                <w:bCs/>
                <w:color w:val="000000"/>
                <w:kern w:val="0"/>
                <w:sz w:val="21"/>
                <w:szCs w:val="21"/>
                <w:lang w:val="en-US" w:eastAsia="zh-CN" w:bidi="ar"/>
              </w:rPr>
              <w:t>Matching unit</w:t>
            </w:r>
          </w:p>
        </w:tc>
        <w:tc>
          <w:tcPr>
            <w:tcW w:w="672" w:type="pct"/>
            <w:tcBorders>
              <w:top w:val="single" w:color="000000" w:sz="12" w:space="0"/>
              <w:bottom w:val="single" w:color="000000" w:sz="4" w:space="0"/>
            </w:tcBorders>
            <w:shd w:val="clear" w:color="auto" w:fill="FFFFFF"/>
            <w:vAlign w:val="center"/>
          </w:tcPr>
          <w:p w14:paraId="05B3F027">
            <w:pPr>
              <w:keepNext w:val="0"/>
              <w:keepLines w:val="0"/>
              <w:widowControl/>
              <w:suppressLineNumbers w:val="0"/>
              <w:jc w:val="center"/>
              <w:rPr>
                <w:rFonts w:hint="default" w:ascii="Times New Roman" w:hAnsi="Times New Roman" w:cs="Times New Roman"/>
                <w:b w:val="0"/>
                <w:bCs/>
                <w:color w:val="000000"/>
                <w:sz w:val="21"/>
                <w:szCs w:val="21"/>
              </w:rPr>
            </w:pPr>
            <w:r>
              <w:rPr>
                <w:rFonts w:hint="default" w:ascii="Times New Roman" w:hAnsi="Times New Roman" w:eastAsia="宋体" w:cs="Times New Roman"/>
                <w:b w:val="0"/>
                <w:bCs/>
                <w:color w:val="000000"/>
                <w:kern w:val="0"/>
                <w:sz w:val="21"/>
                <w:szCs w:val="21"/>
                <w:lang w:val="en-US" w:eastAsia="zh-CN" w:bidi="ar"/>
              </w:rPr>
              <w:t>Required attributes</w:t>
            </w:r>
          </w:p>
        </w:tc>
        <w:tc>
          <w:tcPr>
            <w:tcW w:w="901" w:type="pct"/>
            <w:tcBorders>
              <w:top w:val="single" w:color="000000" w:sz="12" w:space="0"/>
              <w:bottom w:val="single" w:color="000000" w:sz="4" w:space="0"/>
            </w:tcBorders>
            <w:shd w:val="clear" w:color="auto" w:fill="FFFFFF"/>
            <w:vAlign w:val="center"/>
          </w:tcPr>
          <w:p w14:paraId="06A553B0">
            <w:pPr>
              <w:keepNext w:val="0"/>
              <w:keepLines w:val="0"/>
              <w:widowControl/>
              <w:suppressLineNumbers w:val="0"/>
              <w:jc w:val="center"/>
              <w:rPr>
                <w:rFonts w:hint="default" w:ascii="Times New Roman" w:hAnsi="Times New Roman" w:cs="Times New Roman"/>
                <w:b w:val="0"/>
                <w:bCs/>
                <w:color w:val="000000"/>
                <w:sz w:val="21"/>
                <w:szCs w:val="21"/>
              </w:rPr>
            </w:pPr>
            <w:r>
              <w:rPr>
                <w:rFonts w:hint="default" w:ascii="Times New Roman" w:hAnsi="Times New Roman" w:eastAsia="宋体" w:cs="Times New Roman"/>
                <w:b w:val="0"/>
                <w:bCs/>
                <w:color w:val="000000"/>
                <w:kern w:val="0"/>
                <w:sz w:val="21"/>
                <w:szCs w:val="21"/>
                <w:lang w:val="en-US" w:eastAsia="zh-CN" w:bidi="ar"/>
              </w:rPr>
              <w:t>Structural matching criterion</w:t>
            </w:r>
          </w:p>
        </w:tc>
        <w:tc>
          <w:tcPr>
            <w:tcW w:w="904" w:type="pct"/>
            <w:tcBorders>
              <w:top w:val="single" w:color="000000" w:sz="12" w:space="0"/>
              <w:bottom w:val="single" w:color="000000" w:sz="4" w:space="0"/>
            </w:tcBorders>
            <w:shd w:val="clear" w:color="auto" w:fill="FFFFFF"/>
            <w:vAlign w:val="center"/>
          </w:tcPr>
          <w:p w14:paraId="338D2BC7">
            <w:pPr>
              <w:keepNext w:val="0"/>
              <w:keepLines w:val="0"/>
              <w:widowControl/>
              <w:suppressLineNumbers w:val="0"/>
              <w:jc w:val="center"/>
              <w:rPr>
                <w:rFonts w:hint="default" w:ascii="Times New Roman" w:hAnsi="Times New Roman" w:cs="Times New Roman"/>
                <w:b w:val="0"/>
                <w:bCs/>
                <w:color w:val="000000"/>
                <w:sz w:val="21"/>
                <w:szCs w:val="21"/>
              </w:rPr>
            </w:pPr>
            <w:r>
              <w:rPr>
                <w:rFonts w:hint="default" w:ascii="Times New Roman" w:hAnsi="Times New Roman" w:eastAsia="宋体" w:cs="Times New Roman"/>
                <w:b w:val="0"/>
                <w:bCs/>
                <w:color w:val="000000"/>
                <w:kern w:val="0"/>
                <w:sz w:val="21"/>
                <w:szCs w:val="21"/>
                <w:lang w:val="en-US" w:eastAsia="zh-CN" w:bidi="ar"/>
              </w:rPr>
              <w:t>Reference population</w:t>
            </w:r>
          </w:p>
        </w:tc>
        <w:tc>
          <w:tcPr>
            <w:tcW w:w="1342" w:type="pct"/>
            <w:tcBorders>
              <w:top w:val="single" w:color="000000" w:sz="12" w:space="0"/>
              <w:bottom w:val="single" w:color="000000" w:sz="4" w:space="0"/>
            </w:tcBorders>
            <w:shd w:val="clear" w:color="auto" w:fill="FFFFFF"/>
            <w:vAlign w:val="center"/>
          </w:tcPr>
          <w:p w14:paraId="297EC4C7">
            <w:pPr>
              <w:keepNext w:val="0"/>
              <w:keepLines w:val="0"/>
              <w:widowControl/>
              <w:suppressLineNumbers w:val="0"/>
              <w:jc w:val="center"/>
              <w:rPr>
                <w:rFonts w:hint="default" w:ascii="Times New Roman" w:hAnsi="Times New Roman" w:cs="Times New Roman"/>
                <w:b w:val="0"/>
                <w:bCs/>
                <w:color w:val="000000"/>
                <w:sz w:val="21"/>
                <w:szCs w:val="21"/>
              </w:rPr>
            </w:pPr>
            <w:r>
              <w:rPr>
                <w:rFonts w:hint="default" w:ascii="Times New Roman" w:hAnsi="Times New Roman" w:eastAsia="宋体" w:cs="Times New Roman"/>
                <w:b w:val="0"/>
                <w:bCs/>
                <w:color w:val="000000"/>
                <w:kern w:val="0"/>
                <w:sz w:val="21"/>
                <w:szCs w:val="21"/>
                <w:lang w:val="en-US" w:eastAsia="zh-CN" w:bidi="ar"/>
              </w:rPr>
              <w:t>Threshold rationale</w:t>
            </w:r>
          </w:p>
        </w:tc>
      </w:tr>
      <w:tr w14:paraId="025F7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10" w:hRule="atLeast"/>
          <w:tblCellSpacing w:w="15" w:type="dxa"/>
        </w:trPr>
        <w:tc>
          <w:tcPr>
            <w:tcW w:w="547" w:type="pct"/>
            <w:tcBorders>
              <w:top w:val="single" w:color="000000" w:sz="4" w:space="0"/>
            </w:tcBorders>
            <w:shd w:val="clear" w:color="auto" w:fill="FFFFFF"/>
            <w:vAlign w:val="center"/>
          </w:tcPr>
          <w:p w14:paraId="41BEF608">
            <w:pPr>
              <w:keepNext w:val="0"/>
              <w:keepLines w:val="0"/>
              <w:widowControl/>
              <w:suppressLineNumbers w:val="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Generation-poor enrichment</w:t>
            </w:r>
          </w:p>
        </w:tc>
        <w:tc>
          <w:tcPr>
            <w:tcW w:w="557" w:type="pct"/>
            <w:tcBorders>
              <w:top w:val="single" w:color="000000" w:sz="4" w:space="0"/>
            </w:tcBorders>
            <w:shd w:val="clear" w:color="auto" w:fill="FFFFFF"/>
            <w:vAlign w:val="center"/>
          </w:tcPr>
          <w:p w14:paraId="58A52DE1">
            <w:pPr>
              <w:keepNext w:val="0"/>
              <w:keepLines w:val="0"/>
              <w:widowControl/>
              <w:suppressLineNumbers w:val="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Transmission branch and its endpoint substations</w:t>
            </w:r>
          </w:p>
        </w:tc>
        <w:tc>
          <w:tcPr>
            <w:tcW w:w="672" w:type="pct"/>
            <w:tcBorders>
              <w:top w:val="single" w:color="000000" w:sz="4" w:space="0"/>
            </w:tcBorders>
            <w:shd w:val="clear" w:color="auto" w:fill="FFFFFF"/>
            <w:vAlign w:val="center"/>
          </w:tcPr>
          <w:p w14:paraId="312473C8">
            <w:pPr>
              <w:keepNext w:val="0"/>
              <w:keepLines w:val="0"/>
              <w:widowControl/>
              <w:suppressLineNumbers w:val="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Total generator maximum capacity at each endpoint</w:t>
            </w:r>
          </w:p>
        </w:tc>
        <w:tc>
          <w:tcPr>
            <w:tcW w:w="901" w:type="pct"/>
            <w:tcBorders>
              <w:top w:val="single" w:color="000000" w:sz="4" w:space="0"/>
            </w:tcBorders>
            <w:shd w:val="clear" w:color="auto" w:fill="FFFFFF"/>
            <w:vAlign w:val="center"/>
          </w:tcPr>
          <w:p w14:paraId="7C3FB02D">
            <w:pPr>
              <w:keepNext w:val="0"/>
              <w:keepLines w:val="0"/>
              <w:widowControl/>
              <w:suppressLineNumbers w:val="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The combined generation capacity at both endpoints is zero</w:t>
            </w:r>
          </w:p>
        </w:tc>
        <w:tc>
          <w:tcPr>
            <w:tcW w:w="904" w:type="pct"/>
            <w:tcBorders>
              <w:top w:val="single" w:color="000000" w:sz="4" w:space="0"/>
            </w:tcBorders>
            <w:shd w:val="clear" w:color="auto" w:fill="FFFFFF"/>
            <w:vAlign w:val="center"/>
          </w:tcPr>
          <w:p w14:paraId="7EC69340">
            <w:pPr>
              <w:keepNext w:val="0"/>
              <w:keepLines w:val="0"/>
              <w:widowControl/>
              <w:suppressLineNumbers w:val="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All transmission branches; enrichment is referenced to the network-wide fraction satisfying this criterion</w:t>
            </w:r>
          </w:p>
        </w:tc>
        <w:tc>
          <w:tcPr>
            <w:tcW w:w="1342" w:type="pct"/>
            <w:tcBorders>
              <w:top w:val="single" w:color="000000" w:sz="4" w:space="0"/>
            </w:tcBorders>
            <w:shd w:val="clear" w:color="auto" w:fill="FFFFFF"/>
            <w:vAlign w:val="center"/>
          </w:tcPr>
          <w:p w14:paraId="30B44129">
            <w:pPr>
              <w:keepNext w:val="0"/>
              <w:keepLines w:val="0"/>
              <w:widowControl/>
              <w:suppressLineNumbers w:val="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Identifies absence of endpoint generation support without introducing a fitted capacity cutoff. It does not measure generation adequacy relative to demand.</w:t>
            </w:r>
          </w:p>
        </w:tc>
      </w:tr>
      <w:tr w14:paraId="74F266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10" w:hRule="atLeast"/>
          <w:tblCellSpacing w:w="15" w:type="dxa"/>
        </w:trPr>
        <w:tc>
          <w:tcPr>
            <w:tcW w:w="547" w:type="pct"/>
            <w:shd w:val="clear" w:color="auto" w:fill="FFFFFF"/>
            <w:vAlign w:val="center"/>
          </w:tcPr>
          <w:p w14:paraId="7004872A">
            <w:pPr>
              <w:keepNext w:val="0"/>
              <w:keepLines w:val="0"/>
              <w:widowControl/>
              <w:suppressLineNumbers w:val="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Low-capacity enrichment</w:t>
            </w:r>
          </w:p>
        </w:tc>
        <w:tc>
          <w:tcPr>
            <w:tcW w:w="557" w:type="pct"/>
            <w:shd w:val="clear" w:color="auto" w:fill="FFFFFF"/>
            <w:vAlign w:val="center"/>
          </w:tcPr>
          <w:p w14:paraId="7A553047">
            <w:pPr>
              <w:keepNext w:val="0"/>
              <w:keepLines w:val="0"/>
              <w:widowControl/>
              <w:suppressLineNumbers w:val="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Transmission branch</w:t>
            </w:r>
          </w:p>
        </w:tc>
        <w:tc>
          <w:tcPr>
            <w:tcW w:w="672" w:type="pct"/>
            <w:shd w:val="clear" w:color="auto" w:fill="FFFFFF"/>
            <w:vAlign w:val="center"/>
          </w:tcPr>
          <w:p w14:paraId="1FF817A1">
            <w:pPr>
              <w:keepNext w:val="0"/>
              <w:keepLines w:val="0"/>
              <w:widowControl/>
              <w:suppressLineNumbers w:val="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 xml:space="preserve">Branch rating, </w:t>
            </w:r>
            <m:oMath>
              <m:sSub>
                <m:sSubPr>
                  <m:ctrlPr>
                    <w:rPr>
                      <w:rFonts w:hint="default" w:ascii="Cambria Math" w:hAnsi="Cambria Math" w:cs="Times New Roman"/>
                      <w:b w:val="0"/>
                      <w:i/>
                      <w:color w:val="000000"/>
                      <w:kern w:val="0"/>
                      <w:sz w:val="21"/>
                      <w:szCs w:val="21"/>
                      <w:lang w:val="en-US" w:bidi="ar"/>
                    </w:rPr>
                  </m:ctrlPr>
                </m:sSubPr>
                <m:e>
                  <m:r>
                    <m:rPr>
                      <m:nor/>
                    </m:rPr>
                    <w:rPr>
                      <w:rFonts w:hint="default" w:ascii="Times New Roman" w:hAnsi="Times New Roman" w:cs="Times New Roman"/>
                      <w:i/>
                      <w:color w:val="000000"/>
                      <w:kern w:val="0"/>
                      <w:sz w:val="21"/>
                      <w:szCs w:val="21"/>
                      <w:lang w:val="en-US" w:eastAsia="zh-CN" w:bidi="ar"/>
                    </w:rPr>
                    <m:t>c</m:t>
                  </m:r>
                  <m:ctrlPr>
                    <w:rPr>
                      <w:rFonts w:hint="default" w:ascii="Cambria Math" w:hAnsi="Cambria Math" w:cs="Times New Roman"/>
                      <w:b w:val="0"/>
                      <w:i/>
                      <w:color w:val="000000"/>
                      <w:kern w:val="0"/>
                      <w:sz w:val="21"/>
                      <w:szCs w:val="21"/>
                      <w:lang w:val="en-US" w:bidi="ar"/>
                    </w:rPr>
                  </m:ctrlPr>
                </m:e>
                <m:sub>
                  <m:r>
                    <m:rPr>
                      <m:nor/>
                    </m:rPr>
                    <w:rPr>
                      <w:rFonts w:hint="default" w:ascii="Times New Roman" w:hAnsi="Times New Roman" w:cs="Times New Roman"/>
                      <w:i/>
                      <w:color w:val="000000"/>
                      <w:kern w:val="0"/>
                      <w:sz w:val="21"/>
                      <w:szCs w:val="21"/>
                      <w:lang w:val="en-US" w:eastAsia="zh-CN" w:bidi="ar"/>
                    </w:rPr>
                    <m:t>e</m:t>
                  </m:r>
                  <m:ctrlPr>
                    <w:rPr>
                      <w:rFonts w:hint="default" w:ascii="Cambria Math" w:hAnsi="Cambria Math" w:cs="Times New Roman"/>
                      <w:b w:val="0"/>
                      <w:i/>
                      <w:color w:val="000000"/>
                      <w:kern w:val="0"/>
                      <w:sz w:val="21"/>
                      <w:szCs w:val="21"/>
                      <w:lang w:val="en-US" w:bidi="ar"/>
                    </w:rPr>
                  </m:ctrlPr>
                </m:sub>
              </m:sSub>
            </m:oMath>
          </w:p>
        </w:tc>
        <w:tc>
          <w:tcPr>
            <w:tcW w:w="901" w:type="pct"/>
            <w:shd w:val="clear" w:color="auto" w:fill="FFFFFF"/>
            <w:vAlign w:val="center"/>
          </w:tcPr>
          <w:p w14:paraId="67042516">
            <w:pPr>
              <w:keepNext w:val="0"/>
              <w:keepLines w:val="0"/>
              <w:widowControl/>
              <w:suppressLineNumbers w:val="0"/>
              <w:jc w:val="left"/>
              <w:rPr>
                <w:rFonts w:hint="default" w:ascii="Times New Roman" w:hAnsi="Times New Roman" w:cs="Times New Roman"/>
                <w:b w:val="0"/>
                <w:color w:val="000000"/>
                <w:sz w:val="21"/>
                <w:szCs w:val="21"/>
              </w:rPr>
            </w:pPr>
            <m:oMath>
              <m:sSub>
                <m:sSubPr>
                  <m:ctrlPr>
                    <w:rPr>
                      <w:rFonts w:hint="default" w:ascii="Cambria Math" w:hAnsi="Cambria Math" w:cs="Times New Roman"/>
                      <w:b w:val="0"/>
                      <w:i/>
                      <w:color w:val="000000"/>
                      <w:kern w:val="0"/>
                      <w:sz w:val="21"/>
                      <w:szCs w:val="21"/>
                      <w:lang w:val="en-US" w:bidi="ar"/>
                    </w:rPr>
                  </m:ctrlPr>
                </m:sSubPr>
                <m:e>
                  <m:r>
                    <m:rPr>
                      <m:nor/>
                      <m:sty m:val="p"/>
                    </m:rPr>
                    <w:rPr>
                      <w:rFonts w:hint="default" w:ascii="Times New Roman" w:hAnsi="Times New Roman" w:cs="Times New Roman"/>
                      <w:i w:val="0"/>
                      <w:color w:val="000000"/>
                      <w:kern w:val="0"/>
                      <w:sz w:val="21"/>
                      <w:szCs w:val="21"/>
                      <w:lang w:val="en-US" w:eastAsia="zh-CN" w:bidi="ar"/>
                    </w:rPr>
                    <m:t>0</m:t>
                  </m:r>
                  <m:r>
                    <m:rPr>
                      <m:nor/>
                      <m:sty m:val="p"/>
                    </m:rPr>
                    <w:rPr>
                      <w:rFonts w:hint="default" w:ascii="Times New Roman" w:hAnsi="Times New Roman" w:cs="Times New Roman"/>
                      <w:i w:val="0"/>
                      <w:color w:val="000000"/>
                      <w:kern w:val="0"/>
                      <w:sz w:val="21"/>
                      <w:szCs w:val="21"/>
                      <w:lang w:val="en-US" w:bidi="ar"/>
                    </w:rPr>
                    <m:t>&lt;</m:t>
                  </m:r>
                  <m:r>
                    <m:rPr>
                      <m:nor/>
                    </m:rPr>
                    <w:rPr>
                      <w:rFonts w:hint="default" w:ascii="Times New Roman" w:hAnsi="Times New Roman" w:cs="Times New Roman"/>
                      <w:i/>
                      <w:color w:val="000000"/>
                      <w:kern w:val="0"/>
                      <w:sz w:val="21"/>
                      <w:szCs w:val="21"/>
                      <w:lang w:val="en-US" w:eastAsia="zh-CN" w:bidi="ar"/>
                    </w:rPr>
                    <m:t>c</m:t>
                  </m:r>
                  <m:ctrlPr>
                    <w:rPr>
                      <w:rFonts w:hint="default" w:ascii="Cambria Math" w:hAnsi="Cambria Math" w:cs="Times New Roman"/>
                      <w:b w:val="0"/>
                      <w:i/>
                      <w:color w:val="000000"/>
                      <w:kern w:val="0"/>
                      <w:sz w:val="21"/>
                      <w:szCs w:val="21"/>
                      <w:lang w:val="en-US" w:bidi="ar"/>
                    </w:rPr>
                  </m:ctrlPr>
                </m:e>
                <m:sub>
                  <m:r>
                    <m:rPr>
                      <m:nor/>
                    </m:rPr>
                    <w:rPr>
                      <w:rFonts w:hint="default" w:ascii="Times New Roman" w:hAnsi="Times New Roman" w:cs="Times New Roman"/>
                      <w:i/>
                      <w:color w:val="000000"/>
                      <w:kern w:val="0"/>
                      <w:sz w:val="21"/>
                      <w:szCs w:val="21"/>
                      <w:lang w:val="en-US" w:eastAsia="zh-CN" w:bidi="ar"/>
                    </w:rPr>
                    <m:t>e</m:t>
                  </m:r>
                  <m:ctrlPr>
                    <w:rPr>
                      <w:rFonts w:hint="default" w:ascii="Cambria Math" w:hAnsi="Cambria Math" w:cs="Times New Roman"/>
                      <w:b w:val="0"/>
                      <w:i/>
                      <w:color w:val="000000"/>
                      <w:kern w:val="0"/>
                      <w:sz w:val="21"/>
                      <w:szCs w:val="21"/>
                      <w:lang w:val="en-US" w:bidi="ar"/>
                    </w:rPr>
                  </m:ctrlPr>
                </m:sub>
              </m:sSub>
              <m:r>
                <m:rPr>
                  <m:nor/>
                  <m:sty m:val="p"/>
                </m:rPr>
                <w:rPr>
                  <w:rFonts w:hint="default" w:ascii="Times New Roman" w:hAnsi="Times New Roman" w:cs="Times New Roman"/>
                  <w:i w:val="0"/>
                  <w:color w:val="000000"/>
                  <w:kern w:val="0"/>
                  <w:sz w:val="21"/>
                  <w:szCs w:val="21"/>
                  <w:lang w:val="en-US" w:bidi="ar"/>
                </w:rPr>
                <m:t>≤</m:t>
              </m:r>
              <m:sSub>
                <m:sSubPr>
                  <m:ctrlPr>
                    <w:rPr>
                      <w:rFonts w:hint="default" w:ascii="Cambria Math" w:hAnsi="Cambria Math" w:cs="Times New Roman"/>
                      <w:b w:val="0"/>
                      <w:i/>
                      <w:color w:val="000000"/>
                      <w:kern w:val="0"/>
                      <w:sz w:val="21"/>
                      <w:szCs w:val="21"/>
                      <w:lang w:val="en-US" w:bidi="ar"/>
                    </w:rPr>
                  </m:ctrlPr>
                </m:sSubPr>
                <m:e>
                  <m:r>
                    <m:rPr>
                      <m:nor/>
                    </m:rPr>
                    <w:rPr>
                      <w:rFonts w:hint="default" w:ascii="Times New Roman" w:hAnsi="Times New Roman" w:cs="Times New Roman"/>
                      <w:i/>
                      <w:color w:val="000000"/>
                      <w:kern w:val="0"/>
                      <w:sz w:val="21"/>
                      <w:szCs w:val="21"/>
                      <w:lang w:val="en-US" w:eastAsia="zh-CN" w:bidi="ar"/>
                    </w:rPr>
                    <m:t>Q</m:t>
                  </m:r>
                  <m:ctrlPr>
                    <w:rPr>
                      <w:rFonts w:hint="default" w:ascii="Cambria Math" w:hAnsi="Cambria Math" w:cs="Times New Roman"/>
                      <w:b w:val="0"/>
                      <w:i/>
                      <w:color w:val="000000"/>
                      <w:kern w:val="0"/>
                      <w:sz w:val="21"/>
                      <w:szCs w:val="21"/>
                      <w:lang w:val="en-US" w:bidi="ar"/>
                    </w:rPr>
                  </m:ctrlPr>
                </m:e>
                <m:sub>
                  <m:r>
                    <m:rPr>
                      <m:nor/>
                      <m:sty m:val="p"/>
                    </m:rPr>
                    <w:rPr>
                      <w:rFonts w:hint="default" w:ascii="Times New Roman" w:hAnsi="Times New Roman" w:cs="Times New Roman"/>
                      <w:i w:val="0"/>
                      <w:color w:val="000000"/>
                      <w:kern w:val="0"/>
                      <w:sz w:val="21"/>
                      <w:szCs w:val="21"/>
                      <w:lang w:val="en-US" w:eastAsia="zh-CN" w:bidi="ar"/>
                    </w:rPr>
                    <m:t>0.10</m:t>
                  </m:r>
                  <m:ctrlPr>
                    <w:rPr>
                      <w:rFonts w:hint="default" w:ascii="Cambria Math" w:hAnsi="Cambria Math" w:cs="Times New Roman"/>
                      <w:b w:val="0"/>
                      <w:i/>
                      <w:color w:val="000000"/>
                      <w:kern w:val="0"/>
                      <w:sz w:val="21"/>
                      <w:szCs w:val="21"/>
                      <w:lang w:val="en-US" w:bidi="ar"/>
                    </w:rPr>
                  </m:ctrlPr>
                </m:sub>
              </m:sSub>
              <m:d>
                <m:dPr>
                  <m:ctrlPr>
                    <w:rPr>
                      <w:rFonts w:hint="default" w:ascii="Cambria Math" w:hAnsi="Cambria Math" w:cs="Times New Roman"/>
                      <w:b w:val="0"/>
                      <w:i/>
                      <w:color w:val="000000"/>
                      <w:kern w:val="0"/>
                      <w:sz w:val="21"/>
                      <w:szCs w:val="21"/>
                      <w:lang w:val="en-US" w:bidi="ar"/>
                    </w:rPr>
                  </m:ctrlPr>
                </m:dPr>
                <m:e>
                  <m:r>
                    <m:rPr>
                      <m:nor/>
                    </m:rPr>
                    <w:rPr>
                      <w:rFonts w:hint="default" w:ascii="Times New Roman" w:hAnsi="Times New Roman" w:cs="Times New Roman"/>
                      <w:i/>
                      <w:color w:val="000000"/>
                      <w:kern w:val="0"/>
                      <w:sz w:val="21"/>
                      <w:szCs w:val="21"/>
                      <w:lang w:val="en-US" w:eastAsia="zh-CN" w:bidi="ar"/>
                    </w:rPr>
                    <m:t>c</m:t>
                  </m:r>
                  <m:ctrlPr>
                    <w:rPr>
                      <w:rFonts w:hint="default" w:ascii="Cambria Math" w:hAnsi="Cambria Math" w:cs="Times New Roman"/>
                      <w:b w:val="0"/>
                      <w:i/>
                      <w:color w:val="000000"/>
                      <w:kern w:val="0"/>
                      <w:sz w:val="21"/>
                      <w:szCs w:val="21"/>
                      <w:lang w:val="en-US" w:bidi="ar"/>
                    </w:rPr>
                  </m:ctrlPr>
                </m:e>
              </m:d>
            </m:oMath>
            <w:r>
              <w:rPr>
                <w:rFonts w:hint="default" w:ascii="Times New Roman" w:hAnsi="Times New Roman" w:eastAsia="宋体" w:cs="Times New Roman"/>
                <w:b w:val="0"/>
                <w:color w:val="000000"/>
                <w:kern w:val="0"/>
                <w:sz w:val="21"/>
                <w:szCs w:val="21"/>
                <w:lang w:val="en-US" w:eastAsia="zh-CN" w:bidi="ar"/>
              </w:rPr>
              <w:t>, where the quantile is calculated from positive branch ratings</w:t>
            </w:r>
          </w:p>
        </w:tc>
        <w:tc>
          <w:tcPr>
            <w:tcW w:w="904" w:type="pct"/>
            <w:shd w:val="clear" w:color="auto" w:fill="FFFFFF"/>
            <w:vAlign w:val="center"/>
          </w:tcPr>
          <w:p w14:paraId="276055B4">
            <w:pPr>
              <w:keepNext w:val="0"/>
              <w:keepLines w:val="0"/>
              <w:widowControl/>
              <w:suppressLineNumbers w:val="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Positive-rated branches determine the cutoff; all branches form the enrichment reference population</w:t>
            </w:r>
          </w:p>
        </w:tc>
        <w:tc>
          <w:tcPr>
            <w:tcW w:w="1342" w:type="pct"/>
            <w:shd w:val="clear" w:color="auto" w:fill="FFFFFF"/>
            <w:vAlign w:val="center"/>
          </w:tcPr>
          <w:p w14:paraId="698AA4D8">
            <w:pPr>
              <w:keepNext w:val="0"/>
              <w:keepLines w:val="0"/>
              <w:widowControl/>
              <w:suppressLineNumbers w:val="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The lower 10% tail identifies relatively low-rated branches. The 5% and 20% tails are evaluated in sensitivity analysis.</w:t>
            </w:r>
          </w:p>
        </w:tc>
      </w:tr>
      <w:tr w14:paraId="07D54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10" w:hRule="atLeast"/>
          <w:tblCellSpacing w:w="15" w:type="dxa"/>
        </w:trPr>
        <w:tc>
          <w:tcPr>
            <w:tcW w:w="547" w:type="pct"/>
            <w:shd w:val="clear" w:color="auto" w:fill="FFFFFF"/>
            <w:vAlign w:val="center"/>
          </w:tcPr>
          <w:p w14:paraId="7404AA07">
            <w:pPr>
              <w:keepNext w:val="0"/>
              <w:keepLines w:val="0"/>
              <w:widowControl/>
              <w:suppressLineNumbers w:val="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Gas-coupled enrichment</w:t>
            </w:r>
          </w:p>
        </w:tc>
        <w:tc>
          <w:tcPr>
            <w:tcW w:w="557" w:type="pct"/>
            <w:shd w:val="clear" w:color="auto" w:fill="FFFFFF"/>
            <w:vAlign w:val="center"/>
          </w:tcPr>
          <w:p w14:paraId="68D1D08C">
            <w:pPr>
              <w:keepNext w:val="0"/>
              <w:keepLines w:val="0"/>
              <w:widowControl/>
              <w:suppressLineNumbers w:val="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Transmission branch and its endpoint substations</w:t>
            </w:r>
          </w:p>
        </w:tc>
        <w:tc>
          <w:tcPr>
            <w:tcW w:w="672" w:type="pct"/>
            <w:shd w:val="clear" w:color="auto" w:fill="FFFFFF"/>
            <w:vAlign w:val="center"/>
          </w:tcPr>
          <w:p w14:paraId="29338715">
            <w:pPr>
              <w:keepNext w:val="0"/>
              <w:keepLines w:val="0"/>
              <w:widowControl/>
              <w:suppressLineNumbers w:val="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Mapped gas–power dependency links at each endpoint</w:t>
            </w:r>
          </w:p>
        </w:tc>
        <w:tc>
          <w:tcPr>
            <w:tcW w:w="901" w:type="pct"/>
            <w:shd w:val="clear" w:color="auto" w:fill="FFFFFF"/>
            <w:vAlign w:val="center"/>
          </w:tcPr>
          <w:p w14:paraId="417C82C5">
            <w:pPr>
              <w:keepNext w:val="0"/>
              <w:keepLines w:val="0"/>
              <w:widowControl/>
              <w:suppressLineNumbers w:val="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At least one endpoint has a mapped gas-node connection in the gas–power coupling data</w:t>
            </w:r>
          </w:p>
        </w:tc>
        <w:tc>
          <w:tcPr>
            <w:tcW w:w="904" w:type="pct"/>
            <w:shd w:val="clear" w:color="auto" w:fill="FFFFFF"/>
            <w:vAlign w:val="center"/>
          </w:tcPr>
          <w:p w14:paraId="2BA94BD3">
            <w:pPr>
              <w:keepNext w:val="0"/>
              <w:keepLines w:val="0"/>
              <w:widowControl/>
              <w:suppressLineNumbers w:val="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All transmission branches; enrichment is referenced to the network-wide fraction satisfying this criterion</w:t>
            </w:r>
          </w:p>
        </w:tc>
        <w:tc>
          <w:tcPr>
            <w:tcW w:w="1342" w:type="pct"/>
            <w:shd w:val="clear" w:color="auto" w:fill="FFFFFF"/>
            <w:vAlign w:val="center"/>
          </w:tcPr>
          <w:p w14:paraId="3B53BC35">
            <w:pPr>
              <w:keepNext w:val="0"/>
              <w:keepLines w:val="0"/>
              <w:widowControl/>
              <w:suppressLineNumbers w:val="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A binary dependency criterion identifies branches incident to gas-linked substations without imposing a dependence-share cutoff.</w:t>
            </w:r>
          </w:p>
        </w:tc>
      </w:tr>
      <w:tr w14:paraId="7C3828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10" w:hRule="atLeast"/>
          <w:tblCellSpacing w:w="15" w:type="dxa"/>
        </w:trPr>
        <w:tc>
          <w:tcPr>
            <w:tcW w:w="547" w:type="pct"/>
            <w:shd w:val="clear" w:color="auto" w:fill="FFFFFF"/>
            <w:vAlign w:val="center"/>
          </w:tcPr>
          <w:p w14:paraId="0D1E06A8">
            <w:pPr>
              <w:keepNext w:val="0"/>
              <w:keepLines w:val="0"/>
              <w:widowControl/>
              <w:suppressLineNumbers w:val="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High-reactance enrichment</w:t>
            </w:r>
          </w:p>
        </w:tc>
        <w:tc>
          <w:tcPr>
            <w:tcW w:w="557" w:type="pct"/>
            <w:shd w:val="clear" w:color="auto" w:fill="FFFFFF"/>
            <w:vAlign w:val="center"/>
          </w:tcPr>
          <w:p w14:paraId="66562454">
            <w:pPr>
              <w:keepNext w:val="0"/>
              <w:keepLines w:val="0"/>
              <w:widowControl/>
              <w:suppressLineNumbers w:val="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Transmission branch</w:t>
            </w:r>
          </w:p>
        </w:tc>
        <w:tc>
          <w:tcPr>
            <w:tcW w:w="672" w:type="pct"/>
            <w:shd w:val="clear" w:color="auto" w:fill="FFFFFF"/>
            <w:vAlign w:val="center"/>
          </w:tcPr>
          <w:p w14:paraId="700E6087">
            <w:pPr>
              <w:keepNext w:val="0"/>
              <w:keepLines w:val="0"/>
              <w:widowControl/>
              <w:suppressLineNumbers w:val="0"/>
              <w:jc w:val="left"/>
              <w:rPr>
                <w:rFonts w:hint="default" w:ascii="Times New Roman" w:hAnsi="Times New Roman" w:eastAsia="宋体" w:cs="Times New Roman"/>
                <w:b w:val="0"/>
                <w:i w:val="0"/>
                <w:color w:val="000000"/>
                <w:kern w:val="0"/>
                <w:sz w:val="21"/>
                <w:szCs w:val="21"/>
                <w:lang w:val="en-US" w:eastAsia="zh-CN" w:bidi="ar"/>
              </w:rPr>
            </w:pPr>
            <w:r>
              <w:rPr>
                <w:rFonts w:hint="default" w:ascii="Times New Roman" w:hAnsi="Times New Roman" w:eastAsia="宋体" w:cs="Times New Roman"/>
                <w:b w:val="0"/>
                <w:color w:val="000000"/>
                <w:kern w:val="0"/>
                <w:sz w:val="21"/>
                <w:szCs w:val="21"/>
                <w:lang w:val="en-US" w:eastAsia="zh-CN" w:bidi="ar"/>
              </w:rPr>
              <w:t xml:space="preserve">Absolute branch reactance, </w:t>
            </w:r>
            <m:oMath>
              <m:r>
                <m:rPr>
                  <m:nor/>
                  <m:sty m:val="p"/>
                </m:rPr>
                <w:rPr>
                  <w:rFonts w:hint="default" w:ascii="Times New Roman" w:hAnsi="Times New Roman" w:eastAsia="宋体" w:cs="Times New Roman"/>
                  <w:b w:val="0"/>
                  <w:i w:val="0"/>
                  <w:color w:val="000000"/>
                  <w:sz w:val="21"/>
                  <w:szCs w:val="28"/>
                </w:rPr>
                <m:t>|</m:t>
              </m:r>
              <m:sSub>
                <m:sSubPr>
                  <m:ctrlPr>
                    <w:rPr>
                      <w:rFonts w:hint="default" w:ascii="Cambria Math" w:hAnsi="Cambria Math" w:eastAsia="宋体" w:cs="Times New Roman"/>
                      <w:b w:val="0"/>
                      <w:color w:val="000000"/>
                      <w:sz w:val="21"/>
                      <w:szCs w:val="28"/>
                    </w:rPr>
                  </m:ctrlPr>
                </m:sSubPr>
                <m:e>
                  <m:r>
                    <m:rPr>
                      <m:nor/>
                    </m:rPr>
                    <w:rPr>
                      <w:rFonts w:hint="default" w:ascii="Times New Roman" w:hAnsi="Times New Roman" w:eastAsia="宋体" w:cs="Times New Roman"/>
                      <w:b w:val="0"/>
                      <w:i/>
                      <w:color w:val="000000"/>
                      <w:sz w:val="21"/>
                      <w:szCs w:val="28"/>
                    </w:rPr>
                    <m:t>x</m:t>
                  </m:r>
                  <m:ctrlPr>
                    <w:rPr>
                      <w:rFonts w:hint="default" w:ascii="Cambria Math" w:hAnsi="Cambria Math" w:eastAsia="宋体" w:cs="Times New Roman"/>
                      <w:b w:val="0"/>
                      <w:color w:val="000000"/>
                      <w:sz w:val="21"/>
                      <w:szCs w:val="28"/>
                    </w:rPr>
                  </m:ctrlPr>
                </m:e>
                <m:sub>
                  <m:r>
                    <m:rPr>
                      <m:nor/>
                    </m:rPr>
                    <w:rPr>
                      <w:rFonts w:hint="default" w:ascii="Times New Roman" w:hAnsi="Times New Roman" w:eastAsia="宋体" w:cs="Times New Roman"/>
                      <w:b w:val="0"/>
                      <w:i/>
                      <w:color w:val="000000"/>
                      <w:sz w:val="21"/>
                      <w:szCs w:val="28"/>
                    </w:rPr>
                    <m:t>e</m:t>
                  </m:r>
                  <m:ctrlPr>
                    <w:rPr>
                      <w:rFonts w:hint="default" w:ascii="Cambria Math" w:hAnsi="Cambria Math" w:eastAsia="宋体" w:cs="Times New Roman"/>
                      <w:b w:val="0"/>
                      <w:color w:val="000000"/>
                      <w:sz w:val="21"/>
                      <w:szCs w:val="28"/>
                    </w:rPr>
                  </m:ctrlPr>
                </m:sub>
              </m:sSub>
              <m:r>
                <m:rPr>
                  <m:nor/>
                  <m:sty m:val="p"/>
                </m:rPr>
                <w:rPr>
                  <w:rFonts w:hint="default" w:ascii="Times New Roman" w:hAnsi="Times New Roman" w:eastAsia="宋体" w:cs="Times New Roman"/>
                  <w:b w:val="0"/>
                  <w:i w:val="0"/>
                  <w:color w:val="000000"/>
                  <w:sz w:val="21"/>
                  <w:szCs w:val="28"/>
                </w:rPr>
                <m:t>|</m:t>
              </m:r>
            </m:oMath>
          </w:p>
        </w:tc>
        <w:tc>
          <w:tcPr>
            <w:tcW w:w="901" w:type="pct"/>
            <w:shd w:val="clear" w:color="auto" w:fill="FFFFFF"/>
            <w:vAlign w:val="center"/>
          </w:tcPr>
          <w:p w14:paraId="136CD616">
            <w:pPr>
              <w:keepNext w:val="0"/>
              <w:keepLines w:val="0"/>
              <w:widowControl/>
              <w:suppressLineNumbers w:val="0"/>
              <w:jc w:val="left"/>
              <w:rPr>
                <w:rFonts w:hint="default" w:ascii="Times New Roman" w:hAnsi="Times New Roman" w:eastAsia="宋体" w:cs="Times New Roman"/>
                <w:b w:val="0"/>
                <w:i w:val="0"/>
                <w:color w:val="000000"/>
                <w:kern w:val="0"/>
                <w:sz w:val="21"/>
                <w:szCs w:val="21"/>
                <w:lang w:val="en-US" w:eastAsia="zh-CN" w:bidi="ar"/>
              </w:rPr>
            </w:pPr>
            <m:oMathPara>
              <m:oMath>
                <m:r>
                  <m:rPr>
                    <m:nor/>
                    <m:sty m:val="p"/>
                  </m:rPr>
                  <w:rPr>
                    <w:rFonts w:hint="default" w:ascii="Times New Roman" w:hAnsi="Times New Roman" w:eastAsia="宋体" w:cs="Times New Roman"/>
                    <w:b w:val="0"/>
                    <w:i w:val="0"/>
                    <w:color w:val="000000"/>
                    <w:sz w:val="21"/>
                    <w:szCs w:val="28"/>
                  </w:rPr>
                  <m:t>|</m:t>
                </m:r>
                <m:sSub>
                  <m:sSubPr>
                    <m:ctrlPr>
                      <w:rPr>
                        <w:rFonts w:hint="default" w:ascii="Cambria Math" w:hAnsi="Cambria Math" w:eastAsia="宋体" w:cs="Times New Roman"/>
                        <w:b w:val="0"/>
                        <w:color w:val="000000"/>
                        <w:sz w:val="21"/>
                        <w:szCs w:val="28"/>
                      </w:rPr>
                    </m:ctrlPr>
                  </m:sSubPr>
                  <m:e>
                    <m:r>
                      <m:rPr>
                        <m:nor/>
                      </m:rPr>
                      <w:rPr>
                        <w:rFonts w:hint="default" w:ascii="Times New Roman" w:hAnsi="Times New Roman" w:eastAsia="宋体" w:cs="Times New Roman"/>
                        <w:b w:val="0"/>
                        <w:i/>
                        <w:color w:val="000000"/>
                        <w:sz w:val="21"/>
                        <w:szCs w:val="28"/>
                      </w:rPr>
                      <m:t>x</m:t>
                    </m:r>
                    <m:ctrlPr>
                      <w:rPr>
                        <w:rFonts w:hint="default" w:ascii="Cambria Math" w:hAnsi="Cambria Math" w:eastAsia="宋体" w:cs="Times New Roman"/>
                        <w:b w:val="0"/>
                        <w:color w:val="000000"/>
                        <w:sz w:val="21"/>
                        <w:szCs w:val="28"/>
                      </w:rPr>
                    </m:ctrlPr>
                  </m:e>
                  <m:sub>
                    <m:r>
                      <m:rPr>
                        <m:nor/>
                      </m:rPr>
                      <w:rPr>
                        <w:rFonts w:hint="default" w:ascii="Times New Roman" w:hAnsi="Times New Roman" w:eastAsia="宋体" w:cs="Times New Roman"/>
                        <w:b w:val="0"/>
                        <w:i/>
                        <w:color w:val="000000"/>
                        <w:sz w:val="21"/>
                        <w:szCs w:val="28"/>
                      </w:rPr>
                      <m:t>e</m:t>
                    </m:r>
                    <m:ctrlPr>
                      <w:rPr>
                        <w:rFonts w:hint="default" w:ascii="Cambria Math" w:hAnsi="Cambria Math" w:eastAsia="宋体" w:cs="Times New Roman"/>
                        <w:b w:val="0"/>
                        <w:color w:val="000000"/>
                        <w:sz w:val="21"/>
                        <w:szCs w:val="28"/>
                      </w:rPr>
                    </m:ctrlPr>
                  </m:sub>
                </m:sSub>
                <m:r>
                  <m:rPr>
                    <m:nor/>
                    <m:sty m:val="p"/>
                  </m:rPr>
                  <w:rPr>
                    <w:rFonts w:hint="default" w:ascii="Times New Roman" w:hAnsi="Times New Roman" w:eastAsia="宋体" w:cs="Times New Roman"/>
                    <w:b w:val="0"/>
                    <w:i w:val="0"/>
                    <w:color w:val="000000"/>
                    <w:sz w:val="21"/>
                    <w:szCs w:val="28"/>
                  </w:rPr>
                  <m:t>|≥</m:t>
                </m:r>
                <m:sSub>
                  <m:sSubPr>
                    <m:ctrlPr>
                      <w:rPr>
                        <w:rFonts w:hint="default" w:ascii="Cambria Math" w:hAnsi="Cambria Math" w:eastAsia="宋体" w:cs="Times New Roman"/>
                        <w:b w:val="0"/>
                        <w:color w:val="000000"/>
                        <w:sz w:val="21"/>
                        <w:szCs w:val="28"/>
                      </w:rPr>
                    </m:ctrlPr>
                  </m:sSubPr>
                  <m:e>
                    <m:r>
                      <m:rPr>
                        <m:nor/>
                      </m:rPr>
                      <w:rPr>
                        <w:rFonts w:hint="default" w:ascii="Times New Roman" w:hAnsi="Times New Roman" w:eastAsia="宋体" w:cs="Times New Roman"/>
                        <w:b w:val="0"/>
                        <w:i/>
                        <w:color w:val="000000"/>
                        <w:sz w:val="21"/>
                        <w:szCs w:val="28"/>
                      </w:rPr>
                      <m:t>Q</m:t>
                    </m:r>
                    <m:ctrlPr>
                      <w:rPr>
                        <w:rFonts w:hint="default" w:ascii="Cambria Math" w:hAnsi="Cambria Math" w:eastAsia="宋体" w:cs="Times New Roman"/>
                        <w:b w:val="0"/>
                        <w:color w:val="000000"/>
                        <w:sz w:val="21"/>
                        <w:szCs w:val="28"/>
                      </w:rPr>
                    </m:ctrlPr>
                  </m:e>
                  <m:sub>
                    <m:r>
                      <m:rPr>
                        <m:nor/>
                        <m:sty m:val="p"/>
                      </m:rPr>
                      <w:rPr>
                        <w:rFonts w:hint="default" w:ascii="Times New Roman" w:hAnsi="Times New Roman" w:eastAsia="宋体" w:cs="Times New Roman"/>
                        <w:b w:val="0"/>
                        <w:i w:val="0"/>
                        <w:color w:val="000000"/>
                        <w:sz w:val="21"/>
                        <w:szCs w:val="28"/>
                      </w:rPr>
                      <m:t>0.90</m:t>
                    </m:r>
                    <m:ctrlPr>
                      <w:rPr>
                        <w:rFonts w:hint="default" w:ascii="Cambria Math" w:hAnsi="Cambria Math" w:eastAsia="宋体" w:cs="Times New Roman"/>
                        <w:b w:val="0"/>
                        <w:color w:val="000000"/>
                        <w:sz w:val="21"/>
                        <w:szCs w:val="28"/>
                      </w:rPr>
                    </m:ctrlPr>
                  </m:sub>
                </m:sSub>
                <m:r>
                  <m:rPr>
                    <m:nor/>
                    <m:sty m:val="p"/>
                  </m:rPr>
                  <w:rPr>
                    <w:rFonts w:hint="default" w:ascii="Times New Roman" w:hAnsi="Times New Roman" w:eastAsia="宋体" w:cs="Times New Roman"/>
                    <w:b w:val="0"/>
                    <w:i w:val="0"/>
                    <w:color w:val="000000"/>
                    <w:sz w:val="21"/>
                    <w:szCs w:val="28"/>
                  </w:rPr>
                  <m:t>(|</m:t>
                </m:r>
                <m:r>
                  <m:rPr>
                    <m:nor/>
                  </m:rPr>
                  <w:rPr>
                    <w:rFonts w:hint="default" w:ascii="Times New Roman" w:hAnsi="Times New Roman" w:eastAsia="宋体" w:cs="Times New Roman"/>
                    <w:b w:val="0"/>
                    <w:i/>
                    <w:color w:val="000000"/>
                    <w:sz w:val="21"/>
                    <w:szCs w:val="28"/>
                  </w:rPr>
                  <m:t>x</m:t>
                </m:r>
                <m:r>
                  <m:rPr>
                    <m:nor/>
                    <m:sty m:val="p"/>
                  </m:rPr>
                  <w:rPr>
                    <w:rFonts w:hint="default" w:ascii="Times New Roman" w:hAnsi="Times New Roman" w:eastAsia="宋体" w:cs="Times New Roman"/>
                    <w:b w:val="0"/>
                    <w:i w:val="0"/>
                    <w:color w:val="000000"/>
                    <w:sz w:val="21"/>
                    <w:szCs w:val="28"/>
                  </w:rPr>
                  <m:t>|)</m:t>
                </m:r>
              </m:oMath>
            </m:oMathPara>
          </w:p>
        </w:tc>
        <w:tc>
          <w:tcPr>
            <w:tcW w:w="904" w:type="pct"/>
            <w:shd w:val="clear" w:color="auto" w:fill="FFFFFF"/>
            <w:vAlign w:val="center"/>
          </w:tcPr>
          <w:p w14:paraId="0D658D38">
            <w:pPr>
              <w:keepNext w:val="0"/>
              <w:keepLines w:val="0"/>
              <w:widowControl/>
              <w:suppressLineNumbers w:val="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All transmission branches determine both the cutoff and the enrichment baseline</w:t>
            </w:r>
          </w:p>
        </w:tc>
        <w:tc>
          <w:tcPr>
            <w:tcW w:w="1342" w:type="pct"/>
            <w:shd w:val="clear" w:color="auto" w:fill="FFFFFF"/>
            <w:vAlign w:val="center"/>
          </w:tcPr>
          <w:p w14:paraId="733852F9">
            <w:pPr>
              <w:keepNext w:val="0"/>
              <w:keepLines w:val="0"/>
              <w:widowControl/>
              <w:suppressLineNumbers w:val="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The upper 10% tail identifies relatively high-reactance branches. The 5% and 20% tails are evaluated in sensitivity analysis.</w:t>
            </w:r>
          </w:p>
        </w:tc>
      </w:tr>
      <w:tr w14:paraId="32126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10" w:hRule="atLeast"/>
          <w:tblCellSpacing w:w="15" w:type="dxa"/>
        </w:trPr>
        <w:tc>
          <w:tcPr>
            <w:tcW w:w="547" w:type="pct"/>
            <w:shd w:val="clear" w:color="auto" w:fill="FFFFFF"/>
            <w:vAlign w:val="center"/>
          </w:tcPr>
          <w:p w14:paraId="1BBDCE13">
            <w:pPr>
              <w:keepNext w:val="0"/>
              <w:keepLines w:val="0"/>
              <w:widowControl/>
              <w:suppressLineNumbers w:val="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Multi-constraint enrichment</w:t>
            </w:r>
          </w:p>
        </w:tc>
        <w:tc>
          <w:tcPr>
            <w:tcW w:w="557" w:type="pct"/>
            <w:shd w:val="clear" w:color="auto" w:fill="FFFFFF"/>
            <w:vAlign w:val="center"/>
          </w:tcPr>
          <w:p w14:paraId="37045690">
            <w:pPr>
              <w:keepNext w:val="0"/>
              <w:keepLines w:val="0"/>
              <w:widowControl/>
              <w:suppressLineNumbers w:val="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Transmission branch</w:t>
            </w:r>
          </w:p>
        </w:tc>
        <w:tc>
          <w:tcPr>
            <w:tcW w:w="672" w:type="pct"/>
            <w:shd w:val="clear" w:color="auto" w:fill="FFFFFF"/>
            <w:vAlign w:val="center"/>
          </w:tcPr>
          <w:p w14:paraId="7EF24C34">
            <w:pPr>
              <w:keepNext w:val="0"/>
              <w:keepLines w:val="0"/>
              <w:widowControl/>
              <w:suppressLineNumbers w:val="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Six primitive structural-motif indicators</w:t>
            </w:r>
          </w:p>
        </w:tc>
        <w:tc>
          <w:tcPr>
            <w:tcW w:w="901" w:type="pct"/>
            <w:shd w:val="clear" w:color="auto" w:fill="FFFFFF"/>
            <w:vAlign w:val="center"/>
          </w:tcPr>
          <w:p w14:paraId="322CD701">
            <w:pPr>
              <w:keepNext w:val="0"/>
              <w:keepLines w:val="0"/>
              <w:widowControl/>
              <w:suppressLineNumbers w:val="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At least two of the following are satisfied: bridge, low redundancy, low capacity, high reactance, generation-poor, and gas-coupled</w:t>
            </w:r>
          </w:p>
        </w:tc>
        <w:tc>
          <w:tcPr>
            <w:tcW w:w="904" w:type="pct"/>
            <w:shd w:val="clear" w:color="auto" w:fill="FFFFFF"/>
            <w:vAlign w:val="center"/>
          </w:tcPr>
          <w:p w14:paraId="300FA369">
            <w:pPr>
              <w:keepNext w:val="0"/>
              <w:keepLines w:val="0"/>
              <w:widowControl/>
              <w:suppressLineNumbers w:val="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All transmission branches; enrichment is referenced to the network-wide fraction satisfying this combination rule</w:t>
            </w:r>
          </w:p>
        </w:tc>
        <w:tc>
          <w:tcPr>
            <w:tcW w:w="1342" w:type="pct"/>
            <w:shd w:val="clear" w:color="auto" w:fill="FFFFFF"/>
            <w:vAlign w:val="center"/>
          </w:tcPr>
          <w:p w14:paraId="7792F562">
            <w:pPr>
              <w:keepNext w:val="0"/>
              <w:keepLines w:val="0"/>
              <w:widowControl/>
              <w:suppressLineNumbers w:val="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A fixed co-occurrence criterion identifies branches with multiple structural attributes. It does not imply that multiple operating constraints are simultaneously binding.</w:t>
            </w:r>
          </w:p>
        </w:tc>
      </w:tr>
      <w:tr w14:paraId="096138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10" w:hRule="atLeast"/>
          <w:tblCellSpacing w:w="15" w:type="dxa"/>
        </w:trPr>
        <w:tc>
          <w:tcPr>
            <w:tcW w:w="547" w:type="pct"/>
            <w:shd w:val="clear" w:color="auto" w:fill="FFFFFF"/>
            <w:vAlign w:val="center"/>
          </w:tcPr>
          <w:p w14:paraId="6091B1A0">
            <w:pPr>
              <w:keepNext w:val="0"/>
              <w:keepLines w:val="0"/>
              <w:widowControl/>
              <w:suppressLineNumbers w:val="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Low-redundancy enrichment</w:t>
            </w:r>
          </w:p>
        </w:tc>
        <w:tc>
          <w:tcPr>
            <w:tcW w:w="557" w:type="pct"/>
            <w:shd w:val="clear" w:color="auto" w:fill="FFFFFF"/>
            <w:vAlign w:val="center"/>
          </w:tcPr>
          <w:p w14:paraId="1795B752">
            <w:pPr>
              <w:keepNext w:val="0"/>
              <w:keepLines w:val="0"/>
              <w:widowControl/>
              <w:suppressLineNumbers w:val="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Transmission branch and its endpoint substations</w:t>
            </w:r>
          </w:p>
        </w:tc>
        <w:tc>
          <w:tcPr>
            <w:tcW w:w="672" w:type="pct"/>
            <w:shd w:val="clear" w:color="auto" w:fill="FFFFFF"/>
            <w:vAlign w:val="center"/>
          </w:tcPr>
          <w:p w14:paraId="291126D4">
            <w:pPr>
              <w:keepNext w:val="0"/>
              <w:keepLines w:val="0"/>
              <w:widowControl/>
              <w:suppressLineNumbers w:val="0"/>
              <w:jc w:val="left"/>
              <w:rPr>
                <w:rFonts w:hint="default" w:ascii="Times New Roman" w:hAnsi="Times New Roman" w:eastAsia="宋体" w:cs="Times New Roman"/>
                <w:b w:val="0"/>
                <w:i w:val="0"/>
                <w:color w:val="000000"/>
                <w:kern w:val="0"/>
                <w:sz w:val="21"/>
                <w:szCs w:val="21"/>
                <w:lang w:val="en-US" w:eastAsia="zh-CN" w:bidi="ar"/>
              </w:rPr>
            </w:pPr>
            <w:r>
              <w:rPr>
                <w:rFonts w:hint="default" w:ascii="Times New Roman" w:hAnsi="Times New Roman" w:eastAsia="宋体" w:cs="Times New Roman"/>
                <w:b w:val="0"/>
                <w:color w:val="000000"/>
                <w:kern w:val="0"/>
                <w:sz w:val="21"/>
                <w:szCs w:val="21"/>
                <w:lang w:val="en-US" w:eastAsia="zh-CN" w:bidi="ar"/>
              </w:rPr>
              <w:t xml:space="preserve">Number of distinct incident branches at each endpoint, </w:t>
            </w:r>
            <m:oMath>
              <m:sSub>
                <m:sSubPr>
                  <m:ctrlPr>
                    <w:rPr>
                      <w:rFonts w:hint="default" w:ascii="Cambria Math" w:hAnsi="Cambria Math" w:eastAsia="宋体" w:cs="Times New Roman"/>
                      <w:b w:val="0"/>
                      <w:color w:val="000000"/>
                      <w:sz w:val="21"/>
                      <w:szCs w:val="28"/>
                    </w:rPr>
                  </m:ctrlPr>
                </m:sSubPr>
                <m:e>
                  <m:r>
                    <m:rPr>
                      <m:nor/>
                    </m:rPr>
                    <w:rPr>
                      <w:rFonts w:hint="default" w:ascii="Times New Roman" w:hAnsi="Times New Roman" w:eastAsia="宋体" w:cs="Times New Roman"/>
                      <w:b w:val="0"/>
                      <w:i/>
                      <w:color w:val="000000"/>
                      <w:sz w:val="21"/>
                      <w:szCs w:val="28"/>
                    </w:rPr>
                    <m:t>k</m:t>
                  </m:r>
                  <m:ctrlPr>
                    <w:rPr>
                      <w:rFonts w:hint="default" w:ascii="Cambria Math" w:hAnsi="Cambria Math" w:eastAsia="宋体" w:cs="Times New Roman"/>
                      <w:b w:val="0"/>
                      <w:color w:val="000000"/>
                      <w:sz w:val="21"/>
                      <w:szCs w:val="28"/>
                    </w:rPr>
                  </m:ctrlPr>
                </m:e>
                <m:sub>
                  <m:r>
                    <m:rPr>
                      <m:nor/>
                    </m:rPr>
                    <w:rPr>
                      <w:rFonts w:hint="default" w:ascii="Times New Roman" w:hAnsi="Times New Roman" w:eastAsia="宋体" w:cs="Times New Roman"/>
                      <w:b w:val="0"/>
                      <w:i/>
                      <w:color w:val="000000"/>
                      <w:sz w:val="21"/>
                      <w:szCs w:val="28"/>
                    </w:rPr>
                    <m:t>u</m:t>
                  </m:r>
                  <m:ctrlPr>
                    <w:rPr>
                      <w:rFonts w:hint="default" w:ascii="Cambria Math" w:hAnsi="Cambria Math" w:eastAsia="宋体" w:cs="Times New Roman"/>
                      <w:b w:val="0"/>
                      <w:color w:val="000000"/>
                      <w:sz w:val="21"/>
                      <w:szCs w:val="28"/>
                    </w:rPr>
                  </m:ctrlPr>
                </m:sub>
              </m:sSub>
            </m:oMath>
          </w:p>
          <w:p w14:paraId="27FC48AC">
            <w:pPr>
              <w:keepNext w:val="0"/>
              <w:keepLines w:val="0"/>
              <w:widowControl/>
              <w:suppressLineNumbers w:val="0"/>
              <w:jc w:val="left"/>
              <w:rPr>
                <w:rFonts w:hint="default" w:ascii="Times New Roman" w:hAnsi="Times New Roman" w:eastAsia="宋体" w:cs="Times New Roman"/>
                <w:b w:val="0"/>
                <w:i w:val="0"/>
                <w:color w:val="000000"/>
                <w:kern w:val="0"/>
                <w:sz w:val="21"/>
                <w:szCs w:val="21"/>
                <w:lang w:val="en-US" w:eastAsia="zh-CN" w:bidi="ar"/>
              </w:rPr>
            </w:pPr>
            <w:r>
              <w:rPr>
                <w:rFonts w:hint="default" w:ascii="Times New Roman" w:hAnsi="Times New Roman" w:eastAsia="宋体" w:cs="Times New Roman"/>
                <w:b w:val="0"/>
                <w:color w:val="000000"/>
                <w:kern w:val="0"/>
                <w:sz w:val="21"/>
                <w:szCs w:val="21"/>
                <w:lang w:val="en-US" w:eastAsia="zh-CN" w:bidi="ar"/>
              </w:rPr>
              <w:t xml:space="preserve"> and </w:t>
            </w:r>
            <m:oMath>
              <m:sSub>
                <m:sSubPr>
                  <m:ctrlPr>
                    <w:rPr>
                      <w:rFonts w:hint="default" w:ascii="Cambria Math" w:hAnsi="Cambria Math" w:eastAsia="宋体" w:cs="Times New Roman"/>
                      <w:b w:val="0"/>
                      <w:color w:val="000000"/>
                      <w:sz w:val="21"/>
                      <w:szCs w:val="28"/>
                    </w:rPr>
                  </m:ctrlPr>
                </m:sSubPr>
                <m:e>
                  <m:r>
                    <m:rPr>
                      <m:nor/>
                    </m:rPr>
                    <w:rPr>
                      <w:rFonts w:hint="default" w:ascii="Times New Roman" w:hAnsi="Times New Roman" w:eastAsia="宋体" w:cs="Times New Roman"/>
                      <w:b w:val="0"/>
                      <w:i/>
                      <w:color w:val="000000"/>
                      <w:sz w:val="21"/>
                      <w:szCs w:val="28"/>
                    </w:rPr>
                    <m:t>k</m:t>
                  </m:r>
                  <m:ctrlPr>
                    <w:rPr>
                      <w:rFonts w:hint="default" w:ascii="Cambria Math" w:hAnsi="Cambria Math" w:eastAsia="宋体" w:cs="Times New Roman"/>
                      <w:b w:val="0"/>
                      <w:color w:val="000000"/>
                      <w:sz w:val="21"/>
                      <w:szCs w:val="28"/>
                    </w:rPr>
                  </m:ctrlPr>
                </m:e>
                <m:sub>
                  <m:r>
                    <m:rPr>
                      <m:nor/>
                    </m:rPr>
                    <w:rPr>
                      <w:rFonts w:hint="default" w:ascii="Times New Roman" w:hAnsi="Times New Roman" w:eastAsia="宋体" w:cs="Times New Roman"/>
                      <w:b w:val="0"/>
                      <w:i/>
                      <w:color w:val="000000"/>
                      <w:sz w:val="21"/>
                      <w:szCs w:val="28"/>
                    </w:rPr>
                    <m:t>v</m:t>
                  </m:r>
                  <m:ctrlPr>
                    <w:rPr>
                      <w:rFonts w:hint="default" w:ascii="Cambria Math" w:hAnsi="Cambria Math" w:eastAsia="宋体" w:cs="Times New Roman"/>
                      <w:b w:val="0"/>
                      <w:color w:val="000000"/>
                      <w:sz w:val="21"/>
                      <w:szCs w:val="28"/>
                    </w:rPr>
                  </m:ctrlPr>
                </m:sub>
              </m:sSub>
            </m:oMath>
          </w:p>
        </w:tc>
        <w:tc>
          <w:tcPr>
            <w:tcW w:w="901" w:type="pct"/>
            <w:shd w:val="clear" w:color="auto" w:fill="FFFFFF"/>
            <w:vAlign w:val="center"/>
          </w:tcPr>
          <w:p w14:paraId="46273173">
            <w:pPr>
              <w:keepNext w:val="0"/>
              <w:keepLines w:val="0"/>
              <w:widowControl/>
              <w:suppressLineNumbers w:val="0"/>
              <w:jc w:val="left"/>
              <w:rPr>
                <w:rFonts w:hint="default" w:ascii="Times New Roman" w:hAnsi="Times New Roman" w:eastAsia="宋体" w:cs="Times New Roman"/>
                <w:b w:val="0"/>
                <w:i w:val="0"/>
                <w:color w:val="000000"/>
                <w:kern w:val="0"/>
                <w:sz w:val="21"/>
                <w:szCs w:val="21"/>
                <w:lang w:val="en-US" w:eastAsia="zh-CN" w:bidi="ar"/>
              </w:rPr>
            </w:pPr>
            <m:oMathPara>
              <m:oMath>
                <m:r>
                  <m:rPr>
                    <m:nor/>
                    <m:sty m:val="p"/>
                  </m:rPr>
                  <w:rPr>
                    <w:rFonts w:hint="default" w:ascii="Times New Roman" w:hAnsi="Times New Roman" w:eastAsia="宋体" w:cs="Times New Roman"/>
                    <w:b w:val="0"/>
                    <w:i w:val="0"/>
                    <w:color w:val="000000"/>
                    <w:sz w:val="21"/>
                    <w:szCs w:val="28"/>
                    <w:lang w:val="en-US" w:eastAsia="zh-CN"/>
                  </w:rPr>
                  <m:t>min(</m:t>
                </m:r>
                <m:sSub>
                  <m:sSubPr>
                    <m:ctrlPr>
                      <w:rPr>
                        <w:rFonts w:hint="default" w:ascii="Cambria Math" w:hAnsi="Cambria Math" w:eastAsia="宋体" w:cs="Times New Roman"/>
                        <w:b w:val="0"/>
                        <w:color w:val="000000"/>
                        <w:sz w:val="21"/>
                        <w:szCs w:val="28"/>
                      </w:rPr>
                    </m:ctrlPr>
                  </m:sSubPr>
                  <m:e>
                    <m:r>
                      <m:rPr>
                        <m:nor/>
                      </m:rPr>
                      <w:rPr>
                        <w:rFonts w:hint="default" w:ascii="Times New Roman" w:hAnsi="Times New Roman" w:eastAsia="宋体" w:cs="Times New Roman"/>
                        <w:b w:val="0"/>
                        <w:i/>
                        <w:color w:val="000000"/>
                        <w:sz w:val="21"/>
                        <w:szCs w:val="28"/>
                      </w:rPr>
                      <m:t>k</m:t>
                    </m:r>
                    <m:ctrlPr>
                      <w:rPr>
                        <w:rFonts w:hint="default" w:ascii="Cambria Math" w:hAnsi="Cambria Math" w:eastAsia="宋体" w:cs="Times New Roman"/>
                        <w:b w:val="0"/>
                        <w:color w:val="000000"/>
                        <w:sz w:val="21"/>
                        <w:szCs w:val="28"/>
                      </w:rPr>
                    </m:ctrlPr>
                  </m:e>
                  <m:sub>
                    <m:r>
                      <m:rPr>
                        <m:nor/>
                      </m:rPr>
                      <w:rPr>
                        <w:rFonts w:hint="default" w:ascii="Times New Roman" w:hAnsi="Times New Roman" w:eastAsia="宋体" w:cs="Times New Roman"/>
                        <w:b w:val="0"/>
                        <w:i/>
                        <w:color w:val="000000"/>
                        <w:sz w:val="21"/>
                        <w:szCs w:val="28"/>
                      </w:rPr>
                      <m:t>u</m:t>
                    </m:r>
                    <m:ctrlPr>
                      <w:rPr>
                        <w:rFonts w:hint="default" w:ascii="Cambria Math" w:hAnsi="Cambria Math" w:eastAsia="宋体" w:cs="Times New Roman"/>
                        <w:b w:val="0"/>
                        <w:color w:val="000000"/>
                        <w:sz w:val="21"/>
                        <w:szCs w:val="28"/>
                      </w:rPr>
                    </m:ctrlPr>
                  </m:sub>
                </m:sSub>
                <m:r>
                  <m:rPr>
                    <m:nor/>
                    <m:sty m:val="p"/>
                  </m:rPr>
                  <w:rPr>
                    <w:rFonts w:hint="default" w:ascii="Times New Roman" w:hAnsi="Times New Roman" w:eastAsia="宋体" w:cs="Times New Roman"/>
                    <w:b w:val="0"/>
                    <w:i w:val="0"/>
                    <w:color w:val="000000"/>
                    <w:sz w:val="21"/>
                    <w:szCs w:val="28"/>
                  </w:rPr>
                  <m:t>,</m:t>
                </m:r>
                <m:sSub>
                  <m:sSubPr>
                    <m:ctrlPr>
                      <w:rPr>
                        <w:rFonts w:hint="default" w:ascii="Cambria Math" w:hAnsi="Cambria Math" w:eastAsia="宋体" w:cs="Times New Roman"/>
                        <w:b w:val="0"/>
                        <w:color w:val="000000"/>
                        <w:sz w:val="21"/>
                        <w:szCs w:val="28"/>
                      </w:rPr>
                    </m:ctrlPr>
                  </m:sSubPr>
                  <m:e>
                    <m:r>
                      <m:rPr>
                        <m:nor/>
                      </m:rPr>
                      <w:rPr>
                        <w:rFonts w:hint="default" w:ascii="Times New Roman" w:hAnsi="Times New Roman" w:eastAsia="宋体" w:cs="Times New Roman"/>
                        <w:b w:val="0"/>
                        <w:i/>
                        <w:color w:val="000000"/>
                        <w:sz w:val="21"/>
                        <w:szCs w:val="28"/>
                      </w:rPr>
                      <m:t>k</m:t>
                    </m:r>
                    <m:ctrlPr>
                      <w:rPr>
                        <w:rFonts w:hint="default" w:ascii="Cambria Math" w:hAnsi="Cambria Math" w:eastAsia="宋体" w:cs="Times New Roman"/>
                        <w:b w:val="0"/>
                        <w:color w:val="000000"/>
                        <w:sz w:val="21"/>
                        <w:szCs w:val="28"/>
                      </w:rPr>
                    </m:ctrlPr>
                  </m:e>
                  <m:sub>
                    <m:r>
                      <m:rPr>
                        <m:nor/>
                      </m:rPr>
                      <w:rPr>
                        <w:rFonts w:hint="default" w:ascii="Times New Roman" w:hAnsi="Times New Roman" w:eastAsia="宋体" w:cs="Times New Roman"/>
                        <w:b w:val="0"/>
                        <w:i/>
                        <w:color w:val="000000"/>
                        <w:sz w:val="21"/>
                        <w:szCs w:val="28"/>
                      </w:rPr>
                      <m:t>v</m:t>
                    </m:r>
                    <m:ctrlPr>
                      <w:rPr>
                        <w:rFonts w:hint="default" w:ascii="Cambria Math" w:hAnsi="Cambria Math" w:eastAsia="宋体" w:cs="Times New Roman"/>
                        <w:b w:val="0"/>
                        <w:color w:val="000000"/>
                        <w:sz w:val="21"/>
                        <w:szCs w:val="28"/>
                      </w:rPr>
                    </m:ctrlPr>
                  </m:sub>
                </m:sSub>
                <m:r>
                  <m:rPr>
                    <m:nor/>
                    <m:sty m:val="p"/>
                  </m:rPr>
                  <w:rPr>
                    <w:rFonts w:hint="default" w:ascii="Times New Roman" w:hAnsi="Times New Roman" w:eastAsia="宋体" w:cs="Times New Roman"/>
                    <w:b w:val="0"/>
                    <w:i w:val="0"/>
                    <w:color w:val="000000"/>
                    <w:sz w:val="21"/>
                    <w:szCs w:val="28"/>
                  </w:rPr>
                  <m:t>)≤2</m:t>
                </m:r>
              </m:oMath>
            </m:oMathPara>
          </w:p>
        </w:tc>
        <w:tc>
          <w:tcPr>
            <w:tcW w:w="904" w:type="pct"/>
            <w:shd w:val="clear" w:color="auto" w:fill="FFFFFF"/>
            <w:vAlign w:val="center"/>
          </w:tcPr>
          <w:p w14:paraId="7E0E1710">
            <w:pPr>
              <w:keepNext w:val="0"/>
              <w:keepLines w:val="0"/>
              <w:widowControl/>
              <w:suppressLineNumbers w:val="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All transmission branches; enrichment is referenced to the network-wide fraction satisfying this criterion</w:t>
            </w:r>
          </w:p>
        </w:tc>
        <w:tc>
          <w:tcPr>
            <w:tcW w:w="1342" w:type="pct"/>
            <w:shd w:val="clear" w:color="auto" w:fill="FFFFFF"/>
            <w:vAlign w:val="center"/>
          </w:tcPr>
          <w:p w14:paraId="08CB4988">
            <w:pPr>
              <w:keepNext w:val="0"/>
              <w:keepLines w:val="0"/>
              <w:widowControl/>
              <w:suppressLineNumbers w:val="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Uses limited endpoint connectivity as a topological proxy for low redundancy. Incident branches, including parallel circuits, are counted separately; degree does not directly measure alternative-path capacity.</w:t>
            </w:r>
          </w:p>
        </w:tc>
      </w:tr>
      <w:tr w14:paraId="0F176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10" w:hRule="atLeast"/>
          <w:tblCellSpacing w:w="15" w:type="dxa"/>
        </w:trPr>
        <w:tc>
          <w:tcPr>
            <w:tcW w:w="547" w:type="pct"/>
            <w:tcBorders>
              <w:bottom w:val="single" w:color="000000" w:sz="12" w:space="0"/>
            </w:tcBorders>
            <w:shd w:val="clear" w:color="auto" w:fill="FFFFFF"/>
            <w:vAlign w:val="center"/>
          </w:tcPr>
          <w:p w14:paraId="0455E046">
            <w:pPr>
              <w:keepNext w:val="0"/>
              <w:keepLines w:val="0"/>
              <w:widowControl/>
              <w:suppressLineNumbers w:val="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Bridge-corridor enrichment</w:t>
            </w:r>
          </w:p>
        </w:tc>
        <w:tc>
          <w:tcPr>
            <w:tcW w:w="557" w:type="pct"/>
            <w:tcBorders>
              <w:bottom w:val="single" w:color="000000" w:sz="12" w:space="0"/>
            </w:tcBorders>
            <w:shd w:val="clear" w:color="auto" w:fill="FFFFFF"/>
            <w:vAlign w:val="center"/>
          </w:tcPr>
          <w:p w14:paraId="04553A6C">
            <w:pPr>
              <w:keepNext w:val="0"/>
              <w:keepLines w:val="0"/>
              <w:widowControl/>
              <w:suppressLineNumbers w:val="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Transmission branch connecting distinct substations</w:t>
            </w:r>
          </w:p>
        </w:tc>
        <w:tc>
          <w:tcPr>
            <w:tcW w:w="672" w:type="pct"/>
            <w:tcBorders>
              <w:bottom w:val="single" w:color="000000" w:sz="12" w:space="0"/>
            </w:tcBorders>
            <w:shd w:val="clear" w:color="auto" w:fill="FFFFFF"/>
            <w:vAlign w:val="center"/>
          </w:tcPr>
          <w:p w14:paraId="0AEC417C">
            <w:pPr>
              <w:keepNext w:val="0"/>
              <w:keepLines w:val="0"/>
              <w:widowControl/>
              <w:suppressLineNumbers w:val="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Undirected substation connectivity and parallel-circuit multiplicity</w:t>
            </w:r>
          </w:p>
        </w:tc>
        <w:tc>
          <w:tcPr>
            <w:tcW w:w="901" w:type="pct"/>
            <w:tcBorders>
              <w:bottom w:val="single" w:color="000000" w:sz="12" w:space="0"/>
            </w:tcBorders>
            <w:shd w:val="clear" w:color="auto" w:fill="FFFFFF"/>
            <w:vAlign w:val="center"/>
          </w:tcPr>
          <w:p w14:paraId="4C566158">
            <w:pPr>
              <w:keepNext w:val="0"/>
              <w:keepLines w:val="0"/>
              <w:widowControl/>
              <w:suppressLineNumbers w:val="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The endpoint pair is a graph bridge, and exactly one branch connects that pair</w:t>
            </w:r>
          </w:p>
        </w:tc>
        <w:tc>
          <w:tcPr>
            <w:tcW w:w="904" w:type="pct"/>
            <w:tcBorders>
              <w:bottom w:val="single" w:color="000000" w:sz="12" w:space="0"/>
            </w:tcBorders>
            <w:shd w:val="clear" w:color="auto" w:fill="FFFFFF"/>
            <w:vAlign w:val="center"/>
          </w:tcPr>
          <w:p w14:paraId="376216F9">
            <w:pPr>
              <w:keepNext w:val="0"/>
              <w:keepLines w:val="0"/>
              <w:widowControl/>
              <w:suppressLineNumbers w:val="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The substation network determines bridge status; all transmission branches form the enrichment reference population</w:t>
            </w:r>
          </w:p>
        </w:tc>
        <w:tc>
          <w:tcPr>
            <w:tcW w:w="1342" w:type="pct"/>
            <w:tcBorders>
              <w:bottom w:val="single" w:color="000000" w:sz="12" w:space="0"/>
            </w:tcBorders>
            <w:shd w:val="clear" w:color="auto" w:fill="FFFFFF"/>
            <w:vAlign w:val="center"/>
          </w:tcPr>
          <w:p w14:paraId="0EF19BB1">
            <w:pPr>
              <w:keepNext w:val="0"/>
              <w:keepLines w:val="0"/>
              <w:widowControl/>
              <w:suppressLineNumbers w:val="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A connectivity-based criterion identifies branches whose removal disconnects their endpoints. Parallel circuits are excluded from bridge classification.</w:t>
            </w:r>
          </w:p>
        </w:tc>
      </w:tr>
    </w:tbl>
    <w:p w14:paraId="562A8E3D">
      <w:pPr>
        <w:rPr>
          <w:rFonts w:hint="default" w:ascii="Times New Roman" w:hAnsi="Times New Roman" w:eastAsia="宋体" w:cs="Times New Roman"/>
          <w:i w:val="0"/>
          <w:iCs w:val="0"/>
          <w:sz w:val="24"/>
          <w:szCs w:val="24"/>
        </w:rPr>
      </w:pPr>
      <w:r>
        <w:rPr>
          <w:rFonts w:hint="default" w:ascii="Times New Roman" w:hAnsi="Times New Roman" w:cs="Times New Roman"/>
          <w:i/>
          <w:iCs/>
          <w:lang w:val="en-US" w:eastAsia="zh-CN"/>
        </w:rPr>
        <w:t xml:space="preserve">Note: </w:t>
      </w:r>
      <w:r>
        <w:rPr>
          <w:rFonts w:hint="default" w:ascii="Times New Roman" w:hAnsi="Times New Roman" w:eastAsia="宋体" w:cs="Times New Roman"/>
          <w:i w:val="0"/>
          <w:iCs w:val="0"/>
          <w:sz w:val="24"/>
          <w:szCs w:val="24"/>
        </w:rPr>
        <w:t>For each motif, qualifying branches are first identified from the static network without using terminal-severity labels. The initiating exposure set comprises directly affected branches and branches incident to affected or directly outaged substations. Substations mapped to affected or dependency-influenced gas nodes are also included. A structural-exposure motif is classified as enriched when at least one qualifying branch occurs in this set and its fraction exceeds the corresponding fraction across all network branches.</w:t>
      </w:r>
    </w:p>
    <w:p w14:paraId="7637B496">
      <w:pPr>
        <w:rPr>
          <w:rFonts w:hint="default" w:ascii="Times New Roman" w:hAnsi="Times New Roman" w:eastAsia="宋体" w:cs="Times New Roman"/>
          <w:i w:val="0"/>
          <w:iCs w:val="0"/>
          <w:sz w:val="24"/>
          <w:szCs w:val="24"/>
        </w:rPr>
      </w:pPr>
    </w:p>
    <w:p w14:paraId="0DB2483A">
      <w:pPr>
        <w:rPr>
          <w:rFonts w:hint="default" w:ascii="Times New Roman" w:hAnsi="Times New Roman" w:eastAsia="宋体" w:cs="Times New Roman"/>
          <w:i w:val="0"/>
          <w:iCs w:val="0"/>
          <w:sz w:val="24"/>
          <w:szCs w:val="24"/>
          <w:lang w:val="en-US" w:eastAsia="zh-CN"/>
        </w:rPr>
      </w:pPr>
      <w:r>
        <w:rPr>
          <w:rFonts w:hint="default" w:ascii="Times New Roman" w:hAnsi="Times New Roman" w:eastAsia="宋体" w:cs="Times New Roman"/>
          <w:i w:val="0"/>
          <w:iCs w:val="0"/>
          <w:sz w:val="24"/>
          <w:szCs w:val="24"/>
          <w:lang w:val="en-US" w:eastAsia="zh-CN"/>
        </w:rPr>
        <w:br w:type="page"/>
      </w:r>
    </w:p>
    <w:p w14:paraId="3F67A0D0">
      <w:pPr>
        <w:jc w:val="left"/>
        <w:rPr>
          <w:rFonts w:hint="default" w:ascii="Times New Roman" w:hAnsi="Times New Roman" w:cs="Times New Roman"/>
          <w:b/>
          <w:bCs/>
          <w:lang w:val="en-US" w:eastAsia="zh-CN"/>
        </w:rPr>
      </w:pPr>
      <w:r>
        <w:rPr>
          <w:rFonts w:hint="default" w:ascii="Times New Roman" w:hAnsi="Times New Roman" w:cs="Times New Roman"/>
          <w:b/>
          <w:bCs/>
          <w:lang w:val="en-US" w:eastAsia="zh-CN"/>
        </w:rPr>
        <w:t>Propagation motifs</w:t>
      </w:r>
    </w:p>
    <w:p w14:paraId="175493A2">
      <w:pPr>
        <w:jc w:val="both"/>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Propagation motifs are identified using deterministic rules applied to recorded branch-trip events. Their associations with terminal severity are then assessed using odds ratios stratified by disturbance configuration.</w:t>
      </w:r>
    </w:p>
    <w:p w14:paraId="35D7B213">
      <w:pPr>
        <w:jc w:val="both"/>
        <w:rPr>
          <w:rFonts w:hint="default" w:ascii="Times New Roman" w:hAnsi="Times New Roman" w:cs="Times New Roman"/>
          <w:b/>
          <w:bCs/>
          <w:lang w:val="en-US" w:eastAsia="zh-CN"/>
        </w:rPr>
      </w:pPr>
      <w:bookmarkStart w:id="0" w:name="_GoBack"/>
      <w:bookmarkEnd w:id="0"/>
    </w:p>
    <w:p w14:paraId="3EBF03C5">
      <w:pPr>
        <w:jc w:val="center"/>
        <w:rPr>
          <w:rFonts w:hint="default" w:ascii="Times New Roman" w:hAnsi="Times New Roman" w:cs="Times New Roman" w:eastAsiaTheme="minorEastAsia"/>
          <w:lang w:val="en-US" w:eastAsia="zh-CN"/>
        </w:rPr>
      </w:pPr>
      <w:r>
        <w:rPr>
          <w:rFonts w:hint="default" w:ascii="Times New Roman" w:hAnsi="Times New Roman" w:cs="Times New Roman"/>
          <w:b/>
          <w:bCs/>
          <w:lang w:val="en-US" w:eastAsia="zh-CN"/>
        </w:rPr>
        <w:t xml:space="preserve">Table </w:t>
      </w:r>
      <w:r>
        <w:rPr>
          <w:rFonts w:hint="default" w:ascii="Times New Roman" w:hAnsi="Times New Roman" w:cs="Times New Roman"/>
          <w:b/>
          <w:bCs/>
          <w:lang w:val="en-US" w:eastAsia="zh-CN"/>
        </w:rPr>
        <w:t>2.</w:t>
      </w:r>
      <w:r>
        <w:rPr>
          <w:rFonts w:hint="default" w:ascii="Times New Roman" w:hAnsi="Times New Roman" w:cs="Times New Roman"/>
          <w:lang w:val="en-US" w:eastAsia="zh-CN"/>
        </w:rPr>
        <w:t xml:space="preserve"> Operational definitions of </w:t>
      </w:r>
      <w:r>
        <w:rPr>
          <w:rFonts w:hint="default" w:ascii="Times New Roman" w:hAnsi="Times New Roman" w:cs="Times New Roman"/>
          <w:lang w:val="en-US" w:eastAsia="zh-CN"/>
        </w:rPr>
        <w:t>propagation</w:t>
      </w:r>
      <w:r>
        <w:rPr>
          <w:rFonts w:hint="default" w:ascii="Times New Roman" w:hAnsi="Times New Roman" w:cs="Times New Roman"/>
          <w:lang w:val="en-US" w:eastAsia="zh-CN"/>
        </w:rPr>
        <w:t xml:space="preserve"> motifs</w:t>
      </w: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04"/>
        <w:gridCol w:w="1634"/>
        <w:gridCol w:w="2734"/>
        <w:gridCol w:w="3406"/>
        <w:gridCol w:w="4370"/>
      </w:tblGrid>
      <w:tr w14:paraId="3A7622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12" w:space="0"/>
              <w:bottom w:val="single" w:color="000000" w:sz="4" w:space="0"/>
              <w:tl2br w:val="nil"/>
            </w:tcBorders>
            <w:shd w:val="clear" w:color="auto" w:fill="FFFFFF"/>
            <w:vAlign w:val="center"/>
          </w:tcPr>
          <w:p w14:paraId="3635E007">
            <w:pPr>
              <w:keepNext w:val="0"/>
              <w:keepLines w:val="0"/>
              <w:widowControl/>
              <w:suppressLineNumbers w:val="0"/>
              <w:jc w:val="center"/>
              <w:rPr>
                <w:rFonts w:hint="default" w:ascii="Times New Roman" w:hAnsi="Times New Roman" w:cs="Times New Roman"/>
                <w:b w:val="0"/>
                <w:bCs/>
                <w:color w:val="000000"/>
                <w:sz w:val="22"/>
                <w:szCs w:val="22"/>
              </w:rPr>
            </w:pPr>
            <w:r>
              <w:rPr>
                <w:rFonts w:hint="default" w:ascii="Times New Roman" w:hAnsi="Times New Roman" w:eastAsia="宋体" w:cs="Times New Roman"/>
                <w:b w:val="0"/>
                <w:bCs/>
                <w:color w:val="000000"/>
                <w:kern w:val="0"/>
                <w:sz w:val="22"/>
                <w:szCs w:val="22"/>
                <w:lang w:val="en-US" w:eastAsia="zh-CN" w:bidi="ar"/>
              </w:rPr>
              <w:t>Propagation motif</w:t>
            </w:r>
          </w:p>
        </w:tc>
        <w:tc>
          <w:tcPr>
            <w:tcW w:w="0" w:type="auto"/>
            <w:tcBorders>
              <w:top w:val="single" w:color="000000" w:sz="12" w:space="0"/>
              <w:bottom w:val="single" w:color="000000" w:sz="4" w:space="0"/>
            </w:tcBorders>
            <w:shd w:val="clear" w:color="auto" w:fill="FFFFFF"/>
            <w:vAlign w:val="center"/>
          </w:tcPr>
          <w:p w14:paraId="674B7AB5">
            <w:pPr>
              <w:keepNext w:val="0"/>
              <w:keepLines w:val="0"/>
              <w:widowControl/>
              <w:suppressLineNumbers w:val="0"/>
              <w:jc w:val="center"/>
              <w:rPr>
                <w:rFonts w:hint="default" w:ascii="Times New Roman" w:hAnsi="Times New Roman" w:cs="Times New Roman"/>
                <w:b w:val="0"/>
                <w:bCs/>
                <w:color w:val="000000"/>
                <w:sz w:val="22"/>
                <w:szCs w:val="22"/>
              </w:rPr>
            </w:pPr>
            <w:r>
              <w:rPr>
                <w:rFonts w:hint="default" w:ascii="Times New Roman" w:hAnsi="Times New Roman" w:eastAsia="宋体" w:cs="Times New Roman"/>
                <w:b w:val="0"/>
                <w:bCs/>
                <w:color w:val="000000"/>
                <w:kern w:val="0"/>
                <w:sz w:val="22"/>
                <w:szCs w:val="22"/>
                <w:lang w:val="en-US" w:eastAsia="zh-CN" w:bidi="ar"/>
              </w:rPr>
              <w:t>Matching unit</w:t>
            </w:r>
          </w:p>
        </w:tc>
        <w:tc>
          <w:tcPr>
            <w:tcW w:w="0" w:type="auto"/>
            <w:tcBorders>
              <w:top w:val="single" w:color="000000" w:sz="12" w:space="0"/>
              <w:bottom w:val="single" w:color="000000" w:sz="4" w:space="0"/>
            </w:tcBorders>
            <w:shd w:val="clear" w:color="auto" w:fill="FFFFFF"/>
            <w:vAlign w:val="center"/>
          </w:tcPr>
          <w:p w14:paraId="3337030F">
            <w:pPr>
              <w:keepNext w:val="0"/>
              <w:keepLines w:val="0"/>
              <w:widowControl/>
              <w:suppressLineNumbers w:val="0"/>
              <w:jc w:val="center"/>
              <w:rPr>
                <w:rFonts w:hint="default" w:ascii="Times New Roman" w:hAnsi="Times New Roman" w:cs="Times New Roman"/>
                <w:b w:val="0"/>
                <w:bCs/>
                <w:color w:val="000000"/>
                <w:sz w:val="22"/>
                <w:szCs w:val="22"/>
              </w:rPr>
            </w:pPr>
            <w:r>
              <w:rPr>
                <w:rFonts w:hint="default" w:ascii="Times New Roman" w:hAnsi="Times New Roman" w:eastAsia="宋体" w:cs="Times New Roman"/>
                <w:b w:val="0"/>
                <w:bCs/>
                <w:color w:val="000000"/>
                <w:kern w:val="0"/>
                <w:sz w:val="22"/>
                <w:szCs w:val="22"/>
                <w:lang w:val="en-US" w:eastAsia="zh-CN" w:bidi="ar"/>
              </w:rPr>
              <w:t>Required attributes</w:t>
            </w:r>
          </w:p>
        </w:tc>
        <w:tc>
          <w:tcPr>
            <w:tcW w:w="0" w:type="auto"/>
            <w:tcBorders>
              <w:top w:val="single" w:color="000000" w:sz="12" w:space="0"/>
              <w:bottom w:val="single" w:color="000000" w:sz="4" w:space="0"/>
            </w:tcBorders>
            <w:shd w:val="clear" w:color="auto" w:fill="FFFFFF"/>
            <w:vAlign w:val="center"/>
          </w:tcPr>
          <w:p w14:paraId="3633A8C7">
            <w:pPr>
              <w:keepNext w:val="0"/>
              <w:keepLines w:val="0"/>
              <w:widowControl/>
              <w:suppressLineNumbers w:val="0"/>
              <w:jc w:val="center"/>
              <w:rPr>
                <w:rFonts w:hint="default" w:ascii="Times New Roman" w:hAnsi="Times New Roman" w:cs="Times New Roman"/>
                <w:b w:val="0"/>
                <w:bCs/>
                <w:color w:val="000000"/>
                <w:sz w:val="22"/>
                <w:szCs w:val="22"/>
              </w:rPr>
            </w:pPr>
            <w:r>
              <w:rPr>
                <w:rFonts w:hint="default" w:ascii="Times New Roman" w:hAnsi="Times New Roman" w:eastAsia="宋体" w:cs="Times New Roman"/>
                <w:b w:val="0"/>
                <w:bCs/>
                <w:color w:val="000000"/>
                <w:kern w:val="0"/>
                <w:sz w:val="22"/>
                <w:szCs w:val="22"/>
                <w:lang w:val="en-US" w:eastAsia="zh-CN" w:bidi="ar"/>
              </w:rPr>
              <w:t>Matching criterion</w:t>
            </w:r>
          </w:p>
        </w:tc>
        <w:tc>
          <w:tcPr>
            <w:tcW w:w="0" w:type="auto"/>
            <w:tcBorders>
              <w:top w:val="single" w:color="000000" w:sz="12" w:space="0"/>
              <w:bottom w:val="single" w:color="000000" w:sz="4" w:space="0"/>
            </w:tcBorders>
            <w:shd w:val="clear" w:color="auto" w:fill="FFFFFF"/>
            <w:vAlign w:val="center"/>
          </w:tcPr>
          <w:p w14:paraId="5EF0FDE4">
            <w:pPr>
              <w:keepNext w:val="0"/>
              <w:keepLines w:val="0"/>
              <w:widowControl/>
              <w:suppressLineNumbers w:val="0"/>
              <w:jc w:val="center"/>
              <w:rPr>
                <w:rFonts w:hint="default" w:ascii="Times New Roman" w:hAnsi="Times New Roman" w:cs="Times New Roman"/>
                <w:b w:val="0"/>
                <w:bCs/>
                <w:color w:val="000000"/>
                <w:sz w:val="22"/>
                <w:szCs w:val="22"/>
              </w:rPr>
            </w:pPr>
            <w:r>
              <w:rPr>
                <w:rFonts w:hint="default" w:ascii="Times New Roman" w:hAnsi="Times New Roman" w:eastAsia="宋体" w:cs="Times New Roman"/>
                <w:b w:val="0"/>
                <w:bCs/>
                <w:color w:val="000000"/>
                <w:kern w:val="0"/>
                <w:sz w:val="22"/>
                <w:szCs w:val="22"/>
                <w:lang w:val="en-US" w:eastAsia="zh-CN" w:bidi="ar"/>
              </w:rPr>
              <w:t>Threshold rationale</w:t>
            </w:r>
          </w:p>
        </w:tc>
      </w:tr>
      <w:tr w14:paraId="30B5D8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tcBorders>
            <w:shd w:val="clear" w:color="auto" w:fill="FFFFFF"/>
            <w:vAlign w:val="center"/>
          </w:tcPr>
          <w:p w14:paraId="4D2D98CD">
            <w:pPr>
              <w:keepNext w:val="0"/>
              <w:keepLines w:val="0"/>
              <w:widowControl/>
              <w:suppressLineNumbers w:val="0"/>
              <w:jc w:val="left"/>
              <w:rPr>
                <w:rFonts w:hint="default" w:ascii="Times New Roman" w:hAnsi="Times New Roman" w:cs="Times New Roman"/>
                <w:b w:val="0"/>
                <w:color w:val="000000"/>
                <w:sz w:val="22"/>
                <w:szCs w:val="22"/>
              </w:rPr>
            </w:pPr>
            <w:r>
              <w:rPr>
                <w:rStyle w:val="5"/>
                <w:rFonts w:hint="default" w:ascii="Times New Roman" w:hAnsi="Times New Roman" w:eastAsia="宋体" w:cs="Times New Roman"/>
                <w:b w:val="0"/>
                <w:color w:val="000000"/>
                <w:kern w:val="0"/>
                <w:sz w:val="22"/>
                <w:szCs w:val="22"/>
                <w:lang w:val="en-US" w:eastAsia="zh-CN" w:bidi="ar"/>
              </w:rPr>
              <w:t>Multi-round propagation</w:t>
            </w:r>
          </w:p>
        </w:tc>
        <w:tc>
          <w:tcPr>
            <w:tcW w:w="0" w:type="auto"/>
            <w:tcBorders>
              <w:top w:val="single" w:color="000000" w:sz="4" w:space="0"/>
            </w:tcBorders>
            <w:shd w:val="clear" w:color="auto" w:fill="FFFFFF"/>
            <w:vAlign w:val="center"/>
          </w:tcPr>
          <w:p w14:paraId="634A53B4">
            <w:pPr>
              <w:keepNext w:val="0"/>
              <w:keepLines w:val="0"/>
              <w:widowControl/>
              <w:suppressLineNumbers w:val="0"/>
              <w:jc w:val="left"/>
              <w:rPr>
                <w:rFonts w:hint="default" w:ascii="Times New Roman" w:hAnsi="Times New Roman" w:cs="Times New Roman"/>
                <w:b w:val="0"/>
                <w:color w:val="000000"/>
                <w:sz w:val="22"/>
                <w:szCs w:val="22"/>
              </w:rPr>
            </w:pPr>
            <w:r>
              <w:rPr>
                <w:rFonts w:hint="default" w:ascii="Times New Roman" w:hAnsi="Times New Roman" w:eastAsia="宋体" w:cs="Times New Roman"/>
                <w:b w:val="0"/>
                <w:color w:val="000000"/>
                <w:kern w:val="0"/>
                <w:sz w:val="22"/>
                <w:szCs w:val="22"/>
                <w:lang w:val="en-US" w:eastAsia="zh-CN" w:bidi="ar"/>
              </w:rPr>
              <w:t>Cascade trajectory</w:t>
            </w:r>
          </w:p>
        </w:tc>
        <w:tc>
          <w:tcPr>
            <w:tcW w:w="0" w:type="auto"/>
            <w:tcBorders>
              <w:top w:val="single" w:color="000000" w:sz="4" w:space="0"/>
            </w:tcBorders>
            <w:shd w:val="clear" w:color="auto" w:fill="FFFFFF"/>
            <w:vAlign w:val="center"/>
          </w:tcPr>
          <w:p w14:paraId="3C56078E">
            <w:pPr>
              <w:keepNext w:val="0"/>
              <w:keepLines w:val="0"/>
              <w:widowControl/>
              <w:suppressLineNumbers w:val="0"/>
              <w:jc w:val="left"/>
              <w:rPr>
                <w:rFonts w:hint="default" w:ascii="Times New Roman" w:hAnsi="Times New Roman" w:cs="Times New Roman"/>
                <w:b w:val="0"/>
                <w:color w:val="000000"/>
                <w:sz w:val="22"/>
                <w:szCs w:val="22"/>
              </w:rPr>
            </w:pPr>
            <w:r>
              <w:rPr>
                <w:rFonts w:hint="default" w:ascii="Times New Roman" w:hAnsi="Times New Roman" w:eastAsia="宋体" w:cs="Times New Roman"/>
                <w:b w:val="0"/>
                <w:color w:val="000000"/>
                <w:kern w:val="0"/>
                <w:sz w:val="22"/>
                <w:szCs w:val="22"/>
                <w:lang w:val="en-US" w:eastAsia="zh-CN" w:bidi="ar"/>
              </w:rPr>
              <w:t>Round indices of newly tripped branches</w:t>
            </w:r>
          </w:p>
        </w:tc>
        <w:tc>
          <w:tcPr>
            <w:tcW w:w="0" w:type="auto"/>
            <w:tcBorders>
              <w:top w:val="single" w:color="000000" w:sz="4" w:space="0"/>
            </w:tcBorders>
            <w:shd w:val="clear" w:color="auto" w:fill="FFFFFF"/>
            <w:vAlign w:val="center"/>
          </w:tcPr>
          <w:p w14:paraId="1FD1277F">
            <w:pPr>
              <w:keepNext w:val="0"/>
              <w:keepLines w:val="0"/>
              <w:widowControl/>
              <w:suppressLineNumbers w:val="0"/>
              <w:jc w:val="left"/>
              <w:rPr>
                <w:rFonts w:hint="default" w:ascii="Times New Roman" w:hAnsi="Times New Roman" w:cs="Times New Roman"/>
                <w:b w:val="0"/>
                <w:color w:val="000000"/>
                <w:sz w:val="22"/>
                <w:szCs w:val="22"/>
              </w:rPr>
            </w:pPr>
            <w:r>
              <w:rPr>
                <w:rFonts w:hint="default" w:ascii="Times New Roman" w:hAnsi="Times New Roman" w:eastAsia="宋体" w:cs="Times New Roman"/>
                <w:b w:val="0"/>
                <w:color w:val="000000"/>
                <w:kern w:val="0"/>
                <w:sz w:val="22"/>
                <w:szCs w:val="22"/>
                <w:lang w:val="en-US" w:eastAsia="zh-CN" w:bidi="ar"/>
              </w:rPr>
              <w:t>New branch trips occur in at least two distinct cascade rounds</w:t>
            </w:r>
          </w:p>
        </w:tc>
        <w:tc>
          <w:tcPr>
            <w:tcW w:w="0" w:type="auto"/>
            <w:tcBorders>
              <w:top w:val="single" w:color="000000" w:sz="4" w:space="0"/>
            </w:tcBorders>
            <w:shd w:val="clear" w:color="auto" w:fill="FFFFFF"/>
            <w:vAlign w:val="center"/>
          </w:tcPr>
          <w:p w14:paraId="38A2AA7E">
            <w:pPr>
              <w:keepNext w:val="0"/>
              <w:keepLines w:val="0"/>
              <w:widowControl/>
              <w:suppressLineNumbers w:val="0"/>
              <w:jc w:val="left"/>
              <w:rPr>
                <w:rFonts w:hint="default" w:ascii="Times New Roman" w:hAnsi="Times New Roman" w:cs="Times New Roman"/>
                <w:b w:val="0"/>
                <w:color w:val="000000"/>
                <w:sz w:val="22"/>
                <w:szCs w:val="22"/>
              </w:rPr>
            </w:pPr>
            <w:r>
              <w:rPr>
                <w:rFonts w:hint="default" w:ascii="Times New Roman" w:hAnsi="Times New Roman" w:eastAsia="宋体" w:cs="Times New Roman"/>
                <w:b w:val="0"/>
                <w:color w:val="000000"/>
                <w:kern w:val="0"/>
                <w:sz w:val="22"/>
                <w:szCs w:val="22"/>
                <w:lang w:val="en-US" w:eastAsia="zh-CN" w:bidi="ar"/>
              </w:rPr>
              <w:t>Two failure-containing rounds distinguish continued propagation from trips confined to a single round.</w:t>
            </w:r>
          </w:p>
        </w:tc>
      </w:tr>
      <w:tr w14:paraId="2980C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vAlign w:val="center"/>
          </w:tcPr>
          <w:p w14:paraId="709A0CAC">
            <w:pPr>
              <w:keepNext w:val="0"/>
              <w:keepLines w:val="0"/>
              <w:widowControl/>
              <w:suppressLineNumbers w:val="0"/>
              <w:jc w:val="left"/>
              <w:rPr>
                <w:rFonts w:hint="default" w:ascii="Times New Roman" w:hAnsi="Times New Roman" w:cs="Times New Roman"/>
                <w:b w:val="0"/>
                <w:color w:val="000000"/>
                <w:sz w:val="22"/>
                <w:szCs w:val="22"/>
              </w:rPr>
            </w:pPr>
            <w:r>
              <w:rPr>
                <w:rStyle w:val="5"/>
                <w:rFonts w:hint="default" w:ascii="Times New Roman" w:hAnsi="Times New Roman" w:eastAsia="宋体" w:cs="Times New Roman"/>
                <w:b w:val="0"/>
                <w:color w:val="000000"/>
                <w:kern w:val="0"/>
                <w:sz w:val="22"/>
                <w:szCs w:val="22"/>
                <w:lang w:val="en-US" w:eastAsia="zh-CN" w:bidi="ar"/>
              </w:rPr>
              <w:t>Adjacent-round transition</w:t>
            </w:r>
          </w:p>
        </w:tc>
        <w:tc>
          <w:tcPr>
            <w:tcW w:w="0" w:type="auto"/>
            <w:shd w:val="clear" w:color="auto" w:fill="FFFFFF"/>
            <w:vAlign w:val="center"/>
          </w:tcPr>
          <w:p w14:paraId="65353AD5">
            <w:pPr>
              <w:keepNext w:val="0"/>
              <w:keepLines w:val="0"/>
              <w:widowControl/>
              <w:suppressLineNumbers w:val="0"/>
              <w:jc w:val="left"/>
              <w:rPr>
                <w:rFonts w:hint="default" w:ascii="Times New Roman" w:hAnsi="Times New Roman" w:cs="Times New Roman"/>
                <w:b w:val="0"/>
                <w:color w:val="000000"/>
                <w:sz w:val="22"/>
                <w:szCs w:val="22"/>
              </w:rPr>
            </w:pPr>
            <w:r>
              <w:rPr>
                <w:rFonts w:hint="default" w:ascii="Times New Roman" w:hAnsi="Times New Roman" w:eastAsia="宋体" w:cs="Times New Roman"/>
                <w:b w:val="0"/>
                <w:color w:val="000000"/>
                <w:kern w:val="0"/>
                <w:sz w:val="22"/>
                <w:szCs w:val="22"/>
                <w:lang w:val="en-US" w:eastAsia="zh-CN" w:bidi="ar"/>
              </w:rPr>
              <w:t>Branch-trip sets in consecutive rounds</w:t>
            </w:r>
          </w:p>
        </w:tc>
        <w:tc>
          <w:tcPr>
            <w:tcW w:w="0" w:type="auto"/>
            <w:shd w:val="clear" w:color="auto" w:fill="FFFFFF"/>
            <w:vAlign w:val="center"/>
          </w:tcPr>
          <w:p w14:paraId="77C1C1B5">
            <w:pPr>
              <w:keepNext w:val="0"/>
              <w:keepLines w:val="0"/>
              <w:widowControl/>
              <w:suppressLineNumbers w:val="0"/>
              <w:jc w:val="left"/>
              <w:rPr>
                <w:rFonts w:hint="default" w:ascii="Times New Roman" w:hAnsi="Times New Roman" w:cs="Times New Roman"/>
                <w:b w:val="0"/>
                <w:color w:val="000000"/>
                <w:sz w:val="22"/>
                <w:szCs w:val="22"/>
              </w:rPr>
            </w:pPr>
            <w:r>
              <w:rPr>
                <w:rFonts w:hint="default" w:ascii="Times New Roman" w:hAnsi="Times New Roman" w:eastAsia="宋体" w:cs="Times New Roman"/>
                <w:b w:val="0"/>
                <w:color w:val="000000"/>
                <w:kern w:val="0"/>
                <w:sz w:val="22"/>
                <w:szCs w:val="22"/>
                <w:lang w:val="en-US" w:eastAsia="zh-CN" w:bidi="ar"/>
              </w:rPr>
              <w:t>Round indices and endpoint-bus identifiers of tripped branches</w:t>
            </w:r>
          </w:p>
        </w:tc>
        <w:tc>
          <w:tcPr>
            <w:tcW w:w="0" w:type="auto"/>
            <w:shd w:val="clear" w:color="auto" w:fill="FFFFFF"/>
            <w:vAlign w:val="center"/>
          </w:tcPr>
          <w:p w14:paraId="3255C9C0">
            <w:pPr>
              <w:keepNext w:val="0"/>
              <w:keepLines w:val="0"/>
              <w:widowControl/>
              <w:suppressLineNumbers w:val="0"/>
              <w:jc w:val="left"/>
              <w:rPr>
                <w:rFonts w:hint="default" w:ascii="Times New Roman" w:hAnsi="Times New Roman" w:eastAsia="宋体" w:cs="Times New Roman"/>
                <w:b w:val="0"/>
                <w:i w:val="0"/>
                <w:color w:val="000000"/>
                <w:kern w:val="0"/>
                <w:sz w:val="22"/>
                <w:szCs w:val="22"/>
                <w:lang w:val="en-US" w:eastAsia="zh-CN" w:bidi="ar"/>
              </w:rPr>
            </w:pPr>
            <w:r>
              <w:rPr>
                <w:rFonts w:hint="default" w:ascii="Times New Roman" w:hAnsi="Times New Roman" w:eastAsia="宋体" w:cs="Times New Roman"/>
                <w:b w:val="0"/>
                <w:color w:val="000000"/>
                <w:kern w:val="0"/>
                <w:sz w:val="22"/>
                <w:szCs w:val="22"/>
                <w:lang w:val="en-US" w:eastAsia="zh-CN" w:bidi="ar"/>
              </w:rPr>
              <w:t>At least one branch tripped in round</w:t>
            </w:r>
            <m:oMath>
              <m:r>
                <m:rPr>
                  <m:nor/>
                  <m:sty m:val="p"/>
                </m:rPr>
                <w:rPr>
                  <w:rFonts w:hint="default" w:ascii="Times New Roman" w:hAnsi="Times New Roman" w:eastAsia="宋体" w:cs="Times New Roman"/>
                  <w:i w:val="0"/>
                  <w:color w:val="000000"/>
                  <w:kern w:val="0"/>
                  <w:sz w:val="22"/>
                  <w:szCs w:val="22"/>
                  <w:lang w:val="en-US" w:eastAsia="zh-CN" w:bidi="ar"/>
                </w:rPr>
                <m:t xml:space="preserve"> </m:t>
              </m:r>
              <m:r>
                <m:rPr>
                  <m:nor/>
                </m:rPr>
                <w:rPr>
                  <w:rFonts w:hint="default" w:ascii="Times New Roman" w:hAnsi="Times New Roman" w:eastAsia="宋体" w:cs="Times New Roman"/>
                  <w:i/>
                  <w:color w:val="000000"/>
                  <w:kern w:val="0"/>
                  <w:sz w:val="22"/>
                  <w:szCs w:val="22"/>
                  <w:lang w:val="en-US" w:eastAsia="zh-CN" w:bidi="ar"/>
                </w:rPr>
                <m:t>r</m:t>
              </m:r>
              <m:r>
                <m:rPr>
                  <m:nor/>
                  <m:sty m:val="p"/>
                </m:rPr>
                <w:rPr>
                  <w:rFonts w:hint="default" w:ascii="Times New Roman" w:hAnsi="Times New Roman" w:eastAsia="宋体" w:cs="Times New Roman"/>
                  <w:i w:val="0"/>
                  <w:color w:val="000000"/>
                  <w:kern w:val="0"/>
                  <w:sz w:val="22"/>
                  <w:szCs w:val="22"/>
                  <w:lang w:val="en-US" w:eastAsia="zh-CN" w:bidi="ar"/>
                </w:rPr>
                <m:t xml:space="preserve"> </m:t>
              </m:r>
            </m:oMath>
            <w:r>
              <w:rPr>
                <w:rFonts w:hint="default" w:ascii="Times New Roman" w:hAnsi="Times New Roman" w:eastAsia="宋体" w:cs="Times New Roman"/>
                <w:b w:val="0"/>
                <w:color w:val="000000"/>
                <w:kern w:val="0"/>
                <w:sz w:val="22"/>
                <w:szCs w:val="22"/>
                <w:lang w:val="en-US" w:eastAsia="zh-CN" w:bidi="ar"/>
              </w:rPr>
              <w:t xml:space="preserve">shares an endpoint bus with a branch tripped in round </w:t>
            </w:r>
            <m:oMath>
              <m:r>
                <m:rPr>
                  <m:nor/>
                </m:rPr>
                <w:rPr>
                  <w:rFonts w:hint="default" w:ascii="Times New Roman" w:hAnsi="Times New Roman" w:eastAsia="宋体" w:cs="Times New Roman"/>
                  <w:b w:val="0"/>
                  <w:i/>
                  <w:color w:val="000000"/>
                  <w:sz w:val="22"/>
                </w:rPr>
                <m:t>r</m:t>
              </m:r>
              <m:r>
                <m:rPr>
                  <m:nor/>
                  <m:sty m:val="p"/>
                </m:rPr>
                <w:rPr>
                  <w:rFonts w:hint="default" w:ascii="Times New Roman" w:hAnsi="Times New Roman" w:eastAsia="宋体" w:cs="Times New Roman"/>
                  <w:b w:val="0"/>
                  <w:i w:val="0"/>
                  <w:color w:val="000000"/>
                  <w:sz w:val="22"/>
                </w:rPr>
                <m:t>+1</m:t>
              </m:r>
            </m:oMath>
          </w:p>
        </w:tc>
        <w:tc>
          <w:tcPr>
            <w:tcW w:w="0" w:type="auto"/>
            <w:shd w:val="clear" w:color="auto" w:fill="FFFFFF"/>
            <w:vAlign w:val="center"/>
          </w:tcPr>
          <w:p w14:paraId="35BED7A2">
            <w:pPr>
              <w:keepNext w:val="0"/>
              <w:keepLines w:val="0"/>
              <w:widowControl/>
              <w:suppressLineNumbers w:val="0"/>
              <w:jc w:val="left"/>
              <w:rPr>
                <w:rFonts w:hint="default" w:ascii="Times New Roman" w:hAnsi="Times New Roman" w:cs="Times New Roman"/>
                <w:b w:val="0"/>
                <w:color w:val="000000"/>
                <w:sz w:val="22"/>
                <w:szCs w:val="22"/>
              </w:rPr>
            </w:pPr>
            <w:r>
              <w:rPr>
                <w:rFonts w:hint="default" w:ascii="Times New Roman" w:hAnsi="Times New Roman" w:eastAsia="宋体" w:cs="Times New Roman"/>
                <w:b w:val="0"/>
                <w:color w:val="000000"/>
                <w:kern w:val="0"/>
                <w:sz w:val="22"/>
                <w:szCs w:val="22"/>
                <w:lang w:val="en-US" w:eastAsia="zh-CN" w:bidi="ar"/>
              </w:rPr>
              <w:t>Consecutive rounds and a shared endpoint identify temporal and spatial adjacency; they do not establish that one trip caused the other.</w:t>
            </w:r>
          </w:p>
        </w:tc>
      </w:tr>
      <w:tr w14:paraId="596E59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FFFFFF"/>
            <w:vAlign w:val="center"/>
          </w:tcPr>
          <w:p w14:paraId="5F750971">
            <w:pPr>
              <w:keepNext w:val="0"/>
              <w:keepLines w:val="0"/>
              <w:widowControl/>
              <w:suppressLineNumbers w:val="0"/>
              <w:jc w:val="left"/>
              <w:rPr>
                <w:rFonts w:hint="default" w:ascii="Times New Roman" w:hAnsi="Times New Roman" w:cs="Times New Roman"/>
                <w:b w:val="0"/>
                <w:color w:val="000000"/>
                <w:sz w:val="22"/>
                <w:szCs w:val="22"/>
              </w:rPr>
            </w:pPr>
            <w:r>
              <w:rPr>
                <w:rStyle w:val="5"/>
                <w:rFonts w:hint="default" w:ascii="Times New Roman" w:hAnsi="Times New Roman" w:eastAsia="宋体" w:cs="Times New Roman"/>
                <w:b w:val="0"/>
                <w:color w:val="000000"/>
                <w:kern w:val="0"/>
                <w:sz w:val="22"/>
                <w:szCs w:val="22"/>
                <w:lang w:val="en-US" w:eastAsia="zh-CN" w:bidi="ar"/>
              </w:rPr>
              <w:t>Same-round fan-out</w:t>
            </w:r>
          </w:p>
        </w:tc>
        <w:tc>
          <w:tcPr>
            <w:tcW w:w="0" w:type="auto"/>
            <w:shd w:val="clear" w:color="auto" w:fill="FFFFFF"/>
            <w:vAlign w:val="center"/>
          </w:tcPr>
          <w:p w14:paraId="53F8FADD">
            <w:pPr>
              <w:keepNext w:val="0"/>
              <w:keepLines w:val="0"/>
              <w:widowControl/>
              <w:suppressLineNumbers w:val="0"/>
              <w:jc w:val="left"/>
              <w:rPr>
                <w:rFonts w:hint="default" w:ascii="Times New Roman" w:hAnsi="Times New Roman" w:cs="Times New Roman"/>
                <w:b w:val="0"/>
                <w:color w:val="000000"/>
                <w:sz w:val="22"/>
                <w:szCs w:val="22"/>
              </w:rPr>
            </w:pPr>
            <w:r>
              <w:rPr>
                <w:rFonts w:hint="default" w:ascii="Times New Roman" w:hAnsi="Times New Roman" w:eastAsia="宋体" w:cs="Times New Roman"/>
                <w:b w:val="0"/>
                <w:color w:val="000000"/>
                <w:kern w:val="0"/>
                <w:sz w:val="22"/>
                <w:szCs w:val="22"/>
                <w:lang w:val="en-US" w:eastAsia="zh-CN" w:bidi="ar"/>
              </w:rPr>
              <w:t>Branch-trip set within one round</w:t>
            </w:r>
          </w:p>
        </w:tc>
        <w:tc>
          <w:tcPr>
            <w:tcW w:w="0" w:type="auto"/>
            <w:shd w:val="clear" w:color="auto" w:fill="FFFFFF"/>
            <w:vAlign w:val="center"/>
          </w:tcPr>
          <w:p w14:paraId="2A706567">
            <w:pPr>
              <w:keepNext w:val="0"/>
              <w:keepLines w:val="0"/>
              <w:widowControl/>
              <w:suppressLineNumbers w:val="0"/>
              <w:jc w:val="left"/>
              <w:rPr>
                <w:rFonts w:hint="default" w:ascii="Times New Roman" w:hAnsi="Times New Roman" w:cs="Times New Roman"/>
                <w:b w:val="0"/>
                <w:color w:val="000000"/>
                <w:sz w:val="22"/>
                <w:szCs w:val="22"/>
              </w:rPr>
            </w:pPr>
            <w:r>
              <w:rPr>
                <w:rFonts w:hint="default" w:ascii="Times New Roman" w:hAnsi="Times New Roman" w:eastAsia="宋体" w:cs="Times New Roman"/>
                <w:b w:val="0"/>
                <w:color w:val="000000"/>
                <w:kern w:val="0"/>
                <w:sz w:val="22"/>
                <w:szCs w:val="22"/>
                <w:lang w:val="en-US" w:eastAsia="zh-CN" w:bidi="ar"/>
              </w:rPr>
              <w:t>Branch identifiers, endpoint-bus identifiers, and trip rounds</w:t>
            </w:r>
          </w:p>
        </w:tc>
        <w:tc>
          <w:tcPr>
            <w:tcW w:w="0" w:type="auto"/>
            <w:shd w:val="clear" w:color="auto" w:fill="FFFFFF"/>
            <w:vAlign w:val="center"/>
          </w:tcPr>
          <w:p w14:paraId="6D57018E">
            <w:pPr>
              <w:keepNext w:val="0"/>
              <w:keepLines w:val="0"/>
              <w:widowControl/>
              <w:suppressLineNumbers w:val="0"/>
              <w:jc w:val="left"/>
              <w:rPr>
                <w:rFonts w:hint="default" w:ascii="Times New Roman" w:hAnsi="Times New Roman" w:cs="Times New Roman"/>
                <w:b w:val="0"/>
                <w:color w:val="000000"/>
                <w:sz w:val="22"/>
                <w:szCs w:val="22"/>
              </w:rPr>
            </w:pPr>
            <w:r>
              <w:rPr>
                <w:rFonts w:hint="default" w:ascii="Times New Roman" w:hAnsi="Times New Roman" w:eastAsia="宋体" w:cs="Times New Roman"/>
                <w:b w:val="0"/>
                <w:color w:val="000000"/>
                <w:kern w:val="0"/>
                <w:sz w:val="22"/>
                <w:szCs w:val="22"/>
                <w:lang w:val="en-US" w:eastAsia="zh-CN" w:bidi="ar"/>
              </w:rPr>
              <w:t>At least three distinct branches tripped in the same round share an endpoint bus</w:t>
            </w:r>
          </w:p>
        </w:tc>
        <w:tc>
          <w:tcPr>
            <w:tcW w:w="0" w:type="auto"/>
            <w:shd w:val="clear" w:color="auto" w:fill="FFFFFF"/>
            <w:vAlign w:val="center"/>
          </w:tcPr>
          <w:p w14:paraId="120CFF61">
            <w:pPr>
              <w:keepNext w:val="0"/>
              <w:keepLines w:val="0"/>
              <w:widowControl/>
              <w:suppressLineNumbers w:val="0"/>
              <w:jc w:val="left"/>
              <w:rPr>
                <w:rFonts w:hint="default" w:ascii="Times New Roman" w:hAnsi="Times New Roman" w:cs="Times New Roman"/>
                <w:b w:val="0"/>
                <w:color w:val="000000"/>
                <w:sz w:val="22"/>
                <w:szCs w:val="22"/>
              </w:rPr>
            </w:pPr>
            <w:r>
              <w:rPr>
                <w:rFonts w:hint="default" w:ascii="Times New Roman" w:hAnsi="Times New Roman" w:eastAsia="宋体" w:cs="Times New Roman"/>
                <w:b w:val="0"/>
                <w:color w:val="000000"/>
                <w:kern w:val="0"/>
                <w:sz w:val="22"/>
                <w:szCs w:val="22"/>
                <w:lang w:val="en-US" w:eastAsia="zh-CN" w:bidi="ar"/>
              </w:rPr>
              <w:t>Three branches distinguish a branching configuration from a two-branch connection. The criterion identifies coincident trips, not their causal order.</w:t>
            </w:r>
          </w:p>
        </w:tc>
      </w:tr>
      <w:tr w14:paraId="7A4F5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FFFFFF"/>
            <w:vAlign w:val="center"/>
          </w:tcPr>
          <w:p w14:paraId="1B5E858D">
            <w:pPr>
              <w:keepNext w:val="0"/>
              <w:keepLines w:val="0"/>
              <w:widowControl/>
              <w:suppressLineNumbers w:val="0"/>
              <w:jc w:val="left"/>
              <w:rPr>
                <w:rFonts w:hint="default" w:ascii="Times New Roman" w:hAnsi="Times New Roman" w:cs="Times New Roman"/>
                <w:b w:val="0"/>
                <w:color w:val="000000"/>
                <w:sz w:val="22"/>
                <w:szCs w:val="22"/>
              </w:rPr>
            </w:pPr>
            <w:r>
              <w:rPr>
                <w:rStyle w:val="5"/>
                <w:rFonts w:hint="default" w:ascii="Times New Roman" w:hAnsi="Times New Roman" w:eastAsia="宋体" w:cs="Times New Roman"/>
                <w:b w:val="0"/>
                <w:color w:val="000000"/>
                <w:kern w:val="0"/>
                <w:sz w:val="22"/>
                <w:szCs w:val="22"/>
                <w:lang w:val="en-US" w:eastAsia="zh-CN" w:bidi="ar"/>
              </w:rPr>
              <w:t>Parallel-corridor trip</w:t>
            </w:r>
          </w:p>
        </w:tc>
        <w:tc>
          <w:tcPr>
            <w:tcW w:w="0" w:type="auto"/>
            <w:shd w:val="clear" w:color="auto" w:fill="FFFFFF"/>
            <w:vAlign w:val="center"/>
          </w:tcPr>
          <w:p w14:paraId="73A29998">
            <w:pPr>
              <w:keepNext w:val="0"/>
              <w:keepLines w:val="0"/>
              <w:widowControl/>
              <w:suppressLineNumbers w:val="0"/>
              <w:jc w:val="left"/>
              <w:rPr>
                <w:rFonts w:hint="default" w:ascii="Times New Roman" w:hAnsi="Times New Roman" w:cs="Times New Roman"/>
                <w:b w:val="0"/>
                <w:color w:val="000000"/>
                <w:sz w:val="22"/>
                <w:szCs w:val="22"/>
              </w:rPr>
            </w:pPr>
            <w:r>
              <w:rPr>
                <w:rFonts w:hint="default" w:ascii="Times New Roman" w:hAnsi="Times New Roman" w:eastAsia="宋体" w:cs="Times New Roman"/>
                <w:b w:val="0"/>
                <w:color w:val="000000"/>
                <w:kern w:val="0"/>
                <w:sz w:val="22"/>
                <w:szCs w:val="22"/>
                <w:lang w:val="en-US" w:eastAsia="zh-CN" w:bidi="ar"/>
              </w:rPr>
              <w:t>Parallel branches within one round</w:t>
            </w:r>
          </w:p>
        </w:tc>
        <w:tc>
          <w:tcPr>
            <w:tcW w:w="0" w:type="auto"/>
            <w:shd w:val="clear" w:color="auto" w:fill="FFFFFF"/>
            <w:vAlign w:val="center"/>
          </w:tcPr>
          <w:p w14:paraId="4D391299">
            <w:pPr>
              <w:keepNext w:val="0"/>
              <w:keepLines w:val="0"/>
              <w:widowControl/>
              <w:suppressLineNumbers w:val="0"/>
              <w:jc w:val="left"/>
              <w:rPr>
                <w:rFonts w:hint="default" w:ascii="Times New Roman" w:hAnsi="Times New Roman" w:cs="Times New Roman"/>
                <w:b w:val="0"/>
                <w:color w:val="000000"/>
                <w:sz w:val="22"/>
                <w:szCs w:val="22"/>
              </w:rPr>
            </w:pPr>
            <w:r>
              <w:rPr>
                <w:rFonts w:hint="default" w:ascii="Times New Roman" w:hAnsi="Times New Roman" w:eastAsia="宋体" w:cs="Times New Roman"/>
                <w:b w:val="0"/>
                <w:color w:val="000000"/>
                <w:kern w:val="0"/>
                <w:sz w:val="22"/>
                <w:szCs w:val="22"/>
                <w:lang w:val="en-US" w:eastAsia="zh-CN" w:bidi="ar"/>
              </w:rPr>
              <w:t>Unordered endpoint-bus pairs and trip rounds</w:t>
            </w:r>
          </w:p>
        </w:tc>
        <w:tc>
          <w:tcPr>
            <w:tcW w:w="0" w:type="auto"/>
            <w:shd w:val="clear" w:color="auto" w:fill="FFFFFF"/>
            <w:vAlign w:val="center"/>
          </w:tcPr>
          <w:p w14:paraId="14A462F7">
            <w:pPr>
              <w:keepNext w:val="0"/>
              <w:keepLines w:val="0"/>
              <w:widowControl/>
              <w:suppressLineNumbers w:val="0"/>
              <w:jc w:val="left"/>
              <w:rPr>
                <w:rFonts w:hint="default" w:ascii="Times New Roman" w:hAnsi="Times New Roman" w:cs="Times New Roman"/>
                <w:b w:val="0"/>
                <w:color w:val="000000"/>
                <w:sz w:val="22"/>
                <w:szCs w:val="22"/>
              </w:rPr>
            </w:pPr>
            <w:r>
              <w:rPr>
                <w:rFonts w:hint="default" w:ascii="Times New Roman" w:hAnsi="Times New Roman" w:eastAsia="宋体" w:cs="Times New Roman"/>
                <w:b w:val="0"/>
                <w:color w:val="000000"/>
                <w:kern w:val="0"/>
                <w:sz w:val="22"/>
                <w:szCs w:val="22"/>
                <w:lang w:val="en-US" w:eastAsia="zh-CN" w:bidi="ar"/>
              </w:rPr>
              <w:t>At least two branches with the same unordered endpoint-bus pair trip in the same round</w:t>
            </w:r>
          </w:p>
        </w:tc>
        <w:tc>
          <w:tcPr>
            <w:tcW w:w="0" w:type="auto"/>
            <w:shd w:val="clear" w:color="auto" w:fill="FFFFFF"/>
            <w:vAlign w:val="center"/>
          </w:tcPr>
          <w:p w14:paraId="19D79DA0">
            <w:pPr>
              <w:keepNext w:val="0"/>
              <w:keepLines w:val="0"/>
              <w:widowControl/>
              <w:suppressLineNumbers w:val="0"/>
              <w:jc w:val="left"/>
              <w:rPr>
                <w:rFonts w:hint="default" w:ascii="Times New Roman" w:hAnsi="Times New Roman" w:cs="Times New Roman"/>
                <w:b w:val="0"/>
                <w:color w:val="000000"/>
                <w:sz w:val="22"/>
                <w:szCs w:val="22"/>
              </w:rPr>
            </w:pPr>
            <w:r>
              <w:rPr>
                <w:rFonts w:hint="default" w:ascii="Times New Roman" w:hAnsi="Times New Roman" w:eastAsia="宋体" w:cs="Times New Roman"/>
                <w:b w:val="0"/>
                <w:color w:val="000000"/>
                <w:kern w:val="0"/>
                <w:sz w:val="22"/>
                <w:szCs w:val="22"/>
                <w:lang w:val="en-US" w:eastAsia="zh-CN" w:bidi="ar"/>
              </w:rPr>
              <w:t>Two branches are the minimum required to identify loss of multiple parallel circuits within one round.</w:t>
            </w:r>
          </w:p>
        </w:tc>
      </w:tr>
      <w:tr w14:paraId="7827D6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FFFFFF"/>
            <w:vAlign w:val="center"/>
          </w:tcPr>
          <w:p w14:paraId="6726D2CC">
            <w:pPr>
              <w:keepNext w:val="0"/>
              <w:keepLines w:val="0"/>
              <w:widowControl/>
              <w:suppressLineNumbers w:val="0"/>
              <w:jc w:val="left"/>
              <w:rPr>
                <w:rFonts w:hint="default" w:ascii="Times New Roman" w:hAnsi="Times New Roman" w:cs="Times New Roman"/>
                <w:b w:val="0"/>
                <w:color w:val="000000"/>
                <w:sz w:val="22"/>
                <w:szCs w:val="22"/>
              </w:rPr>
            </w:pPr>
            <w:r>
              <w:rPr>
                <w:rStyle w:val="5"/>
                <w:rFonts w:hint="default" w:ascii="Times New Roman" w:hAnsi="Times New Roman" w:eastAsia="宋体" w:cs="Times New Roman"/>
                <w:b w:val="0"/>
                <w:color w:val="000000"/>
                <w:kern w:val="0"/>
                <w:sz w:val="22"/>
                <w:szCs w:val="22"/>
                <w:lang w:val="en-US" w:eastAsia="zh-CN" w:bidi="ar"/>
              </w:rPr>
              <w:t>Persistent-overload trip</w:t>
            </w:r>
          </w:p>
        </w:tc>
        <w:tc>
          <w:tcPr>
            <w:tcW w:w="0" w:type="auto"/>
            <w:shd w:val="clear" w:color="auto" w:fill="FFFFFF"/>
            <w:vAlign w:val="center"/>
          </w:tcPr>
          <w:p w14:paraId="7B0FEFFC">
            <w:pPr>
              <w:keepNext w:val="0"/>
              <w:keepLines w:val="0"/>
              <w:widowControl/>
              <w:suppressLineNumbers w:val="0"/>
              <w:jc w:val="left"/>
              <w:rPr>
                <w:rFonts w:hint="default" w:ascii="Times New Roman" w:hAnsi="Times New Roman" w:cs="Times New Roman"/>
                <w:b w:val="0"/>
                <w:color w:val="000000"/>
                <w:sz w:val="22"/>
                <w:szCs w:val="22"/>
              </w:rPr>
            </w:pPr>
            <w:r>
              <w:rPr>
                <w:rFonts w:hint="default" w:ascii="Times New Roman" w:hAnsi="Times New Roman" w:eastAsia="宋体" w:cs="Times New Roman"/>
                <w:b w:val="0"/>
                <w:color w:val="000000"/>
                <w:kern w:val="0"/>
                <w:sz w:val="22"/>
                <w:szCs w:val="22"/>
                <w:lang w:val="en-US" w:eastAsia="zh-CN" w:bidi="ar"/>
              </w:rPr>
              <w:t>Delayed branch-trip event</w:t>
            </w:r>
          </w:p>
        </w:tc>
        <w:tc>
          <w:tcPr>
            <w:tcW w:w="0" w:type="auto"/>
            <w:shd w:val="clear" w:color="auto" w:fill="FFFFFF"/>
            <w:vAlign w:val="center"/>
          </w:tcPr>
          <w:p w14:paraId="7D3BD806">
            <w:pPr>
              <w:keepNext w:val="0"/>
              <w:keepLines w:val="0"/>
              <w:widowControl/>
              <w:suppressLineNumbers w:val="0"/>
              <w:jc w:val="left"/>
              <w:rPr>
                <w:rFonts w:hint="default" w:ascii="Times New Roman" w:hAnsi="Times New Roman" w:cs="Times New Roman"/>
                <w:b w:val="0"/>
                <w:color w:val="000000"/>
                <w:sz w:val="22"/>
                <w:szCs w:val="22"/>
              </w:rPr>
            </w:pPr>
            <w:r>
              <w:rPr>
                <w:rFonts w:hint="default" w:ascii="Times New Roman" w:hAnsi="Times New Roman" w:eastAsia="宋体" w:cs="Times New Roman"/>
                <w:b w:val="0"/>
                <w:color w:val="000000"/>
                <w:kern w:val="0"/>
                <w:sz w:val="22"/>
                <w:szCs w:val="22"/>
                <w:lang w:val="en-US" w:eastAsia="zh-CN" w:bidi="ar"/>
              </w:rPr>
              <w:t>Trip mode and recorded overload-persistence counter</w:t>
            </w:r>
          </w:p>
        </w:tc>
        <w:tc>
          <w:tcPr>
            <w:tcW w:w="0" w:type="auto"/>
            <w:shd w:val="clear" w:color="auto" w:fill="FFFFFF"/>
            <w:vAlign w:val="center"/>
          </w:tcPr>
          <w:p w14:paraId="67FEF006">
            <w:pPr>
              <w:keepNext w:val="0"/>
              <w:keepLines w:val="0"/>
              <w:widowControl/>
              <w:suppressLineNumbers w:val="0"/>
              <w:jc w:val="left"/>
              <w:rPr>
                <w:rFonts w:hint="default" w:ascii="Times New Roman" w:hAnsi="Times New Roman" w:eastAsia="宋体" w:cs="Times New Roman"/>
                <w:b w:val="0"/>
                <w:color w:val="000000"/>
                <w:kern w:val="0"/>
                <w:sz w:val="22"/>
                <w:szCs w:val="22"/>
                <w:lang w:val="en-US" w:eastAsia="zh-CN" w:bidi="ar"/>
              </w:rPr>
            </w:pPr>
            <w:r>
              <w:rPr>
                <w:rFonts w:hint="default" w:ascii="Times New Roman" w:hAnsi="Times New Roman" w:eastAsia="宋体" w:cs="Times New Roman"/>
                <w:b w:val="0"/>
                <w:color w:val="000000"/>
                <w:kern w:val="0"/>
                <w:sz w:val="22"/>
                <w:szCs w:val="22"/>
                <w:lang w:val="en-US" w:eastAsia="zh-CN" w:bidi="ar"/>
              </w:rPr>
              <w:t>At least one delayed branch trip has a recorded overload-persistence count of at least two</w:t>
            </w:r>
          </w:p>
        </w:tc>
        <w:tc>
          <w:tcPr>
            <w:tcW w:w="0" w:type="auto"/>
            <w:shd w:val="clear" w:color="auto" w:fill="FFFFFF"/>
            <w:vAlign w:val="center"/>
          </w:tcPr>
          <w:p w14:paraId="79681375">
            <w:pPr>
              <w:keepNext w:val="0"/>
              <w:keepLines w:val="0"/>
              <w:widowControl/>
              <w:suppressLineNumbers w:val="0"/>
              <w:jc w:val="left"/>
              <w:rPr>
                <w:rFonts w:hint="default" w:ascii="Times New Roman" w:hAnsi="Times New Roman" w:cs="Times New Roman"/>
                <w:b w:val="0"/>
                <w:color w:val="000000"/>
                <w:sz w:val="22"/>
                <w:szCs w:val="22"/>
              </w:rPr>
            </w:pPr>
            <w:r>
              <w:rPr>
                <w:rFonts w:hint="default" w:ascii="Times New Roman" w:hAnsi="Times New Roman" w:eastAsia="宋体" w:cs="Times New Roman"/>
                <w:b w:val="0"/>
                <w:color w:val="000000"/>
                <w:kern w:val="0"/>
                <w:sz w:val="22"/>
                <w:szCs w:val="22"/>
                <w:lang w:val="en-US" w:eastAsia="zh-CN" w:bidi="ar"/>
              </w:rPr>
              <w:t>The two-round threshold follows the simulator’s delayed-protection rule. Rounds represent successive solved states rather than elapsed physical time.</w:t>
            </w:r>
          </w:p>
        </w:tc>
      </w:tr>
      <w:tr w14:paraId="2DC6F6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000000" w:sz="12" w:space="0"/>
            </w:tcBorders>
            <w:shd w:val="clear" w:color="auto" w:fill="FFFFFF"/>
            <w:vAlign w:val="center"/>
          </w:tcPr>
          <w:p w14:paraId="21A88F69">
            <w:pPr>
              <w:keepNext w:val="0"/>
              <w:keepLines w:val="0"/>
              <w:widowControl/>
              <w:suppressLineNumbers w:val="0"/>
              <w:jc w:val="left"/>
              <w:rPr>
                <w:rFonts w:hint="default" w:ascii="Times New Roman" w:hAnsi="Times New Roman" w:cs="Times New Roman"/>
                <w:b w:val="0"/>
                <w:color w:val="000000"/>
                <w:sz w:val="22"/>
                <w:szCs w:val="22"/>
              </w:rPr>
            </w:pPr>
            <w:r>
              <w:rPr>
                <w:rStyle w:val="5"/>
                <w:rFonts w:hint="default" w:ascii="Times New Roman" w:hAnsi="Times New Roman" w:eastAsia="宋体" w:cs="Times New Roman"/>
                <w:b w:val="0"/>
                <w:color w:val="000000"/>
                <w:kern w:val="0"/>
                <w:sz w:val="22"/>
                <w:szCs w:val="22"/>
                <w:lang w:val="en-US" w:eastAsia="zh-CN" w:bidi="ar"/>
              </w:rPr>
              <w:t>Mixed protection modes</w:t>
            </w:r>
          </w:p>
        </w:tc>
        <w:tc>
          <w:tcPr>
            <w:tcW w:w="0" w:type="auto"/>
            <w:tcBorders>
              <w:bottom w:val="single" w:color="000000" w:sz="12" w:space="0"/>
            </w:tcBorders>
            <w:shd w:val="clear" w:color="auto" w:fill="FFFFFF"/>
            <w:vAlign w:val="center"/>
          </w:tcPr>
          <w:p w14:paraId="2C37A1BD">
            <w:pPr>
              <w:keepNext w:val="0"/>
              <w:keepLines w:val="0"/>
              <w:widowControl/>
              <w:suppressLineNumbers w:val="0"/>
              <w:jc w:val="left"/>
              <w:rPr>
                <w:rFonts w:hint="default" w:ascii="Times New Roman" w:hAnsi="Times New Roman" w:cs="Times New Roman"/>
                <w:b w:val="0"/>
                <w:color w:val="000000"/>
                <w:sz w:val="22"/>
                <w:szCs w:val="22"/>
              </w:rPr>
            </w:pPr>
            <w:r>
              <w:rPr>
                <w:rFonts w:hint="default" w:ascii="Times New Roman" w:hAnsi="Times New Roman" w:eastAsia="宋体" w:cs="Times New Roman"/>
                <w:b w:val="0"/>
                <w:color w:val="000000"/>
                <w:kern w:val="0"/>
                <w:sz w:val="22"/>
                <w:szCs w:val="22"/>
                <w:lang w:val="en-US" w:eastAsia="zh-CN" w:bidi="ar"/>
              </w:rPr>
              <w:t>Cascade trajectory</w:t>
            </w:r>
          </w:p>
        </w:tc>
        <w:tc>
          <w:tcPr>
            <w:tcW w:w="0" w:type="auto"/>
            <w:tcBorders>
              <w:bottom w:val="single" w:color="000000" w:sz="12" w:space="0"/>
            </w:tcBorders>
            <w:shd w:val="clear" w:color="auto" w:fill="FFFFFF"/>
            <w:vAlign w:val="center"/>
          </w:tcPr>
          <w:p w14:paraId="5FB08D12">
            <w:pPr>
              <w:keepNext w:val="0"/>
              <w:keepLines w:val="0"/>
              <w:widowControl/>
              <w:suppressLineNumbers w:val="0"/>
              <w:jc w:val="left"/>
              <w:rPr>
                <w:rFonts w:hint="default" w:ascii="Times New Roman" w:hAnsi="Times New Roman" w:cs="Times New Roman"/>
                <w:b w:val="0"/>
                <w:color w:val="000000"/>
                <w:sz w:val="22"/>
                <w:szCs w:val="22"/>
              </w:rPr>
            </w:pPr>
            <w:r>
              <w:rPr>
                <w:rFonts w:hint="default" w:ascii="Times New Roman" w:hAnsi="Times New Roman" w:eastAsia="宋体" w:cs="Times New Roman"/>
                <w:b w:val="0"/>
                <w:color w:val="000000"/>
                <w:kern w:val="0"/>
                <w:sz w:val="22"/>
                <w:szCs w:val="22"/>
                <w:lang w:val="en-US" w:eastAsia="zh-CN" w:bidi="ar"/>
              </w:rPr>
              <w:t>Trip-mode labels of branch-failure events</w:t>
            </w:r>
          </w:p>
        </w:tc>
        <w:tc>
          <w:tcPr>
            <w:tcW w:w="0" w:type="auto"/>
            <w:tcBorders>
              <w:bottom w:val="single" w:color="000000" w:sz="12" w:space="0"/>
            </w:tcBorders>
            <w:shd w:val="clear" w:color="auto" w:fill="FFFFFF"/>
            <w:vAlign w:val="center"/>
          </w:tcPr>
          <w:p w14:paraId="6CEC41E0">
            <w:pPr>
              <w:keepNext w:val="0"/>
              <w:keepLines w:val="0"/>
              <w:widowControl/>
              <w:suppressLineNumbers w:val="0"/>
              <w:jc w:val="left"/>
              <w:rPr>
                <w:rFonts w:hint="default" w:ascii="Times New Roman" w:hAnsi="Times New Roman" w:cs="Times New Roman"/>
                <w:b w:val="0"/>
                <w:color w:val="000000"/>
                <w:sz w:val="22"/>
                <w:szCs w:val="22"/>
              </w:rPr>
            </w:pPr>
            <w:r>
              <w:rPr>
                <w:rFonts w:hint="default" w:ascii="Times New Roman" w:hAnsi="Times New Roman" w:eastAsia="宋体" w:cs="Times New Roman"/>
                <w:b w:val="0"/>
                <w:color w:val="000000"/>
                <w:kern w:val="0"/>
                <w:sz w:val="22"/>
                <w:szCs w:val="22"/>
                <w:lang w:val="en-US" w:eastAsia="zh-CN" w:bidi="ar"/>
              </w:rPr>
              <w:t>Both immediate and delayed branch trips occur in the trajectory</w:t>
            </w:r>
          </w:p>
        </w:tc>
        <w:tc>
          <w:tcPr>
            <w:tcW w:w="0" w:type="auto"/>
            <w:tcBorders>
              <w:bottom w:val="single" w:color="000000" w:sz="12" w:space="0"/>
            </w:tcBorders>
            <w:shd w:val="clear" w:color="auto" w:fill="FFFFFF"/>
            <w:vAlign w:val="center"/>
          </w:tcPr>
          <w:p w14:paraId="29ECE706">
            <w:pPr>
              <w:keepNext w:val="0"/>
              <w:keepLines w:val="0"/>
              <w:widowControl/>
              <w:suppressLineNumbers w:val="0"/>
              <w:jc w:val="left"/>
              <w:rPr>
                <w:rFonts w:hint="default" w:ascii="Times New Roman" w:hAnsi="Times New Roman" w:cs="Times New Roman"/>
                <w:b w:val="0"/>
                <w:color w:val="000000"/>
                <w:sz w:val="22"/>
                <w:szCs w:val="22"/>
              </w:rPr>
            </w:pPr>
            <w:r>
              <w:rPr>
                <w:rFonts w:hint="default" w:ascii="Times New Roman" w:hAnsi="Times New Roman" w:eastAsia="宋体" w:cs="Times New Roman"/>
                <w:b w:val="0"/>
                <w:color w:val="000000"/>
                <w:kern w:val="0"/>
                <w:sz w:val="22"/>
                <w:szCs w:val="22"/>
                <w:lang w:val="en-US" w:eastAsia="zh-CN" w:bidi="ar"/>
              </w:rPr>
              <w:t>Identifies co-occurrence of the two modeled protection responses; no additional numerical threshold is imposed.</w:t>
            </w:r>
          </w:p>
        </w:tc>
      </w:tr>
    </w:tbl>
    <w:p w14:paraId="61F21B9B">
      <w:pPr>
        <w:rPr>
          <w:rFonts w:hint="default" w:ascii="Times New Roman" w:hAnsi="Times New Roman" w:eastAsia="宋体" w:cs="Times New Roman"/>
          <w:i w:val="0"/>
          <w:iCs w:val="0"/>
          <w:sz w:val="24"/>
          <w:szCs w:val="24"/>
          <w:lang w:val="en-US" w:eastAsia="zh-CN"/>
        </w:rPr>
      </w:pPr>
      <w:r>
        <w:rPr>
          <w:rFonts w:hint="default" w:ascii="Times New Roman" w:hAnsi="Times New Roman" w:eastAsia="宋体" w:cs="Times New Roman"/>
          <w:i/>
          <w:iCs/>
          <w:sz w:val="24"/>
          <w:szCs w:val="24"/>
        </w:rPr>
        <w:t>Note</w:t>
      </w:r>
      <w:r>
        <w:rPr>
          <w:rFonts w:hint="default" w:ascii="Times New Roman" w:hAnsi="Times New Roman" w:eastAsia="宋体" w:cs="Times New Roman"/>
          <w:i w:val="0"/>
          <w:iCs w:val="0"/>
          <w:sz w:val="24"/>
          <w:szCs w:val="24"/>
        </w:rPr>
        <w:t>: Each motif is recorded as a binary trajectory-level indicator and is present when its matching criterion is satisfied at least once. Unlike structural-exposure motifs, propagation motifs do not require a footprint-to-network enrichment comparison. Their associations with terminal severity are evaluated across all valid trajectories, stratified by disturbance configuration. The definitions reflect the modeled network and protection rules; applying them to another system requires reassessing the matching units, temporal resolution, and thresholds.</w:t>
      </w:r>
    </w:p>
    <w:sectPr>
      <w:pgSz w:w="16838" w:h="11906" w:orient="landscape"/>
      <w:pgMar w:top="1800" w:right="1440" w:bottom="1800" w:left="144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Mincho">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493DB2"/>
    <w:rsid w:val="22AA5A2E"/>
    <w:rsid w:val="24D665AE"/>
    <w:rsid w:val="25FD64CE"/>
    <w:rsid w:val="27065AE5"/>
    <w:rsid w:val="2B0549A6"/>
    <w:rsid w:val="2EF01FA0"/>
    <w:rsid w:val="2F493DB2"/>
    <w:rsid w:val="335C5F80"/>
    <w:rsid w:val="5C1072A8"/>
    <w:rsid w:val="656E627A"/>
    <w:rsid w:val="673875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spacing w:before="30" w:beforeLines="30" w:after="80" w:line="300" w:lineRule="auto"/>
      <w:jc w:val="both"/>
    </w:pPr>
    <w:rPr>
      <w:rFonts w:asciiTheme="minorAscii" w:hAnsiTheme="minorAscii" w:eastAsiaTheme="minorEastAsia" w:cstheme="minorBidi"/>
      <w:kern w:val="2"/>
      <w:sz w:val="24"/>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 w:type="paragraph" w:customStyle="1" w:styleId="7">
    <w:name w:val="表格-书"/>
    <w:basedOn w:val="1"/>
    <w:qFormat/>
    <w:uiPriority w:val="0"/>
    <w:pPr>
      <w:spacing w:line="240" w:lineRule="atLeast"/>
      <w:ind w:firstLine="0" w:firstLineChars="0"/>
      <w:jc w:val="left"/>
    </w:pPr>
    <w:rPr>
      <w:rFonts w:ascii="Times New Roman" w:hAnsi="Times New Roman" w:eastAsia="宋体" w:cs="Times New Roman"/>
      <w:b/>
      <w:bCs/>
      <w:sz w:val="22"/>
      <w:szCs w:val="22"/>
      <w:lang w:bidi="ar"/>
    </w:rPr>
  </w:style>
  <w:style w:type="table" w:customStyle="1" w:styleId="8">
    <w:name w:val="Table Normal"/>
    <w:basedOn w:val="3"/>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1016</Words>
  <Characters>6848</Characters>
  <Lines>0</Lines>
  <Paragraphs>0</Paragraphs>
  <TotalTime>239</TotalTime>
  <ScaleCrop>false</ScaleCrop>
  <LinksUpToDate>false</LinksUpToDate>
  <CharactersWithSpaces>7764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2026-10-10T03:40:00Z</dcterms:created>
  <dc:creator>Lianyan Li</dc:creator>
  <cp:lastModifiedBy>Lianyan Li</cp:lastModifiedBy>
  <dcterms:modified xsi:type="dcterms:W3CDTF">2026-10-26T03:04:52Z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8E4F06820A1549609D6CBECD39E448E7_13</vt:lpwstr>
  </property>
  <property fmtid="{D5CDD505-2E9C-101B-9397-08002B2CF9AE}" pid="4" name="KSOTemplateDocerSaveRecord">
    <vt:lpwstr>eyJoZGlkIjoiNjcwZDY5NmY4MGY0MTUzYzZkMTM2NTVmNjhlYmQzZmMiLCJ1c2VySWQiOiIyNDUzMDY2OSJ9</vt:lpwstr>
  </property>
</Properties>
</file>