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288" w:lineRule="auto"/>
      </w:pPr>
      <w:r>
        <w:rPr>
          <w:b/>
          <w:i w:val="0"/>
          <w:sz w:val="28"/>
        </w:rPr>
        <w:t>Cover Letter</w:t>
      </w:r>
    </w:p>
    <w:p>
      <w:pPr>
        <w:spacing w:line="288" w:lineRule="auto"/>
      </w:pPr>
      <w:r>
        <w:rPr>
          <w:b w:val="0"/>
          <w:i w:val="0"/>
          <w:sz w:val="22"/>
        </w:rPr>
        <w:t>Editor-in-Chief</w:t>
      </w:r>
    </w:p>
    <w:p>
      <w:pPr>
        <w:spacing w:line="288" w:lineRule="auto"/>
      </w:pPr>
      <w:r>
        <w:rPr>
          <w:b w:val="0"/>
          <w:i w:val="0"/>
          <w:sz w:val="22"/>
        </w:rPr>
        <w:t>Dear Editor,</w:t>
      </w:r>
    </w:p>
    <w:p>
      <w:pPr>
        <w:spacing w:line="288" w:lineRule="auto"/>
      </w:pPr>
      <w:r>
        <w:rPr>
          <w:b w:val="0"/>
          <w:i w:val="0"/>
          <w:sz w:val="22"/>
        </w:rPr>
        <w:t>Please find our manuscript “Unified Theory of Luck–Unluck: Axioms, Representation, and Applied Forecasting.” We propose an axiomatic framework with a full representation theorem (uniqueness up to increasing transforms), generalization guarantees (PAC-Bayes under β-mixing), robust ERM via Catoni/Orlicz for heavy tails, and applied demonstrations in sports (football), finance (equities), gaming (roulette, slots), and lotteries. We provide preregistration, calibration analyses, power analysis, and a complete reproducibility bundle.</w:t>
      </w:r>
    </w:p>
    <w:p>
      <w:pPr>
        <w:spacing w:line="288" w:lineRule="auto"/>
      </w:pPr>
      <w:r>
        <w:rPr>
          <w:b w:val="0"/>
          <w:i w:val="0"/>
          <w:sz w:val="22"/>
        </w:rPr>
        <w:t>We believe this work will interest readers in forecasting, decision and information theory, sports analytics, and quantitative finance.</w:t>
      </w:r>
    </w:p>
    <w:p>
      <w:pPr>
        <w:spacing w:line="288" w:lineRule="auto"/>
      </w:pPr>
      <w:r>
        <w:rPr>
          <w:b w:val="0"/>
          <w:i w:val="0"/>
          <w:sz w:val="22"/>
        </w:rPr>
        <w:t>Funding: none. Conflicts of interest: none.</w:t>
      </w:r>
    </w:p>
    <w:p>
      <w:pPr>
        <w:spacing w:line="288" w:lineRule="auto"/>
      </w:pPr>
      <w:r>
        <w:rPr>
          <w:b w:val="0"/>
          <w:i w:val="0"/>
          <w:sz w:val="22"/>
        </w:rPr>
        <w:t>Sincerely,</w:t>
      </w:r>
    </w:p>
    <w:p>
      <w:pPr>
        <w:spacing w:line="288" w:lineRule="auto"/>
      </w:pPr>
      <w:r>
        <w:rPr>
          <w:b w:val="0"/>
          <w:i w:val="0"/>
          <w:sz w:val="22"/>
        </w:rPr>
        <w:t>Spiros Tsoumpis</w:t>
      </w:r>
    </w:p>
    <w:p>
      <w:pPr>
        <w:spacing w:line="288" w:lineRule="auto"/>
      </w:pPr>
      <w:r>
        <w:rPr>
          <w:b w:val="0"/>
          <w:i w:val="0"/>
          <w:sz w:val="22"/>
        </w:rPr>
        <w:t>Department of Marine Engineering, Keratsini, Greece</w:t>
      </w:r>
    </w:p>
    <w:p/>
    <w:p>
      <w:pPr>
        <w:spacing w:line="288" w:lineRule="auto"/>
      </w:pPr>
      <w:r>
        <w:rPr>
          <w:b/>
          <w:i w:val="0"/>
          <w:sz w:val="28"/>
        </w:rPr>
        <w:t>Highlights</w:t>
      </w:r>
    </w:p>
    <w:p>
      <w:pPr>
        <w:spacing w:line="288" w:lineRule="auto"/>
      </w:pPr>
      <w:r>
        <w:rPr>
          <w:b w:val="0"/>
          <w:i w:val="0"/>
          <w:sz w:val="22"/>
        </w:rPr>
        <w:t>- Unified axiomatic theory of luck–unluck with a complete representation theorem.</w:t>
      </w:r>
    </w:p>
    <w:p>
      <w:pPr>
        <w:spacing w:line="288" w:lineRule="auto"/>
      </w:pPr>
      <w:r>
        <w:rPr>
          <w:b w:val="0"/>
          <w:i w:val="0"/>
          <w:sz w:val="22"/>
        </w:rPr>
        <w:t>- Two canonical heads (logistic/multiplicative) proven order-equivalent; collapse boundary and monotonicity axioms verified.</w:t>
      </w:r>
    </w:p>
    <w:p>
      <w:pPr>
        <w:spacing w:line="288" w:lineRule="auto"/>
      </w:pPr>
      <w:r>
        <w:rPr>
          <w:b w:val="0"/>
          <w:i w:val="0"/>
          <w:sz w:val="22"/>
        </w:rPr>
        <w:t>- Generalization under dependence: PAC-Bayes with β-mixing ULLN; optional sampling/Doob arguments for dynamic collapse.</w:t>
      </w:r>
    </w:p>
    <w:p>
      <w:pPr>
        <w:spacing w:line="288" w:lineRule="auto"/>
      </w:pPr>
      <w:r>
        <w:rPr>
          <w:b w:val="0"/>
          <w:i w:val="0"/>
          <w:sz w:val="22"/>
        </w:rPr>
        <w:t>- Robust ERM: Catoni/Orlicz heavy-tail treatment with practical spreadsheet-friendly surrogate.</w:t>
      </w:r>
    </w:p>
    <w:p>
      <w:pPr>
        <w:spacing w:line="288" w:lineRule="auto"/>
      </w:pPr>
      <w:r>
        <w:rPr>
          <w:b w:val="0"/>
          <w:i w:val="0"/>
          <w:sz w:val="22"/>
        </w:rPr>
        <w:t>- Applications: football (calibration &amp; DM/HAC), equities (SPX/AAPL), roulette (house-edge &amp; ruin), slots (volatility), lottery (jackpot probability).</w:t>
      </w:r>
    </w:p>
    <w:p>
      <w:pPr>
        <w:spacing w:line="288" w:lineRule="auto"/>
      </w:pPr>
      <w:r>
        <w:rPr>
          <w:b w:val="0"/>
          <w:i w:val="0"/>
          <w:sz w:val="22"/>
        </w:rPr>
        <w:t>- Reproducibility: templates, notebook, figures, OSF prereg template, and Zenodo-ready metadata.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