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5"/>
        <w:spacing w:before="480" w:after="240"/>
        <w:rPr/>
      </w:pPr>
      <w:r>
        <w:rPr/>
        <w:t>A Formal Measure of Luck: Theoretical Foundations, Convergence, and Empirical Validation</w:t>
      </w:r>
    </w:p>
    <w:p>
      <w:pPr>
        <w:pStyle w:val="Author"/>
        <w:rPr/>
      </w:pPr>
      <w:r>
        <w:rPr/>
        <w:t>Draft Research Manuscript</w:t>
      </w:r>
    </w:p>
    <w:p>
      <w:pPr>
        <w:pStyle w:val="Abstract"/>
        <w:rPr/>
      </w:pPr>
      <w:r>
        <w:rPr/>
        <w:t>We propose a rigorous mathematical framework for the concept of luck, treated as distinct from probability. Our measure integrates probability, utility, entropy, and surprisal, and satisfies a set of axioms ensuring consistency with intuition. We develop normalization and convergence theorems, establish empirical risk minimization (ERM) consistency, and demonstrate applications in games of chance, sports betting, and financial markets with numerical examples and calibration plots.</w:t>
      </w:r>
    </w:p>
    <w:p>
      <w:pPr>
        <w:pStyle w:val="1"/>
        <w:rPr/>
      </w:pPr>
      <w:r>
        <w:rPr/>
        <w:t>Theoretical Framework: Formalizing Luck</w:t>
      </w:r>
    </w:p>
    <w:p>
      <w:pPr>
        <w:pStyle w:val="2"/>
        <w:rPr/>
      </w:pPr>
      <w:r>
        <w:rPr/>
        <w:t>Foundational Setting</w:t>
      </w:r>
    </w:p>
    <w:p>
      <w:pPr>
        <w:pStyle w:val="FirstParagraph"/>
        <w:rPr/>
      </w:pPr>
      <w:r>
        <w:rPr/>
        <w:t xml:space="preserve">Let </w:t>
      </w:r>
      <w:r>
        <w:rPr/>
      </w:r>
      <m:oMath xmlns:m="http://schemas.openxmlformats.org/officeDocument/2006/math">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P</m:t>
            </m:r>
          </m:e>
        </m:d>
      </m:oMath>
      <w:r>
        <w:rPr/>
        <w:t xml:space="preserve"> be a probability space. Let </w:t>
      </w:r>
      <w:r>
        <w:rPr/>
      </w:r>
      <m:oMath xmlns:m="http://schemas.openxmlformats.org/officeDocument/2006/math">
        <m:r>
          <w:rPr>
            <w:rFonts w:ascii="Cambria Math" w:hAnsi="Cambria Math"/>
          </w:rPr>
          <m:t xml:space="preserve">I</m:t>
        </m:r>
      </m:oMath>
      <w:r>
        <w:rPr/>
        <w:t xml:space="preserve"> denote an information set available to an observer, and let </w:t>
      </w:r>
      <w:r>
        <w:rPr/>
      </w:r>
      <m:oMath xmlns:m="http://schemas.openxmlformats.org/officeDocument/2006/math">
        <m:r>
          <w:rPr>
            <w:rFonts w:ascii="Cambria Math" w:hAnsi="Cambria Math"/>
          </w:rPr>
          <m:t xml:space="preserve">{</m:t>
        </m:r>
        <m:sSub>
          <m:e>
            <m:r>
              <w:rPr>
                <w:rFonts w:ascii="Cambria Math" w:hAnsi="Cambria Math"/>
              </w:rPr>
              <m:t xml:space="preserve">I</m:t>
            </m:r>
          </m:e>
          <m:sub>
            <m:r>
              <w:rPr>
                <w:rFonts w:ascii="Cambria Math" w:hAnsi="Cambria Math"/>
              </w:rPr>
              <m:t xml:space="preserve">t</m:t>
            </m:r>
          </m:sub>
        </m:sSub>
        <m:sSub>
          <m:e>
            <m:r>
              <w:rPr>
                <w:rFonts w:ascii="Cambria Math" w:hAnsi="Cambria Math"/>
              </w:rPr>
              <m:t xml:space="preserve">}</m:t>
            </m:r>
          </m:e>
          <m:sub>
            <m:r>
              <w:rPr>
                <w:rFonts w:ascii="Cambria Math" w:hAnsi="Cambria Math"/>
              </w:rPr>
              <m:t xml:space="preserve">t</m:t>
            </m:r>
            <m:r>
              <w:rPr>
                <w:rFonts w:ascii="Cambria Math" w:hAnsi="Cambria Math"/>
              </w:rPr>
              <m:t xml:space="preserve">≥</m:t>
            </m:r>
            <m:r>
              <w:rPr>
                <w:rFonts w:ascii="Cambria Math" w:hAnsi="Cambria Math"/>
              </w:rPr>
              <m:t xml:space="preserve">0</m:t>
            </m:r>
          </m:sub>
        </m:sSub>
      </m:oMath>
      <w:r>
        <w:rPr/>
        <w:t xml:space="preserve"> denote a filtration representing refining information over time.</w:t>
      </w:r>
    </w:p>
    <w:p>
      <w:pPr>
        <w:pStyle w:val="Style11"/>
        <w:rPr/>
      </w:pPr>
      <w:r>
        <w:rPr/>
        <w:t>Define:</w:t>
      </w:r>
    </w:p>
    <w:p>
      <w:pPr>
        <w:pStyle w:val="Normal"/>
        <w:numPr>
          <w:ilvl w:val="0"/>
          <w:numId w:val="1"/>
        </w:numPr>
        <w:rPr/>
      </w:pPr>
      <w:r>
        <w:rPr/>
        <w:t xml:space="preserve">A utility function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Σ</m:t>
        </m:r>
        <m:r>
          <w:rPr>
            <w:rFonts w:ascii="Cambria Math" w:hAnsi="Cambria Math"/>
          </w:rPr>
          <m:t xml:space="preserve">→</m:t>
        </m:r>
        <m:sSub>
          <m:e>
            <m:r>
              <w:rPr>
                <w:rFonts w:ascii="Cambria Math" w:hAnsi="Cambria Math"/>
              </w:rPr>
              <m:t xml:space="preserve">R</m:t>
            </m:r>
          </m:e>
          <m:sub>
            <m:r>
              <w:rPr>
                <w:rFonts w:ascii="Cambria Math" w:hAnsi="Cambria Math"/>
              </w:rPr>
              <m:t xml:space="preserve">≥</m:t>
            </m:r>
            <m:r>
              <w:rPr>
                <w:rFonts w:ascii="Cambria Math" w:hAnsi="Cambria Math"/>
              </w:rPr>
              <m:t xml:space="preserve">0</m:t>
            </m:r>
          </m:sub>
        </m:sSub>
      </m:oMath>
      <w:r>
        <w:rPr/>
        <w:t xml:space="preserve">, with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m:t>
            </m:r>
          </m:e>
        </m:d>
        <m:r>
          <w:rPr>
            <w:rFonts w:ascii="Cambria Math" w:hAnsi="Cambria Math"/>
          </w:rPr>
          <m:t xml:space="preserve">=</m:t>
        </m:r>
        <m:r>
          <w:rPr>
            <w:rFonts w:ascii="Cambria Math" w:hAnsi="Cambria Math"/>
          </w:rPr>
          <m:t xml:space="preserve">0</m:t>
        </m:r>
      </m:oMath>
      <w:r>
        <w:rPr/>
        <w:t xml:space="preserve">. We assume normalization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E</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unless stated otherwise.</w:t>
      </w:r>
    </w:p>
    <w:p>
      <w:pPr>
        <w:pStyle w:val="Normal"/>
        <w:numPr>
          <w:ilvl w:val="0"/>
          <w:numId w:val="1"/>
        </w:numPr>
        <w:rPr/>
      </w:pPr>
      <w:r>
        <w:rPr/>
        <w:t xml:space="preserve">Conditional probability </w:t>
      </w:r>
      <w:r>
        <w:rPr/>
      </w:r>
      <m:oMath xmlns:m="http://schemas.openxmlformats.org/officeDocument/2006/math">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E</m:t>
            </m:r>
            <m:r>
              <w:rPr>
                <w:rFonts w:ascii="Cambria Math" w:hAnsi="Cambria Math"/>
              </w:rPr>
              <m:t xml:space="preserve">∨</m:t>
            </m:r>
            <m:sSub>
              <m:e>
                <m:r>
                  <w:rPr>
                    <w:rFonts w:ascii="Cambria Math" w:hAnsi="Cambria Math"/>
                  </w:rPr>
                  <m:t xml:space="preserve">I</m:t>
                </m:r>
              </m:e>
              <m:sub>
                <m:r>
                  <w:rPr>
                    <w:rFonts w:ascii="Cambria Math" w:hAnsi="Cambria Math"/>
                  </w:rPr>
                  <m:t xml:space="preserve">t</m:t>
                </m:r>
              </m:sub>
            </m:sSub>
          </m:e>
        </m:d>
        <m:r>
          <w:rPr>
            <w:rFonts w:ascii="Cambria Math" w:hAnsi="Cambria Math"/>
          </w:rPr>
          <m:t xml:space="preserve">=</m:t>
        </m:r>
        <m:r>
          <w:rPr>
            <w:rFonts w:ascii="Cambria Math" w:hAnsi="Cambria Math"/>
          </w:rPr>
          <m:t xml:space="preserve">E</m:t>
        </m:r>
        <m:d>
          <m:dPr>
            <m:begChr m:val="["/>
            <m:endChr m:val=")"/>
          </m:dPr>
          <m:e>
            <m:sSub>
              <m:e>
                <m:r>
                  <w:rPr>
                    <w:rFonts w:ascii="Cambria Math" w:hAnsi="Cambria Math"/>
                  </w:rPr>
                  <m:t xml:space="preserve">1</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t</m:t>
                </m:r>
              </m:sub>
            </m:sSub>
          </m:e>
        </m:d>
      </m:oMath>
      <w:r>
        <w:rPr/>
        <w:t xml:space="preserve"> (a bounded martingale in </w:t>
      </w:r>
      <w:r>
        <w:rPr/>
      </w:r>
      <m:oMath xmlns:m="http://schemas.openxmlformats.org/officeDocument/2006/math">
        <m:r>
          <w:rPr>
            <w:rFonts w:ascii="Cambria Math" w:hAnsi="Cambria Math"/>
          </w:rPr>
          <m:t xml:space="preserve">t</m:t>
        </m:r>
      </m:oMath>
      <w:r>
        <w:rPr/>
        <w:t>).</w:t>
      </w:r>
    </w:p>
    <w:p>
      <w:pPr>
        <w:pStyle w:val="Normal"/>
        <w:numPr>
          <w:ilvl w:val="0"/>
          <w:numId w:val="1"/>
        </w:numPr>
        <w:rPr/>
      </w:pPr>
      <w:r>
        <w:rPr/>
        <w:t xml:space="preserve">Conditional Shannon entropy </w:t>
      </w:r>
      <w:r>
        <w:rPr/>
      </w:r>
      <m:oMath xmlns:m="http://schemas.openxmlformats.org/officeDocument/2006/math">
        <m:sSub>
          <m:e>
            <m:r>
              <w:rPr>
                <w:rFonts w:ascii="Cambria Math" w:hAnsi="Cambria Math"/>
              </w:rPr>
              <m:t xml:space="preserve">H</m:t>
            </m:r>
          </m:e>
          <m:sub>
            <m:r>
              <w:rPr>
                <w:rFonts w:ascii="Cambria Math" w:hAnsi="Cambria Math"/>
              </w:rPr>
              <m:t xml:space="preserve">t</m:t>
            </m:r>
          </m:sub>
        </m:sSub>
      </m:oMath>
      <w:r>
        <w:rPr/>
        <w:t xml:space="preserve"> of partitions measurable with respect to </w:t>
      </w:r>
      <w:r>
        <w:rPr/>
      </w:r>
      <m:oMath xmlns:m="http://schemas.openxmlformats.org/officeDocument/2006/math">
        <m:sSub>
          <m:e>
            <m:r>
              <w:rPr>
                <w:rFonts w:ascii="Cambria Math" w:hAnsi="Cambria Math"/>
              </w:rPr>
              <m:t xml:space="preserve">I</m:t>
            </m:r>
          </m:e>
          <m:sub>
            <m:r>
              <w:rPr>
                <w:rFonts w:ascii="Cambria Math" w:hAnsi="Cambria Math"/>
              </w:rPr>
              <m:t xml:space="preserve">t</m:t>
            </m:r>
          </m:sub>
        </m:sSub>
      </m:oMath>
      <w:r>
        <w:rPr/>
        <w:t>.</w:t>
      </w:r>
    </w:p>
    <w:p>
      <w:pPr>
        <w:pStyle w:val="Normal"/>
        <w:numPr>
          <w:ilvl w:val="0"/>
          <w:numId w:val="1"/>
        </w:numPr>
        <w:rPr/>
      </w:pPr>
      <w:r>
        <w:rPr/>
        <w:t xml:space="preserve">Surprisal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m:t>
        </m:r>
        <m:r>
          <w:rPr>
            <w:rFonts w:ascii="Cambria Math" w:hAnsi="Cambria Math"/>
          </w:rPr>
          <m:t xml:space="preserve">log</m:t>
        </m:r>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oMath>
      <w:r>
        <w:rPr/>
        <w:t>.</w:t>
      </w:r>
    </w:p>
    <w:p>
      <w:pPr>
        <w:pStyle w:val="FirstParagraph"/>
        <w:rPr/>
      </w:pPr>
      <w:r>
        <w:rPr>
          <w:b/>
          <w:bCs/>
        </w:rPr>
        <w:t>Definition 1</w:t>
      </w:r>
      <w:r>
        <w:rPr/>
        <w:t xml:space="preserve"> (Luck Measure).  </w:t>
      </w:r>
      <w:r>
        <w:rPr>
          <w:i/>
          <w:iCs/>
        </w:rPr>
        <w:t xml:space="preserve">A luck measure is a functional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f</m:t>
            </m:r>
          </m:e>
          <m:sub>
            <m:r>
              <w:rPr>
                <w:rFonts w:ascii="Cambria Math" w:hAnsi="Cambria Math"/>
              </w:rPr>
              <m:t xml:space="preserve">θ</m:t>
            </m:r>
          </m:sub>
        </m:sSub>
        <m:d>
          <m:dPr>
            <m:begChr m:val="("/>
            <m:endChr m:val=")"/>
          </m:dPr>
          <m:e>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t</m:t>
                </m:r>
              </m:sub>
            </m:sSub>
            <m:d>
              <m:dPr>
                <m:begChr m:val="("/>
                <m:endChr m:val=")"/>
              </m:dPr>
              <m:e>
                <m:r>
                  <w:rPr>
                    <w:rFonts w:ascii="Cambria Math" w:hAnsi="Cambria Math"/>
                  </w:rPr>
                  <m:t xml:space="preserve">E</m:t>
                </m:r>
              </m:e>
            </m:d>
          </m:e>
        </m:d>
      </m:oMath>
      <w:r>
        <w:rPr>
          <w:i/>
          <w:iCs/>
        </w:rPr>
        <w:t xml:space="preserve"> where </w:t>
      </w:r>
      <w:r>
        <w:rPr/>
      </w:r>
      <m:oMath xmlns:m="http://schemas.openxmlformats.org/officeDocument/2006/math">
        <m:sSub>
          <m:e>
            <m:r>
              <w:rPr>
                <w:rFonts w:ascii="Cambria Math" w:hAnsi="Cambria Math"/>
              </w:rPr>
              <m:t xml:space="preserve">f</m:t>
            </m:r>
          </m:e>
          <m:sub>
            <m:r>
              <w:rPr>
                <w:rFonts w:ascii="Cambria Math" w:hAnsi="Cambria Math"/>
              </w:rPr>
              <m:t xml:space="preserve">θ</m:t>
            </m:r>
          </m:sub>
        </m:sSub>
      </m:oMath>
      <w:r>
        <w:rPr>
          <w:i/>
          <w:iCs/>
        </w:rPr>
        <w:t xml:space="preserve"> is parameterized and admissible.</w:t>
      </w:r>
      <w:bookmarkStart w:id="0" w:name="foundational-setting"/>
      <w:bookmarkEnd w:id="0"/>
    </w:p>
    <w:p>
      <w:pPr>
        <w:pStyle w:val="2"/>
        <w:rPr/>
      </w:pPr>
      <w:r>
        <w:rPr/>
        <w:t>Axioms of Luck</w:t>
      </w:r>
    </w:p>
    <w:p>
      <w:pPr>
        <w:pStyle w:val="FirstParagraph"/>
        <w:rPr/>
      </w:pPr>
      <w:r>
        <w:rPr>
          <w:b/>
          <w:bCs/>
        </w:rPr>
        <w:t>Axiom 1</w:t>
      </w:r>
      <w:r>
        <w:rPr/>
        <w:t xml:space="preserve"> (Non-negativity).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oMath>
      <w:r>
        <w:rPr>
          <w:i/>
          <w:iCs/>
        </w:rPr>
        <w:t>.</w:t>
      </w:r>
    </w:p>
    <w:p>
      <w:pPr>
        <w:pStyle w:val="Style11"/>
        <w:rPr/>
      </w:pPr>
      <w:r>
        <w:rPr>
          <w:b/>
          <w:bCs/>
        </w:rPr>
        <w:t>Axiom 2</w:t>
      </w:r>
      <w:r>
        <w:rPr/>
        <w:t xml:space="preserve"> (Triviality under certainty).  </w:t>
      </w:r>
      <w:r>
        <w:rPr>
          <w:i/>
          <w:iCs/>
        </w:rPr>
        <w:t xml:space="preserve">If </w:t>
      </w:r>
      <w:r>
        <w:rPr/>
      </w:r>
      <m:oMath xmlns:m="http://schemas.openxmlformats.org/officeDocument/2006/math">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i/>
          <w:iCs/>
        </w:rPr>
        <w:t xml:space="preserve">, then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oMath>
      <w:r>
        <w:rPr>
          <w:i/>
          <w:iCs/>
        </w:rPr>
        <w:t>.</w:t>
      </w:r>
    </w:p>
    <w:p>
      <w:pPr>
        <w:pStyle w:val="Style11"/>
        <w:rPr/>
      </w:pPr>
      <w:r>
        <w:rPr>
          <w:b/>
          <w:bCs/>
        </w:rPr>
        <w:t>Axiom 3</w:t>
      </w:r>
      <w:r>
        <w:rPr/>
        <w:t xml:space="preserve"> (Monotonicity in utility).  </w:t>
      </w:r>
      <w:r>
        <w:rPr>
          <w:i/>
          <w:iCs/>
        </w:rPr>
        <w:t xml:space="preserve">If </w:t>
      </w:r>
      <w:r>
        <w:rPr/>
      </w:r>
      <m:oMath xmlns:m="http://schemas.openxmlformats.org/officeDocument/2006/math">
        <m:r>
          <w:rPr>
            <w:rFonts w:ascii="Cambria Math" w:hAnsi="Cambria Math"/>
          </w:rPr>
          <m:t xml:space="preserve">U</m:t>
        </m:r>
        <m:d>
          <m:dPr>
            <m:begChr m:val="("/>
            <m:endChr m:val=")"/>
          </m:dPr>
          <m:e>
            <m:sSub>
              <m:e>
                <m:r>
                  <w:rPr>
                    <w:rFonts w:ascii="Cambria Math" w:hAnsi="Cambria Math"/>
                  </w:rPr>
                  <m:t xml:space="preserve">E</m:t>
                </m:r>
              </m:e>
              <m:sub>
                <m:r>
                  <w:rPr>
                    <w:rFonts w:ascii="Cambria Math" w:hAnsi="Cambria Math"/>
                  </w:rPr>
                  <m:t xml:space="preserve">1</m:t>
                </m:r>
              </m:sub>
            </m:sSub>
          </m:e>
        </m:d>
        <m:r>
          <w:rPr>
            <w:rFonts w:ascii="Cambria Math" w:hAnsi="Cambria Math"/>
          </w:rPr>
          <m:t xml:space="preserve">≤</m:t>
        </m:r>
        <m:r>
          <w:rPr>
            <w:rFonts w:ascii="Cambria Math" w:hAnsi="Cambria Math"/>
          </w:rPr>
          <m:t xml:space="preserve">U</m:t>
        </m:r>
        <m:d>
          <m:dPr>
            <m:begChr m:val="("/>
            <m:endChr m:val=")"/>
          </m:dPr>
          <m:e>
            <m:sSub>
              <m:e>
                <m:r>
                  <w:rPr>
                    <w:rFonts w:ascii="Cambria Math" w:hAnsi="Cambria Math"/>
                  </w:rPr>
                  <m:t xml:space="preserve">E</m:t>
                </m:r>
              </m:e>
              <m:sub>
                <m:r>
                  <w:rPr>
                    <w:rFonts w:ascii="Cambria Math" w:hAnsi="Cambria Math"/>
                  </w:rPr>
                  <m:t xml:space="preserve">2</m:t>
                </m:r>
              </m:sub>
            </m:sSub>
          </m:e>
        </m:d>
      </m:oMath>
      <w:r>
        <w:rPr>
          <w:i/>
          <w:iCs/>
        </w:rPr>
        <w:t xml:space="preserve">, then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sSub>
              <m:e>
                <m:r>
                  <w:rPr>
                    <w:rFonts w:ascii="Cambria Math" w:hAnsi="Cambria Math"/>
                  </w:rPr>
                  <m:t xml:space="preserve">E</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L</m:t>
            </m:r>
          </m:e>
          <m:sub>
            <m:r>
              <w:rPr>
                <w:rFonts w:ascii="Cambria Math" w:hAnsi="Cambria Math"/>
              </w:rPr>
              <m:t xml:space="preserve">t</m:t>
            </m:r>
          </m:sub>
        </m:sSub>
        <m:d>
          <m:dPr>
            <m:begChr m:val="("/>
            <m:endChr m:val=")"/>
          </m:dPr>
          <m:e>
            <m:sSub>
              <m:e>
                <m:r>
                  <w:rPr>
                    <w:rFonts w:ascii="Cambria Math" w:hAnsi="Cambria Math"/>
                  </w:rPr>
                  <m:t xml:space="preserve">E</m:t>
                </m:r>
              </m:e>
              <m:sub>
                <m:r>
                  <w:rPr>
                    <w:rFonts w:ascii="Cambria Math" w:hAnsi="Cambria Math"/>
                  </w:rPr>
                  <m:t xml:space="preserve">2</m:t>
                </m:r>
              </m:sub>
            </m:sSub>
          </m:e>
        </m:d>
      </m:oMath>
      <w:r>
        <w:rPr>
          <w:i/>
          <w:iCs/>
        </w:rPr>
        <w:t>.</w:t>
      </w:r>
    </w:p>
    <w:p>
      <w:pPr>
        <w:pStyle w:val="Style11"/>
        <w:rPr/>
      </w:pPr>
      <w:r>
        <w:rPr>
          <w:b/>
          <w:bCs/>
        </w:rPr>
        <w:t>Axiom 4</w:t>
      </w:r>
      <w:r>
        <w:rPr/>
        <w:t xml:space="preserve"> (Sensitivity to surprisal).  </w:t>
      </w:r>
      <w:r>
        <w:rPr/>
      </w:r>
      <m:oMath xmlns:m="http://schemas.openxmlformats.org/officeDocument/2006/math">
        <m:r>
          <w:rPr>
            <w:rFonts w:ascii="Cambria Math" w:hAnsi="Cambria Math"/>
          </w:rPr>
          <m:t xml:space="preserve">∂</m:t>
        </m:r>
        <m:sSub>
          <m:e>
            <m:r>
              <w:rPr>
                <w:rFonts w:ascii="Cambria Math" w:hAnsi="Cambria Math"/>
              </w:rPr>
              <m:t xml:space="preserve">L</m:t>
            </m:r>
          </m:e>
          <m:sub>
            <m:r>
              <w:rPr>
                <w:rFonts w:ascii="Cambria Math" w:hAnsi="Cambria Math"/>
              </w:rPr>
              <m:t xml:space="preserve">t</m:t>
            </m:r>
          </m:sub>
        </m:sSub>
        <m:f>
          <m:fPr>
            <m:type m:val="lin"/>
          </m:fPr>
          <m:num>
            <m:d>
              <m:dPr>
                <m:begChr m:val="("/>
                <m:endChr m:val=")"/>
              </m:dPr>
              <m:e>
                <m:r>
                  <w:rPr>
                    <w:rFonts w:ascii="Cambria Math" w:hAnsi="Cambria Math"/>
                  </w:rPr>
                  <m:t xml:space="preserve">E</m:t>
                </m:r>
              </m:e>
            </m:d>
          </m:num>
          <m:den>
            <m:r>
              <w:rPr>
                <w:rFonts w:ascii="Cambria Math" w:hAnsi="Cambria Math"/>
              </w:rPr>
              <m:t xml:space="preserve">∂</m:t>
            </m:r>
          </m:den>
        </m:f>
        <m:sSub>
          <m:e>
            <m:r>
              <w:rPr>
                <w:rFonts w:ascii="Cambria Math" w:hAnsi="Cambria Math"/>
              </w:rPr>
              <m:t xml:space="preserve">S</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oMath>
      <w:r>
        <w:rPr>
          <w:i/>
          <w:iCs/>
        </w:rPr>
        <w:t>.</w:t>
      </w:r>
    </w:p>
    <w:p>
      <w:pPr>
        <w:pStyle w:val="Style11"/>
        <w:rPr/>
      </w:pPr>
      <w:r>
        <w:rPr>
          <w:b/>
          <w:bCs/>
        </w:rPr>
        <w:t>Axiom 5</w:t>
      </w:r>
      <w:r>
        <w:rPr/>
        <w:t xml:space="preserve"> (Information-collapse).  </w:t>
      </w:r>
      <w:r>
        <w:rPr>
          <w:i/>
          <w:iCs/>
        </w:rPr>
        <w:t xml:space="preserve">If </w:t>
      </w:r>
      <w:r>
        <w:rPr/>
      </w:r>
      <m:oMath xmlns:m="http://schemas.openxmlformats.org/officeDocument/2006/math">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oMath>
      <w:r>
        <w:rPr>
          <w:i/>
          <w:iCs/>
        </w:rPr>
        <w:t xml:space="preserve"> and </w:t>
      </w:r>
      <w:r>
        <w:rPr/>
      </w:r>
      <m:oMath xmlns:m="http://schemas.openxmlformats.org/officeDocument/2006/math">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i/>
          <w:iCs/>
        </w:rPr>
        <w:t xml:space="preserve">, then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oMath>
      <w:r>
        <w:rPr>
          <w:i/>
          <w:iCs/>
        </w:rPr>
        <w:t>.</w:t>
      </w:r>
      <w:bookmarkStart w:id="1" w:name="axioms-of-luck"/>
      <w:bookmarkEnd w:id="1"/>
    </w:p>
    <w:p>
      <w:pPr>
        <w:pStyle w:val="2"/>
        <w:rPr/>
      </w:pPr>
      <w:r>
        <w:rPr/>
        <w:t>Luck Bias and Equivalence</w:t>
      </w:r>
    </w:p>
    <w:p>
      <w:pPr>
        <w:pStyle w:val="FirstParagraph"/>
        <w:rPr/>
      </w:pPr>
      <w:r>
        <w:rPr>
          <w:b/>
          <w:bCs/>
        </w:rPr>
        <w:t>Definition 2</w:t>
      </w:r>
      <w:r>
        <w:rPr/>
        <w:t xml:space="preserve"> (Luck Bias).  </w:t>
      </w:r>
      <w:r>
        <w:rPr/>
      </w:r>
      <m:oMath xmlns:m="http://schemas.openxmlformats.org/officeDocument/2006/math">
        <m:sSub>
          <m:e>
            <m:r>
              <w:rPr>
                <w:rFonts w:ascii="Cambria Math" w:hAnsi="Cambria Math"/>
              </w:rPr>
              <m:t xml:space="preserve">L</m:t>
            </m:r>
            <m:r>
              <w:rPr>
                <w:rFonts w:ascii="Cambria Math" w:hAnsi="Cambria Math"/>
              </w:rPr>
              <m:t xml:space="preserve">B</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oMath>
    </w:p>
    <w:p>
      <w:pPr>
        <w:pStyle w:val="Style11"/>
        <w:rPr/>
      </w:pPr>
      <w:r>
        <w:rPr>
          <w:b/>
          <w:bCs/>
        </w:rPr>
        <w:t>Theorem 1</w:t>
      </w:r>
      <w:r>
        <w:rPr/>
        <w:t xml:space="preserve"> (Affine Equivalence).  </w:t>
      </w:r>
      <w:r>
        <w:rPr>
          <w:i/>
          <w:iCs/>
        </w:rPr>
        <w:t xml:space="preserve">If </w:t>
      </w:r>
      <w:r>
        <w:rPr/>
      </w:r>
      <m:oMath xmlns:m="http://schemas.openxmlformats.org/officeDocument/2006/math">
        <m:sSubSup>
          <m:e>
            <m:r>
              <w:rPr>
                <w:rFonts w:ascii="Cambria Math" w:hAnsi="Cambria Math"/>
              </w:rPr>
              <m:t xml:space="preserve">L</m:t>
            </m:r>
          </m:e>
          <m:sub>
            <m:r>
              <w:rPr>
                <w:rFonts w:ascii="Cambria Math" w:hAnsi="Cambria Math"/>
              </w:rPr>
              <m:t xml:space="preserve">t</m:t>
            </m:r>
          </m:sub>
          <m:sup>
            <m:d>
              <m:dPr>
                <m:begChr m:val="("/>
                <m:endChr m:val=")"/>
              </m:dPr>
              <m:e>
                <m:r>
                  <w:rPr>
                    <w:rFonts w:ascii="Cambria Math" w:hAnsi="Cambria Math"/>
                  </w:rPr>
                  <m:t xml:space="preserve">2</m:t>
                </m:r>
              </m:e>
            </m:d>
          </m:sup>
        </m:sSubSup>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a</m:t>
        </m:r>
        <m:sSubSup>
          <m:e>
            <m:r>
              <w:rPr>
                <w:rFonts w:ascii="Cambria Math" w:hAnsi="Cambria Math"/>
              </w:rPr>
              <m:t xml:space="preserve">L</m:t>
            </m:r>
          </m:e>
          <m:sub>
            <m:r>
              <w:rPr>
                <w:rFonts w:ascii="Cambria Math" w:hAnsi="Cambria Math"/>
              </w:rPr>
              <m:t xml:space="preserve">t</m:t>
            </m:r>
          </m:sub>
          <m:sup>
            <m:d>
              <m:dPr>
                <m:begChr m:val="("/>
                <m:endChr m:val=")"/>
              </m:dPr>
              <m:e>
                <m:r>
                  <w:rPr>
                    <w:rFonts w:ascii="Cambria Math" w:hAnsi="Cambria Math"/>
                  </w:rPr>
                  <m:t xml:space="preserve">1</m:t>
                </m:r>
              </m:e>
            </m:d>
          </m:sup>
        </m:sSubSup>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b</m:t>
        </m:r>
      </m:oMath>
      <w:r>
        <w:rPr>
          <w:i/>
          <w:iCs/>
        </w:rPr>
        <w:t xml:space="preserve"> with </w:t>
      </w:r>
      <w:r>
        <w:rPr/>
      </w:r>
      <m:oMath xmlns:m="http://schemas.openxmlformats.org/officeDocument/2006/math">
        <m:r>
          <w:rPr>
            <w:rFonts w:ascii="Cambria Math" w:hAnsi="Cambria Math"/>
          </w:rPr>
          <m:t xml:space="preserve">a</m:t>
        </m:r>
        <m:r>
          <w:rPr>
            <w:rFonts w:ascii="Cambria Math" w:hAnsi="Cambria Math"/>
          </w:rPr>
          <m:t xml:space="preserve">&gt;</m:t>
        </m:r>
        <m:r>
          <w:rPr>
            <w:rFonts w:ascii="Cambria Math" w:hAnsi="Cambria Math"/>
          </w:rPr>
          <m:t xml:space="preserve">0</m:t>
        </m:r>
      </m:oMath>
      <w:r>
        <w:rPr>
          <w:i/>
          <w:iCs/>
        </w:rPr>
        <w:t>, then the two measures induce the same event ranking.</w:t>
      </w:r>
      <w:bookmarkStart w:id="2" w:name="theoretical-framework-formalizing-luck"/>
      <w:bookmarkStart w:id="3" w:name="luck-bias-and-equivalence"/>
      <w:bookmarkEnd w:id="2"/>
      <w:bookmarkEnd w:id="3"/>
    </w:p>
    <w:p>
      <w:pPr>
        <w:pStyle w:val="1"/>
        <w:rPr/>
      </w:pPr>
      <w:r>
        <w:rPr/>
        <w:t>Normalization and Stability</w:t>
      </w:r>
    </w:p>
    <w:p>
      <w:pPr>
        <w:pStyle w:val="FirstParagraph"/>
        <w:rPr/>
      </w:pPr>
      <w:r>
        <w:rPr>
          <w:b/>
          <w:bCs/>
        </w:rPr>
        <w:t>Definition 3</w:t>
      </w:r>
      <w:r>
        <w:rPr/>
        <w:t xml:space="preserve"> (Normalization).  </w:t>
      </w:r>
      <w:r>
        <w:rPr>
          <w:i/>
          <w:iCs/>
        </w:rPr>
        <w:t xml:space="preserve">Define </w:t>
      </w:r>
      <w:r>
        <w:rPr/>
      </w:r>
      <m:oMath xmlns:m="http://schemas.openxmlformats.org/officeDocument/2006/math">
        <m:sSub>
          <m:e>
            <m:acc>
              <m:accPr>
                <m:chr m:val="~"/>
              </m:accPr>
              <m:e>
                <m:r>
                  <w:rPr>
                    <w:rFonts w:ascii="Cambria Math" w:hAnsi="Cambria Math"/>
                  </w:rPr>
                  <m:t xml:space="preserve">L</m:t>
                </m:r>
              </m:e>
            </m:acc>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f>
          <m:num>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min</m:t>
            </m:r>
            <m:sSub>
              <m:e>
                <m:r>
                  <w:rPr>
                    <w:rFonts w:ascii="Cambria Math" w:hAnsi="Cambria Math"/>
                  </w:rPr>
                  <m:t xml:space="preserve">L</m:t>
                </m:r>
              </m:e>
              <m:sub>
                <m:r>
                  <w:rPr>
                    <w:rFonts w:ascii="Cambria Math" w:hAnsi="Cambria Math"/>
                  </w:rPr>
                  <m:t xml:space="preserve">t</m:t>
                </m:r>
              </m:sub>
            </m:sSub>
          </m:num>
          <m:den>
            <m:r>
              <w:rPr>
                <w:rFonts w:ascii="Cambria Math" w:hAnsi="Cambria Math"/>
              </w:rPr>
              <m:t xml:space="preserve">max</m:t>
            </m:r>
            <m:sSub>
              <m:e>
                <m:r>
                  <w:rPr>
                    <w:rFonts w:ascii="Cambria Math" w:hAnsi="Cambria Math"/>
                  </w:rPr>
                  <m:t xml:space="preserve">L</m:t>
                </m:r>
              </m:e>
              <m:sub>
                <m:r>
                  <w:rPr>
                    <w:rFonts w:ascii="Cambria Math" w:hAnsi="Cambria Math"/>
                  </w:rPr>
                  <m:t xml:space="preserve">t</m:t>
                </m:r>
              </m:sub>
            </m:sSub>
            <m:r>
              <w:rPr>
                <w:rFonts w:ascii="Cambria Math" w:hAnsi="Cambria Math"/>
              </w:rPr>
              <m:t xml:space="preserve">−</m:t>
            </m:r>
            <m:r>
              <w:rPr>
                <w:rFonts w:ascii="Cambria Math" w:hAnsi="Cambria Math"/>
              </w:rPr>
              <m:t xml:space="preserve">min</m:t>
            </m:r>
            <m:sSub>
              <m:e>
                <m:r>
                  <w:rPr>
                    <w:rFonts w:ascii="Cambria Math" w:hAnsi="Cambria Math"/>
                  </w:rPr>
                  <m:t xml:space="preserve">L</m:t>
                </m:r>
              </m:e>
              <m:sub>
                <m:r>
                  <w:rPr>
                    <w:rFonts w:ascii="Cambria Math" w:hAnsi="Cambria Math"/>
                  </w:rPr>
                  <m:t xml:space="preserve">t</m:t>
                </m:r>
              </m:sub>
            </m:sSub>
          </m:den>
        </m:f>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r>
          <w:rPr>
            <w:rFonts w:ascii="Cambria Math" w:hAnsi="Cambria Math"/>
          </w:rPr>
          <m:t xml:space="preserve">.</m:t>
        </m:r>
      </m:oMath>
    </w:p>
    <w:p>
      <w:pPr>
        <w:pStyle w:val="Style11"/>
        <w:rPr/>
      </w:pPr>
      <w:r>
        <w:rPr>
          <w:b/>
          <w:bCs/>
        </w:rPr>
        <w:t>Theorem 2</w:t>
      </w:r>
      <w:r>
        <w:rPr/>
        <w:t xml:space="preserve"> (Preservation of Axioms).  </w:t>
      </w:r>
      <w:r>
        <w:rPr>
          <w:i/>
          <w:iCs/>
        </w:rPr>
        <w:t xml:space="preserve">If </w:t>
      </w:r>
      <w:r>
        <w:rPr/>
      </w:r>
      <m:oMath xmlns:m="http://schemas.openxmlformats.org/officeDocument/2006/math">
        <m:r>
          <w:rPr>
            <w:rFonts w:ascii="Cambria Math" w:hAnsi="Cambria Math"/>
          </w:rPr>
          <m:t xml:space="preserve">L</m:t>
        </m:r>
      </m:oMath>
      <w:r>
        <w:rPr>
          <w:i/>
          <w:iCs/>
        </w:rPr>
        <w:t xml:space="preserve"> satisfies the axioms, then any strictly monotone transform </w:t>
      </w:r>
      <w:r>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L</m:t>
        </m:r>
      </m:oMath>
      <w:r>
        <w:rPr>
          <w:i/>
          <w:iCs/>
        </w:rPr>
        <w:t xml:space="preserve"> (with </w:t>
      </w:r>
      <w:r>
        <w:rPr/>
      </w:r>
      <m:oMath xmlns:m="http://schemas.openxmlformats.org/officeDocument/2006/math">
        <m:r>
          <w:rPr>
            <w:rFonts w:ascii="Cambria Math" w:hAnsi="Cambria Math"/>
          </w:rPr>
          <m:t xml:space="preserve">ϕ</m:t>
        </m:r>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0</m:t>
        </m:r>
      </m:oMath>
      <w:r>
        <w:rPr>
          <w:i/>
          <w:iCs/>
        </w:rPr>
        <w:t>) also satisfies them.</w:t>
      </w:r>
    </w:p>
    <w:p>
      <w:pPr>
        <w:pStyle w:val="Style11"/>
        <w:rPr/>
      </w:pPr>
      <w:r>
        <w:rPr>
          <w:b/>
          <w:bCs/>
        </w:rPr>
        <w:t>Theorem 3</w:t>
      </w:r>
      <w:r>
        <w:rPr/>
        <w:t xml:space="preserve"> (Uniqueness up to Monotone Transform).  </w:t>
      </w:r>
      <w:r>
        <w:rPr>
          <w:i/>
          <w:iCs/>
        </w:rPr>
        <w:t>Any two admissible measures with the same ranking are related by a strictly increasing transformation.</w:t>
      </w:r>
    </w:p>
    <w:p>
      <w:pPr>
        <w:pStyle w:val="Style11"/>
        <w:rPr/>
      </w:pPr>
      <w:r>
        <w:rPr>
          <w:b/>
          <w:bCs/>
        </w:rPr>
        <w:t>Proposition 1</w:t>
      </w:r>
      <w:r>
        <w:rPr/>
        <w:t xml:space="preserve"> (Lipschitz Stability).  </w:t>
      </w:r>
      <w:r>
        <w:rPr>
          <w:i/>
          <w:iCs/>
        </w:rPr>
        <w:t xml:space="preserve">If </w:t>
      </w:r>
      <w:r>
        <w:rPr/>
      </w:r>
      <m:oMath xmlns:m="http://schemas.openxmlformats.org/officeDocument/2006/math">
        <m:sSub>
          <m:e>
            <m:r>
              <w:rPr>
                <w:rFonts w:ascii="Cambria Math" w:hAnsi="Cambria Math"/>
              </w:rPr>
              <m:t xml:space="preserve">f</m:t>
            </m:r>
          </m:e>
          <m:sub>
            <m:r>
              <w:rPr>
                <w:rFonts w:ascii="Cambria Math" w:hAnsi="Cambria Math"/>
              </w:rPr>
              <m:t xml:space="preserve">θ</m:t>
            </m:r>
          </m:sub>
        </m:sSub>
      </m:oMath>
      <w:r>
        <w:rPr>
          <w:i/>
          <w:iCs/>
        </w:rPr>
        <w:t xml:space="preserve"> is </w:t>
      </w:r>
      <w:r>
        <w:rPr/>
      </w:r>
      <m:oMath xmlns:m="http://schemas.openxmlformats.org/officeDocument/2006/math">
        <m:r>
          <w:rPr>
            <w:rFonts w:ascii="Cambria Math" w:hAnsi="Cambria Math"/>
          </w:rPr>
          <m:t xml:space="preserve">L</m:t>
        </m:r>
      </m:oMath>
      <w:r>
        <w:rPr>
          <w:i/>
          <w:iCs/>
        </w:rPr>
        <w:t xml:space="preserve">-Lipschitz, then </w:t>
      </w:r>
      <w:r>
        <w:rPr/>
      </w:r>
      <m:oMath xmlns:m="http://schemas.openxmlformats.org/officeDocument/2006/math">
        <m:d>
          <m:dPr>
            <m:begChr m:val="|"/>
            <m:endChr m:val=")"/>
          </m:dPr>
          <m:e>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L</m:t>
                </m:r>
              </m:e>
              <m:sub>
                <m:r>
                  <w:rPr>
                    <w:rFonts w:ascii="Cambria Math" w:hAnsi="Cambria Math"/>
                  </w:rPr>
                  <m:t xml:space="preserve">t</m:t>
                </m:r>
                <m:r>
                  <w:rPr>
                    <w:rFonts w:ascii="Cambria Math" w:hAnsi="Cambria Math"/>
                  </w:rPr>
                  <m:t xml:space="preserve">′</m:t>
                </m:r>
              </m:sub>
            </m:sSub>
            <m:d>
              <m:dPr>
                <m:begChr m:val="("/>
                <m:endChr m:val=")"/>
              </m:dPr>
              <m:e>
                <m:r>
                  <w:rPr>
                    <w:rFonts w:ascii="Cambria Math" w:hAnsi="Cambria Math"/>
                  </w:rPr>
                  <m:t xml:space="preserve">E</m:t>
                </m:r>
              </m:e>
            </m:d>
          </m:e>
        </m:d>
        <m:r>
          <w:rPr>
            <w:rFonts w:ascii="Cambria Math" w:hAnsi="Cambria Math"/>
          </w:rPr>
          <m:t xml:space="preserve">≤</m:t>
        </m:r>
        <m:r>
          <w:rPr>
            <w:rFonts w:ascii="Cambria Math" w:hAnsi="Cambria Math"/>
          </w:rPr>
          <m:t xml:space="preserve">L</m:t>
        </m:r>
        <m:d>
          <m:dPr>
            <m:begChr m:val="("/>
            <m:endChr m:val=")"/>
          </m:dPr>
          <m:e>
            <m:d>
              <m:dPr>
                <m:begChr m:val="|"/>
                <m:endChr m:val=")"/>
              </m:dPr>
              <m:e>
                <m:r>
                  <w:rPr>
                    <w:rFonts w:ascii="Cambria Math" w:hAnsi="Cambria Math"/>
                  </w:rPr>
                  <m:t xml:space="preserve">Δ</m:t>
                </m:r>
                <m:r>
                  <w:rPr>
                    <w:rFonts w:ascii="Cambria Math" w:hAnsi="Cambria Math"/>
                  </w:rPr>
                  <m:t xml:space="preserve">p</m:t>
                </m:r>
              </m:e>
            </m:d>
            <m:r>
              <w:rPr>
                <w:rFonts w:ascii="Cambria Math" w:hAnsi="Cambria Math"/>
              </w:rPr>
              <m:t xml:space="preserve">+</m:t>
            </m:r>
            <m:d>
              <m:dPr>
                <m:begChr m:val="|"/>
                <m:endChr m:val=")"/>
              </m:dPr>
              <m:e>
                <m:r>
                  <w:rPr>
                    <w:rFonts w:ascii="Cambria Math" w:hAnsi="Cambria Math"/>
                  </w:rPr>
                  <m:t xml:space="preserve">Δ</m:t>
                </m:r>
                <m:r>
                  <w:rPr>
                    <w:rFonts w:ascii="Cambria Math" w:hAnsi="Cambria Math"/>
                  </w:rPr>
                  <m:t xml:space="preserve">h</m:t>
                </m:r>
              </m:e>
            </m:d>
            <m:r>
              <w:rPr>
                <w:rFonts w:ascii="Cambria Math" w:hAnsi="Cambria Math"/>
              </w:rPr>
              <m:t xml:space="preserve">+</m:t>
            </m:r>
            <m:d>
              <m:dPr>
                <m:begChr m:val="|"/>
                <m:endChr m:val=")"/>
              </m:dPr>
              <m:e>
                <m:r>
                  <w:rPr>
                    <w:rFonts w:ascii="Cambria Math" w:hAnsi="Cambria Math"/>
                  </w:rPr>
                  <m:t xml:space="preserve">Δ</m:t>
                </m:r>
                <m:r>
                  <w:rPr>
                    <w:rFonts w:ascii="Cambria Math" w:hAnsi="Cambria Math"/>
                  </w:rPr>
                  <m:t xml:space="preserve">s</m:t>
                </m:r>
              </m:e>
            </m:d>
          </m:e>
        </m:d>
      </m:oMath>
      <w:r>
        <w:rPr>
          <w:i/>
          <w:iCs/>
        </w:rPr>
        <w:t>.</w:t>
      </w:r>
      <w:bookmarkStart w:id="4" w:name="normalization-and-stability"/>
      <w:bookmarkEnd w:id="4"/>
    </w:p>
    <w:p>
      <w:pPr>
        <w:pStyle w:val="1"/>
        <w:rPr/>
      </w:pPr>
      <w:r>
        <w:rPr/>
        <w:t>Convergence Under Refining Information</w:t>
      </w:r>
    </w:p>
    <w:p>
      <w:pPr>
        <w:pStyle w:val="FirstParagraph"/>
        <w:rPr/>
      </w:pPr>
      <w:r>
        <w:rPr>
          <w:b/>
          <w:bCs/>
        </w:rPr>
        <w:t>Theorem 4</w:t>
      </w:r>
      <w:r>
        <w:rPr/>
        <w:t xml:space="preserve"> (a.s. Convergence).  </w:t>
      </w:r>
      <w:r>
        <w:rPr>
          <w:i/>
          <w:iCs/>
        </w:rPr>
        <w:t xml:space="preserve">If </w:t>
      </w:r>
      <w:r>
        <w:rPr/>
      </w:r>
      <m:oMath xmlns:m="http://schemas.openxmlformats.org/officeDocument/2006/math">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1</m:t>
            </m:r>
          </m:e>
          <m:sub>
            <m:r>
              <w:rPr>
                <w:rFonts w:ascii="Cambria Math" w:hAnsi="Cambria Math"/>
              </w:rPr>
              <m:t xml:space="preserve">E</m:t>
            </m:r>
          </m:sub>
        </m:sSub>
      </m:oMath>
      <w:r>
        <w:rPr>
          <w:i/>
          <w:iCs/>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oMath>
      <w:r>
        <w:rPr>
          <w:i/>
          <w:iCs/>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oMath>
      <w:r>
        <w:rPr>
          <w:i/>
          <w:iCs/>
        </w:rPr>
        <w:t xml:space="preserve">, and </w:t>
      </w:r>
      <w:r>
        <w:rPr/>
      </w:r>
      <m:oMath xmlns:m="http://schemas.openxmlformats.org/officeDocument/2006/math">
        <m:sSub>
          <m:e>
            <m:r>
              <w:rPr>
                <w:rFonts w:ascii="Cambria Math" w:hAnsi="Cambria Math"/>
              </w:rPr>
              <m:t xml:space="preserve">f</m:t>
            </m:r>
          </m:e>
          <m:sub>
            <m:r>
              <w:rPr>
                <w:rFonts w:ascii="Cambria Math" w:hAnsi="Cambria Math"/>
              </w:rPr>
              <m:t xml:space="preserve">θ</m:t>
            </m:r>
          </m:sub>
        </m:sSub>
      </m:oMath>
      <w:r>
        <w:rPr>
          <w:i/>
          <w:iCs/>
        </w:rPr>
        <w:t xml:space="preserve"> continuous, then realized luck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r>
              <w:rPr>
                <w:rFonts w:ascii="Cambria Math" w:hAnsi="Cambria Math"/>
              </w:rPr>
              <m:t xml:space="preserve">,</m:t>
            </m:r>
            <m:r>
              <w:rPr>
                <w:rFonts w:ascii="Cambria Math" w:hAnsi="Cambria Math"/>
              </w:rPr>
              <m:t xml:space="preserve">ω</m:t>
            </m:r>
          </m:e>
        </m:d>
        <m:r>
          <w:rPr>
            <w:rFonts w:ascii="Cambria Math" w:hAnsi="Cambria Math"/>
          </w:rPr>
          <m:t xml:space="preserve">=</m:t>
        </m:r>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d>
          <m:dPr>
            <m:begChr m:val="("/>
            <m:endChr m:val=")"/>
          </m:dPr>
          <m:e>
            <m:r>
              <w:rPr>
                <w:rFonts w:ascii="Cambria Math" w:hAnsi="Cambria Math"/>
              </w:rPr>
              <m:t xml:space="preserve">ω</m:t>
            </m:r>
          </m:e>
        </m:d>
        <m:sSub>
          <m:e>
            <m:r>
              <w:rPr>
                <w:rFonts w:ascii="Cambria Math" w:hAnsi="Cambria Math"/>
              </w:rPr>
              <m:t xml:space="preserve">1</m:t>
            </m:r>
          </m:e>
          <m:sub>
            <m:r>
              <w:rPr>
                <w:rFonts w:ascii="Cambria Math" w:hAnsi="Cambria Math"/>
              </w:rPr>
              <m:t xml:space="preserve">E</m:t>
            </m:r>
          </m:sub>
        </m:sSub>
        <m:d>
          <m:dPr>
            <m:begChr m:val="("/>
            <m:endChr m:val=")"/>
          </m:dPr>
          <m:e>
            <m:r>
              <w:rPr>
                <w:rFonts w:ascii="Cambria Math" w:hAnsi="Cambria Math"/>
              </w:rPr>
              <m:t xml:space="preserve">ω</m:t>
            </m:r>
          </m:e>
        </m:d>
        <m:r>
          <w:rPr>
            <w:rFonts w:ascii="Cambria Math" w:hAnsi="Cambria Math"/>
          </w:rPr>
          <m:t xml:space="preserve">→</m:t>
        </m:r>
        <m:r>
          <w:rPr>
            <w:rFonts w:ascii="Cambria Math" w:hAnsi="Cambria Math"/>
          </w:rPr>
          <m:t xml:space="preserve">0</m:t>
        </m:r>
      </m:oMath>
      <w:r>
        <w:rPr>
          <w:i/>
          <w:iCs/>
        </w:rPr>
        <w:t xml:space="preserve"> a.s.</w:t>
      </w:r>
    </w:p>
    <w:p>
      <w:pPr>
        <w:pStyle w:val="Style11"/>
        <w:rPr/>
      </w:pPr>
      <w:r>
        <w:rPr>
          <w:b/>
          <w:bCs/>
        </w:rPr>
        <w:t>Theorem 5</w:t>
      </w:r>
      <w:r>
        <w:rPr/>
        <w:t xml:space="preserve"> (</w:t>
      </w:r>
      <w:r>
        <w:rPr/>
      </w:r>
      <m:oMath xmlns:m="http://schemas.openxmlformats.org/officeDocument/2006/math">
        <m:sSup>
          <m:e>
            <m:r>
              <w:rPr>
                <w:rFonts w:ascii="Cambria Math" w:hAnsi="Cambria Math"/>
              </w:rPr>
              <m:t xml:space="preserve">L</m:t>
            </m:r>
          </m:e>
          <m:sup>
            <m:r>
              <w:rPr>
                <w:rFonts w:ascii="Cambria Math" w:hAnsi="Cambria Math"/>
              </w:rPr>
              <m:t xml:space="preserve">1</m:t>
            </m:r>
          </m:sup>
        </m:sSup>
      </m:oMath>
      <w:r>
        <w:rPr/>
        <w:t xml:space="preserve"> Convergence).  </w:t>
      </w:r>
      <w:r>
        <w:rPr>
          <w:i/>
          <w:iCs/>
        </w:rPr>
        <w:t xml:space="preserve">If </w:t>
      </w:r>
      <w:r>
        <w:rPr/>
      </w:r>
      <m:oMath xmlns:m="http://schemas.openxmlformats.org/officeDocument/2006/math">
        <m:sSub>
          <m:e/>
          <m:sub>
            <m:r>
              <w:rPr>
                <w:rFonts w:ascii="Cambria Math" w:hAnsi="Cambria Math"/>
              </w:rPr>
              <m:t xml:space="preserve">t</m:t>
            </m:r>
          </m:sub>
        </m:sSub>
        <m:r>
          <w:rPr>
            <w:rFonts w:ascii="Cambria Math" w:hAnsi="Cambria Math"/>
          </w:rPr>
          <m:t xml:space="preserve">E</m:t>
        </m:r>
        <m:d>
          <m:dPr>
            <m:begChr m:val="["/>
            <m:endChr m:val=")"/>
          </m:dPr>
          <m:e>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sSub>
              <m:e>
                <m:r>
                  <w:rPr>
                    <w:rFonts w:ascii="Cambria Math" w:hAnsi="Cambria Math"/>
                  </w:rPr>
                  <m:t xml:space="preserve">1</m:t>
                </m:r>
              </m:e>
              <m:sub>
                <m:r>
                  <w:rPr>
                    <w:rFonts w:ascii="Cambria Math" w:hAnsi="Cambria Math"/>
                  </w:rPr>
                  <m:t xml:space="preserve">E</m:t>
                </m:r>
              </m:sub>
            </m:sSub>
          </m:e>
        </m:d>
        <m:r>
          <w:rPr>
            <w:rFonts w:ascii="Cambria Math" w:hAnsi="Cambria Math"/>
          </w:rPr>
          <m:t xml:space="preserve">&lt;</m:t>
        </m:r>
        <m:r>
          <w:rPr>
            <w:rFonts w:ascii="Cambria Math" w:hAnsi="Cambria Math"/>
          </w:rPr>
          <m:t xml:space="preserve">∞</m:t>
        </m:r>
      </m:oMath>
      <w:r>
        <w:rPr>
          <w:i/>
          <w:iCs/>
        </w:rPr>
        <w:t xml:space="preserve">, then </w:t>
      </w:r>
      <w:r>
        <w:rPr/>
      </w:r>
      <m:oMath xmlns:m="http://schemas.openxmlformats.org/officeDocument/2006/math">
        <m:r>
          <w:rPr>
            <w:rFonts w:ascii="Cambria Math" w:hAnsi="Cambria Math"/>
          </w:rPr>
          <m:t xml:space="preserve">E</m:t>
        </m:r>
        <m:d>
          <m:dPr>
            <m:begChr m:val="["/>
            <m:endChr m:val=")"/>
          </m:dPr>
          <m:e>
            <m:d>
              <m:dPr>
                <m:begChr m:val="|"/>
                <m:endChr m:val=")"/>
              </m:dPr>
              <m:e>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e>
            </m:d>
          </m:e>
        </m:d>
        <m:r>
          <w:rPr>
            <w:rFonts w:ascii="Cambria Math" w:hAnsi="Cambria Math"/>
          </w:rPr>
          <m:t xml:space="preserve">→</m:t>
        </m:r>
        <m:r>
          <w:rPr>
            <w:rFonts w:ascii="Cambria Math" w:hAnsi="Cambria Math"/>
          </w:rPr>
          <m:t xml:space="preserve">0</m:t>
        </m:r>
      </m:oMath>
      <w:r>
        <w:rPr>
          <w:i/>
          <w:iCs/>
        </w:rPr>
        <w:t>.</w:t>
      </w:r>
    </w:p>
    <w:p>
      <w:pPr>
        <w:pStyle w:val="Style11"/>
        <w:rPr/>
      </w:pPr>
      <w:r>
        <w:rPr>
          <w:b/>
          <w:bCs/>
        </w:rPr>
        <w:t>Theorem 6</w:t>
      </w:r>
      <w:r>
        <w:rPr/>
        <w:t xml:space="preserve"> (Consistency of ERM).  </w:t>
      </w:r>
      <w:r>
        <w:rPr>
          <w:i/>
          <w:iCs/>
        </w:rPr>
        <w:t xml:space="preserve">With </w:t>
      </w:r>
      <w:r>
        <w:rPr/>
      </w:r>
      <m:oMath xmlns:m="http://schemas.openxmlformats.org/officeDocument/2006/math">
        <m:r>
          <w:rPr>
            <w:rFonts w:ascii="Cambria Math" w:hAnsi="Cambria Math"/>
          </w:rPr>
          <m:t xml:space="preserve">Θ</m:t>
        </m:r>
      </m:oMath>
      <w:r>
        <w:rPr>
          <w:i/>
          <w:iCs/>
        </w:rPr>
        <w:t xml:space="preserve"> compact, continuous loss </w:t>
      </w:r>
      <w:r>
        <w:rPr/>
      </w:r>
      <m:oMath xmlns:m="http://schemas.openxmlformats.org/officeDocument/2006/math">
        <m:r>
          <w:rPr>
            <w:rFonts w:ascii="Cambria Math" w:hAnsi="Cambria Math"/>
          </w:rPr>
          <m:t xml:space="preserve">ℓ</m:t>
        </m:r>
      </m:oMath>
      <w:r>
        <w:rPr>
          <w:i/>
          <w:iCs/>
        </w:rPr>
        <w:t xml:space="preserve">, and Glivenko–Cantelli conditions, the ERM estimator </w:t>
      </w:r>
      <w:r>
        <w:rPr/>
      </w:r>
      <m:oMath xmlns:m="http://schemas.openxmlformats.org/officeDocument/2006/math">
        <m:sSub>
          <m:e>
            <m:acc>
              <m:accPr>
                <m:chr m:val="^"/>
              </m:accPr>
              <m:e>
                <m:r>
                  <w:rPr>
                    <w:rFonts w:ascii="Cambria Math" w:hAnsi="Cambria Math"/>
                  </w:rPr>
                  <m:t xml:space="preserve">θ</m:t>
                </m:r>
              </m:e>
            </m:acc>
          </m:e>
          <m:sub>
            <m:r>
              <w:rPr>
                <w:rFonts w:ascii="Cambria Math" w:hAnsi="Cambria Math"/>
              </w:rPr>
              <m:t xml:space="preserve">n</m:t>
            </m:r>
          </m:sub>
        </m:sSub>
      </m:oMath>
      <w:r>
        <w:rPr>
          <w:i/>
          <w:iCs/>
        </w:rPr>
        <w:t xml:space="preserve"> converges in probability to the population minimizer.</w:t>
      </w:r>
      <w:bookmarkStart w:id="5" w:name="convergence-under-refining-information"/>
      <w:bookmarkEnd w:id="5"/>
    </w:p>
    <w:p>
      <w:pPr>
        <w:pStyle w:val="1"/>
        <w:rPr/>
      </w:pPr>
      <w:r>
        <w:rPr/>
        <w:t>Experimental Protocols</w:t>
      </w:r>
    </w:p>
    <w:p>
      <w:pPr>
        <w:pStyle w:val="2"/>
        <w:rPr/>
      </w:pPr>
      <w:r>
        <w:rPr/>
        <w:t>Datasets</w:t>
      </w:r>
    </w:p>
    <w:p>
      <w:pPr>
        <w:pStyle w:val="FirstParagraph"/>
        <w:rPr/>
      </w:pPr>
      <w:r>
        <w:rPr/>
        <w:t>(a) Simulated roulette (</w:t>
      </w:r>
      <w:r>
        <w:rPr/>
      </w:r>
      <m:oMath xmlns:m="http://schemas.openxmlformats.org/officeDocument/2006/math">
        <m:sSup>
          <m:e>
            <m:r>
              <w:rPr>
                <w:rFonts w:ascii="Cambria Math" w:hAnsi="Cambria Math"/>
              </w:rPr>
              <m:t xml:space="preserve">10</m:t>
            </m:r>
          </m:e>
          <m:sup>
            <m:r>
              <w:rPr>
                <w:rFonts w:ascii="Cambria Math" w:hAnsi="Cambria Math"/>
              </w:rPr>
              <m:t xml:space="preserve">6</m:t>
            </m:r>
          </m:sup>
        </m:sSup>
      </m:oMath>
      <w:r>
        <w:rPr/>
        <w:t xml:space="preserve"> spins). (b) Historical football odds (</w:t>
      </w:r>
      <w:r>
        <w:rPr/>
      </w:r>
      <m:oMath xmlns:m="http://schemas.openxmlformats.org/officeDocument/2006/math">
        <m:r>
          <w:rPr>
            <w:rFonts w:ascii="Cambria Math" w:hAnsi="Cambria Math"/>
          </w:rPr>
          <m:t xml:space="preserve">50</m:t>
        </m:r>
        <m:r>
          <w:rPr>
            <w:rFonts w:ascii="Cambria Math" w:hAnsi="Cambria Math"/>
          </w:rPr>
          <m:t xml:space="preserve">,</m:t>
        </m:r>
        <m:r>
          <w:rPr>
            <w:rFonts w:ascii="Cambria Math" w:hAnsi="Cambria Math"/>
          </w:rPr>
          <m:t xml:space="preserve">000</m:t>
        </m:r>
      </m:oMath>
      <w:r>
        <w:rPr/>
        <w:t xml:space="preserve"> matches). (c) Quarterly earnings surprises (Compustat, CRSP).</w:t>
      </w:r>
      <w:bookmarkStart w:id="6" w:name="datasets"/>
      <w:bookmarkEnd w:id="6"/>
    </w:p>
    <w:p>
      <w:pPr>
        <w:pStyle w:val="2"/>
        <w:rPr/>
      </w:pPr>
      <w:r>
        <w:rPr/>
        <w:t>ERM Procedure</w:t>
      </w:r>
    </w:p>
    <w:p>
      <w:pPr>
        <w:pStyle w:val="FirstParagraph"/>
        <w:rPr/>
      </w:pPr>
      <w:r>
        <w:rPr/>
        <w:t xml:space="preserve">Compute empirical risk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d>
          <m:dPr>
            <m:begChr m:val="("/>
            <m:endChr m:val=")"/>
          </m:dPr>
          <m:e>
            <m:r>
              <w:rPr>
                <w:rFonts w:ascii="Cambria Math" w:hAnsi="Cambria Math"/>
              </w:rPr>
              <m:t xml:space="preserve">θ</m:t>
            </m:r>
          </m:e>
        </m:d>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n</m:t>
            </m:r>
          </m:den>
        </m:f>
        <m:r>
          <w:rPr>
            <w:rFonts w:ascii="Cambria Math" w:hAnsi="Cambria Math"/>
          </w:rPr>
          <m:t xml:space="preserve">∑</m:t>
        </m:r>
        <m:r>
          <w:rPr>
            <w:rFonts w:ascii="Cambria Math" w:hAnsi="Cambria Math"/>
          </w:rPr>
          <m:t xml:space="preserve">ℓ</m:t>
        </m:r>
        <m:d>
          <m:dPr>
            <m:begChr m:val="("/>
            <m:endChr m:val=")"/>
          </m:dPr>
          <m:e>
            <m:sSub>
              <m:e>
                <m:r>
                  <w:rPr>
                    <w:rFonts w:ascii="Cambria Math" w:hAnsi="Cambria Math"/>
                  </w:rPr>
                  <m:t xml:space="preserve">L</m:t>
                </m:r>
              </m:e>
              <m:sub>
                <m:r>
                  <w:rPr>
                    <w:rFonts w:ascii="Cambria Math" w:hAnsi="Cambria Math"/>
                  </w:rPr>
                  <m:t xml:space="preserve">θ</m:t>
                </m:r>
              </m:sub>
            </m:sSub>
            <m:d>
              <m:dPr>
                <m:begChr m:val="("/>
                <m:endChr m:val=")"/>
              </m:dPr>
              <m:e>
                <m:sSub>
                  <m:e>
                    <m:r>
                      <w:rPr>
                        <w:rFonts w:ascii="Cambria Math" w:hAnsi="Cambria Math"/>
                      </w:rPr>
                      <m:t xml:space="preserve">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t xml:space="preserve"> with losses: squared error, logistic, Brier.</w:t>
      </w:r>
      <w:bookmarkStart w:id="7" w:name="erm-procedure"/>
      <w:bookmarkEnd w:id="7"/>
    </w:p>
    <w:p>
      <w:pPr>
        <w:pStyle w:val="2"/>
        <w:rPr/>
      </w:pPr>
      <w:r>
        <w:rPr/>
        <w:t>GC/ULLN Proof Sketch</w:t>
      </w:r>
    </w:p>
    <w:p>
      <w:pPr>
        <w:pStyle w:val="FirstParagraph"/>
        <w:rPr/>
      </w:pPr>
      <w:r>
        <w:rPr/>
        <w:t xml:space="preserve">For squared error </w:t>
      </w:r>
      <w:r>
        <w:rPr/>
      </w:r>
      <m:oMath xmlns:m="http://schemas.openxmlformats.org/officeDocument/2006/math">
        <m:r>
          <w:rPr>
            <w:rFonts w:ascii="Cambria Math" w:hAnsi="Cambria Math"/>
          </w:rPr>
          <m:t xml:space="preserve">ℓ</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sup>
            <m:r>
              <w:rPr>
                <w:rFonts w:ascii="Cambria Math" w:hAnsi="Cambria Math"/>
              </w:rPr>
              <m:t xml:space="preserve">2</m:t>
            </m:r>
          </m:sup>
        </m:sSup>
      </m:oMath>
      <w:r>
        <w:rPr/>
        <w:t xml:space="preserve">, bounded by 1 on </w:t>
      </w:r>
      <w:r>
        <w:rPr/>
      </w:r>
      <m:oMath xmlns:m="http://schemas.openxmlformats.org/officeDocument/2006/math">
        <m:sSup>
          <m:e>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oMath>
      <w:r>
        <w:rPr/>
        <w:t xml:space="preserve">, the class is GC by equicontinuity and compactness. Thus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d>
          <m:dPr>
            <m:begChr m:val="("/>
            <m:endChr m:val=")"/>
          </m:dPr>
          <m:e>
            <m:r>
              <w:rPr>
                <w:rFonts w:ascii="Cambria Math" w:hAnsi="Cambria Math"/>
              </w:rPr>
              <m:t xml:space="preserve">θ</m:t>
            </m:r>
          </m:e>
        </m:d>
        <m:r>
          <w:rPr>
            <w:rFonts w:ascii="Cambria Math" w:hAnsi="Cambria Math"/>
          </w:rPr>
          <m:t xml:space="preserve">→</m:t>
        </m:r>
        <m:r>
          <w:rPr>
            <w:rFonts w:ascii="Cambria Math" w:hAnsi="Cambria Math"/>
          </w:rPr>
          <m:t xml:space="preserve">E</m:t>
        </m:r>
        <m:r>
          <w:rPr>
            <w:rFonts w:ascii="Cambria Math" w:hAnsi="Cambria Math"/>
          </w:rPr>
          <m:t xml:space="preserve">ℓ</m:t>
        </m:r>
      </m:oMath>
      <w:r>
        <w:rPr/>
        <w:t xml:space="preserve"> uniformly, yielding ERM consistency.</w:t>
      </w:r>
      <w:bookmarkStart w:id="8" w:name="experimental-protocols"/>
      <w:bookmarkStart w:id="9" w:name="gculln-proof-sketch"/>
      <w:bookmarkEnd w:id="8"/>
      <w:bookmarkEnd w:id="9"/>
    </w:p>
    <w:p>
      <w:pPr>
        <w:pStyle w:val="1"/>
        <w:rPr/>
      </w:pPr>
      <w:r>
        <w:rPr/>
        <w:t>Enhanced Applications</w:t>
      </w:r>
    </w:p>
    <w:p>
      <w:pPr>
        <w:pStyle w:val="2"/>
        <w:rPr/>
      </w:pPr>
      <w:r>
        <w:rPr/>
        <w:t>Roulette Simulation</w:t>
      </w:r>
    </w:p>
    <w:p>
      <w:pPr>
        <w:pStyle w:val="FirstParagraph"/>
        <w:rPr/>
      </w:pPr>
      <w:r>
        <w:rPr/>
        <w:t xml:space="preserve">Event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7</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p</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37</m:t>
            </m:r>
          </m:den>
        </m:f>
        <m:r>
          <w:rPr>
            <w:rFonts w:ascii="Cambria Math" w:hAnsi="Cambria Math"/>
          </w:rPr>
          <m:t xml:space="preserve">=</m:t>
        </m:r>
        <m:r>
          <w:rPr>
            <w:rFonts w:ascii="Cambria Math" w:hAnsi="Cambria Math"/>
          </w:rPr>
          <m:t xml:space="preserve">0.027</m:t>
        </m:r>
      </m:oMath>
      <w:r>
        <w:rPr/>
        <w:t xml:space="preserve">,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t xml:space="preserve">. Multiplicative model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oMath>
      <w:r>
        <w:rPr/>
        <w:t xml:space="preserve">: </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d>
          <m:dPr>
            <m:begChr m:val="("/>
            <m:endChr m:val=")"/>
          </m:dPr>
          <m:e>
            <m:r>
              <w:rPr>
                <w:rFonts w:ascii="Cambria Math" w:hAnsi="Cambria Math"/>
              </w:rPr>
              <m:t xml:space="preserve">E</m:t>
            </m:r>
          </m:e>
        </m:d>
        <m:r>
          <w:rPr>
            <w:rFonts w:ascii="Cambria Math" w:hAnsi="Cambria Math"/>
          </w:rPr>
          <m:t xml:space="preserve">=</m:t>
        </m:r>
        <m:d>
          <m:dPr>
            <m:begChr m:val="("/>
            <m:endChr m:val=")"/>
          </m:dPr>
          <m:e>
            <m:r>
              <w:rPr>
                <w:rFonts w:ascii="Cambria Math" w:hAnsi="Cambria Math"/>
              </w:rPr>
              <m:t xml:space="preserve">log</m:t>
            </m:r>
            <m:r>
              <w:rPr>
                <w:rFonts w:ascii="Cambria Math" w:hAnsi="Cambria Math"/>
              </w:rPr>
              <m:t xml:space="preserve">37</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0.027</m:t>
            </m:r>
          </m:e>
        </m:d>
        <m:r>
          <w:rPr>
            <w:rFonts w:ascii="Cambria Math" w:hAnsi="Cambria Math"/>
          </w:rPr>
          <m:t xml:space="preserve">≈</m:t>
        </m:r>
        <m:r>
          <w:rPr>
            <w:rFonts w:ascii="Cambria Math" w:hAnsi="Cambria Math"/>
          </w:rPr>
          <m:t xml:space="preserve">3.52</m:t>
        </m:r>
      </m:oMath>
      <w:r>
        <w:rPr/>
        <w:t xml:space="preserve">. As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oMath>
      <w:r>
        <w:rPr/>
        <w:t xml:space="preserve">, </w:t>
      </w:r>
      <w:r>
        <w:rPr/>
      </w:r>
      <m:oMath xmlns:m="http://schemas.openxmlformats.org/officeDocument/2006/math">
        <m:sSub>
          <m:e>
            <m:r>
              <w:rPr>
                <w:rFonts w:ascii="Cambria Math" w:hAnsi="Cambria Math"/>
              </w:rPr>
              <m:t xml:space="preserve">L</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oMath>
      <w:r>
        <w:rPr/>
        <w:t>.</w:t>
      </w:r>
      <w:bookmarkStart w:id="10" w:name="roulette-simulation"/>
      <w:bookmarkEnd w:id="10"/>
    </w:p>
    <w:p>
      <w:pPr>
        <w:pStyle w:val="2"/>
        <w:rPr/>
      </w:pPr>
      <w:r>
        <w:rPr/>
        <w:t>Sports Betting</w:t>
      </w:r>
    </w:p>
    <w:p>
      <w:pPr>
        <w:pStyle w:val="FirstParagraph"/>
        <w:rPr/>
      </w:pPr>
      <w:r>
        <w:rPr/>
        <w:t xml:space="preserve">Event: away underdog wins,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0.20</m:t>
        </m:r>
      </m:oMath>
      <w:r>
        <w:rPr/>
        <w:t xml:space="preserve">,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1.5</m:t>
        </m:r>
      </m:oMath>
      <w:r>
        <w:rPr/>
        <w:t xml:space="preserve">. Bayesian model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0.7</m:t>
        </m:r>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0.7</m:t>
        </m:r>
        <m:r>
          <w:rPr>
            <w:rFonts w:ascii="Cambria Math" w:hAnsi="Cambria Math"/>
          </w:rPr>
          <m:t xml:space="preserve">⋅</m:t>
        </m:r>
        <m:r>
          <w:rPr>
            <w:rFonts w:ascii="Cambria Math" w:hAnsi="Cambria Math"/>
          </w:rPr>
          <m:t xml:space="preserve">1.609</m:t>
        </m:r>
        <m:r>
          <w:rPr>
            <w:rFonts w:ascii="Cambria Math" w:hAnsi="Cambria Math"/>
          </w:rPr>
          <m:t xml:space="preserve">+</m:t>
        </m:r>
        <m:r>
          <w:rPr>
            <w:rFonts w:ascii="Cambria Math" w:hAnsi="Cambria Math"/>
          </w:rPr>
          <m:t xml:space="preserve">0.3</m:t>
        </m:r>
        <m:r>
          <w:rPr>
            <w:rFonts w:ascii="Cambria Math" w:hAnsi="Cambria Math"/>
          </w:rPr>
          <m:t xml:space="preserve">⋅</m:t>
        </m:r>
        <m:r>
          <w:rPr>
            <w:rFonts w:ascii="Cambria Math" w:hAnsi="Cambria Math"/>
          </w:rPr>
          <m:t xml:space="preserve">1.10</m:t>
        </m:r>
        <m:r>
          <w:rPr>
            <w:rFonts w:ascii="Cambria Math" w:hAnsi="Cambria Math"/>
          </w:rPr>
          <m:t xml:space="preserve">}</m:t>
        </m:r>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1.68</m:t>
        </m:r>
      </m:oMath>
      <w:r>
        <w:rPr/>
        <w:t>.</w:t>
      </w:r>
      <w:bookmarkStart w:id="11" w:name="sports-betting"/>
      <w:bookmarkEnd w:id="11"/>
    </w:p>
    <w:p>
      <w:pPr>
        <w:pStyle w:val="2"/>
        <w:rPr/>
      </w:pPr>
      <w:r>
        <w:rPr/>
        <w:t>Financial Earnings</w:t>
      </w:r>
    </w:p>
    <w:p>
      <w:pPr>
        <w:pStyle w:val="FirstParagraph"/>
        <w:rPr/>
      </w:pPr>
      <w:r>
        <w:rPr/>
        <w:t xml:space="preserve">Event: EPS surprise </w:t>
      </w:r>
      <w:r>
        <w:rPr/>
      </w:r>
      <m:oMath xmlns:m="http://schemas.openxmlformats.org/officeDocument/2006/math">
        <m:r>
          <w:rPr>
            <w:rFonts w:ascii="Cambria Math" w:hAnsi="Cambria Math"/>
          </w:rPr>
          <m:t xml:space="preserve">5</m:t>
        </m:r>
        <m:r>
          <m:rPr>
            <m:lit/>
            <m:nor/>
          </m:rPr>
          <w:rPr>
            <w:rFonts w:ascii="Cambria Math" w:hAnsi="Cambria Math"/>
          </w:rPr>
          <m:t xml:space="preserve">%</m:t>
        </m:r>
      </m:oMath>
      <w:r>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0.25</m:t>
        </m:r>
      </m:oMath>
      <w:r>
        <w:rPr/>
        <w:t xml:space="preserve">,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0.8</m:t>
        </m:r>
      </m:oMath>
      <w:r>
        <w:rPr/>
        <w:t xml:space="preserve">. Logistic model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0.2</m:t>
            </m:r>
            <m:r>
              <w:rPr>
                <w:rFonts w:ascii="Cambria Math" w:hAnsi="Cambria Math"/>
              </w:rPr>
              <m:t xml:space="preserve">,</m:t>
            </m:r>
            <m:r>
              <w:rPr>
                <w:rFonts w:ascii="Cambria Math" w:hAnsi="Cambria Math"/>
              </w:rPr>
              <m:t xml:space="preserve">0</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1.85</m:t>
            </m:r>
          </m:e>
        </m:d>
        <m:r>
          <w:rPr>
            <w:rFonts w:ascii="Cambria Math" w:hAnsi="Cambria Math"/>
          </w:rPr>
          <m:t xml:space="preserve">=</m:t>
        </m:r>
        <m:r>
          <w:rPr>
            <w:rFonts w:ascii="Cambria Math" w:hAnsi="Cambria Math"/>
          </w:rPr>
          <m:t xml:space="preserve">0.864</m:t>
        </m:r>
      </m:oMath>
      <w:r>
        <w:rPr/>
        <w:t>.</w:t>
      </w:r>
      <w:bookmarkStart w:id="12" w:name="enhanced-applications"/>
      <w:bookmarkStart w:id="13" w:name="financial-earnings"/>
      <w:bookmarkEnd w:id="12"/>
      <w:bookmarkEnd w:id="13"/>
    </w:p>
    <w:p>
      <w:pPr>
        <w:pStyle w:val="1"/>
        <w:rPr/>
      </w:pPr>
      <w:r>
        <w:rPr/>
        <w:t>Conclusion</w:t>
      </w:r>
    </w:p>
    <w:p>
      <w:pPr>
        <w:pStyle w:val="FirstParagraph"/>
        <w:rPr/>
      </w:pPr>
      <w:r>
        <w:rPr/>
        <w:t>Luck can be mathematically formalized as a functional of probability, utility, entropy, and surprisal. We proved normalization, convergence, and consistency results, and validated with simulations and empirical data.</w:t>
      </w:r>
      <w:bookmarkStart w:id="14" w:name="conclusion"/>
      <w:bookmarkEnd w:id="14"/>
    </w:p>
    <w:p>
      <w:pPr>
        <w:pStyle w:val="Normal"/>
        <w:rPr/>
      </w:pPr>
      <w:r>
        <w:rPr/>
      </w:r>
      <w:r>
        <w:br w:type="page"/>
      </w:r>
    </w:p>
    <w:p>
      <w:pPr>
        <w:pStyle w:val="Normal"/>
        <w:rPr/>
      </w:pPr>
      <w:r>
        <w:rPr/>
        <w:t>Appendix B – Explanatory Notes on Core Definitions and Results</w:t>
      </w:r>
    </w:p>
    <w:p>
      <w:pPr>
        <w:pStyle w:val="Normal"/>
        <w:rPr/>
      </w:pPr>
      <w:r>
        <w:rPr/>
        <w:t>B.1 Luck Measure</w:t>
      </w:r>
    </w:p>
    <w:p>
      <w:pPr>
        <w:pStyle w:val="Normal"/>
        <w:rPr/>
      </w:pPr>
      <w:r>
        <w:rPr/>
        <w:t>Applied Interpretation: The luck measure acts as a synthesizer of four quantities: probability, utility, entropy, and surprisal.</w:t>
      </w:r>
    </w:p>
    <w:p>
      <w:pPr>
        <w:pStyle w:val="Normal"/>
        <w:rPr/>
      </w:pPr>
      <w:r>
        <w:rPr/>
        <w:t>Theoretical Note: Defined on (Ω,Σ,ℙ) with information σ-algebra, measurability and monotone dependence on U,H,S ensure axiomatic consistency.</w:t>
      </w:r>
    </w:p>
    <w:p>
      <w:pPr>
        <w:pStyle w:val="Normal"/>
        <w:rPr/>
      </w:pPr>
      <w:r>
        <w:rPr>
          <w:b/>
        </w:rPr>
        <w:t>Table B.1: Mini-examples</w:t>
        <w:br/>
      </w:r>
      <w:r>
        <w:rPr>
          <w:i/>
        </w:rPr>
        <w:t>Input</w:t>
        <w:tab/>
        <w:t>Output</w:t>
        <w:br/>
      </w:r>
      <w:r>
        <w:rPr/>
        <w:t>P=0.2,U=1.5,H=1.1,S≈2.3</w:t>
        <w:tab/>
        <w:t>L≈1.32</w:t>
        <w:br/>
      </w:r>
    </w:p>
    <w:p>
      <w:pPr>
        <w:pStyle w:val="Normal"/>
        <w:rPr/>
      </w:pPr>
      <w:r>
        <w:rPr/>
        <w:t>B.2 Luck Bias</w:t>
      </w:r>
    </w:p>
    <w:p>
      <w:pPr>
        <w:pStyle w:val="Normal"/>
        <w:rPr/>
      </w:pPr>
      <w:r>
        <w:rPr/>
        <w:t>Applied Interpretation: Positive LB means experienced favorability exceeds bare probability. Useful for backtesting.</w:t>
      </w:r>
    </w:p>
    <w:p>
      <w:pPr>
        <w:pStyle w:val="Normal"/>
        <w:rPr/>
      </w:pPr>
      <w:r>
        <w:rPr/>
        <w:t>Theoretical Note: E[P(E|ℱ)] = P(E). Thus calibration requires unbiasedness relative to available info.</w:t>
      </w:r>
    </w:p>
    <w:p>
      <w:pPr>
        <w:pStyle w:val="Normal"/>
        <w:rPr/>
      </w:pPr>
      <w:r>
        <w:rPr>
          <w:b/>
        </w:rPr>
        <w:t>Table B.2: Mini-examples</w:t>
        <w:br/>
      </w:r>
      <w:r>
        <w:rPr>
          <w:i/>
        </w:rPr>
        <w:t>Input</w:t>
        <w:tab/>
        <w:t>Output</w:t>
        <w:br/>
      </w:r>
      <w:r>
        <w:rPr/>
        <w:t>L=0.40,P=0.28</w:t>
        <w:tab/>
        <w:t>LB=0.12</w:t>
        <w:br/>
      </w:r>
    </w:p>
    <w:p>
      <w:pPr>
        <w:pStyle w:val="Normal"/>
        <w:rPr/>
      </w:pPr>
      <w:r>
        <w:rPr/>
        <w:t>B.3 Normalization</w:t>
      </w:r>
    </w:p>
    <w:p>
      <w:pPr>
        <w:pStyle w:val="Normal"/>
        <w:rPr/>
      </w:pPr>
      <w:r>
        <w:rPr/>
        <w:t>Applied Interpretation: Normalization allows comparison across domains (lottery vs stocks).</w:t>
      </w:r>
    </w:p>
    <w:p>
      <w:pPr>
        <w:pStyle w:val="Normal"/>
        <w:rPr/>
      </w:pPr>
      <w:r>
        <w:rPr/>
        <w:t>Theoretical Note: Order-isomorphism preserved under any monotone transform with essential bounds.</w:t>
      </w:r>
    </w:p>
    <w:p>
      <w:pPr>
        <w:pStyle w:val="Normal"/>
        <w:rPr/>
      </w:pPr>
      <w:r>
        <w:rPr>
          <w:b/>
        </w:rPr>
        <w:t>Table B.3: Mini-examples</w:t>
        <w:br/>
      </w:r>
      <w:r>
        <w:rPr>
          <w:i/>
        </w:rPr>
        <w:t>Input</w:t>
        <w:tab/>
        <w:t>Output</w:t>
        <w:br/>
      </w:r>
      <w:r>
        <w:rPr/>
        <w:t>L∈{3.52,1.68,0.86}</w:t>
        <w:tab/>
        <w:t>Normalized={1.00,0.477,0.244}</w:t>
        <w:br/>
      </w:r>
    </w:p>
    <w:p>
      <w:pPr>
        <w:pStyle w:val="Normal"/>
        <w:rPr/>
      </w:pPr>
      <w:r>
        <w:rPr/>
        <w:t>B.4 Multiplicative Model</w:t>
      </w:r>
    </w:p>
    <w:p>
      <w:pPr>
        <w:pStyle w:val="Normal"/>
        <w:rPr/>
      </w:pPr>
      <w:r>
        <w:rPr/>
        <w:t>Applied Interpretation: Parameters tune sensitivity to gain (α), uncertainty (β), rarity (γ).</w:t>
      </w:r>
    </w:p>
    <w:p>
      <w:pPr>
        <w:pStyle w:val="Normal"/>
        <w:rPr/>
      </w:pPr>
      <w:r>
        <w:rPr/>
        <w:t>Theoretical Note: Positive parameters ensure monotonicity; log form ensures linearity in log-space.</w:t>
      </w:r>
    </w:p>
    <w:p>
      <w:pPr>
        <w:pStyle w:val="Normal"/>
        <w:rPr/>
      </w:pPr>
      <w:r>
        <w:rPr>
          <w:b/>
        </w:rPr>
        <w:t>Table B.4: Mini-examples</w:t>
        <w:br/>
      </w:r>
      <w:r>
        <w:rPr>
          <w:i/>
        </w:rPr>
        <w:t>Input</w:t>
        <w:tab/>
        <w:t>Output</w:t>
        <w:br/>
      </w:r>
      <w:r>
        <w:rPr/>
        <w:t>(α,β,γ)=(1,1,1),P=0.2,U=1.5,H=1.1</w:t>
        <w:tab/>
        <w:t>L≈1.32</w:t>
        <w:br/>
      </w:r>
    </w:p>
    <w:p>
      <w:pPr>
        <w:pStyle w:val="Normal"/>
        <w:rPr/>
      </w:pPr>
      <w:r>
        <w:rPr/>
        <w:t>B.5 Logistic Model</w:t>
      </w:r>
    </w:p>
    <w:p>
      <w:pPr>
        <w:pStyle w:val="Normal"/>
        <w:rPr/>
      </w:pPr>
      <w:r>
        <w:rPr/>
        <w:t>Applied Interpretation: Maps inputs to [0,1] with interpretable coefficients.</w:t>
      </w:r>
    </w:p>
    <w:p>
      <w:pPr>
        <w:pStyle w:val="Normal"/>
        <w:rPr/>
      </w:pPr>
      <w:r>
        <w:rPr/>
        <w:t>Theoretical Note: Bounded, differentiable; GC/ULLN yields ERM consistency.</w:t>
      </w:r>
    </w:p>
    <w:p>
      <w:pPr>
        <w:pStyle w:val="Normal"/>
        <w:rPr/>
      </w:pPr>
      <w:r>
        <w:rPr>
          <w:b/>
        </w:rPr>
        <w:t>Table B.5: Mini-examples</w:t>
        <w:br/>
      </w:r>
      <w:r>
        <w:rPr>
          <w:i/>
        </w:rPr>
        <w:t>Input</w:t>
        <w:tab/>
        <w:t>Output</w:t>
        <w:br/>
      </w:r>
      <w:r>
        <w:rPr/>
        <w:t>(a,b,c,d)=(1,0.5,0.2,0),U=0.8,H=1.39,S=1.386</w:t>
        <w:tab/>
        <w:t>L≈0.864</w:t>
        <w:br/>
      </w:r>
    </w:p>
    <w:p>
      <w:pPr>
        <w:pStyle w:val="Normal"/>
        <w:rPr/>
      </w:pPr>
      <w:r>
        <w:rPr/>
        <w:t>B.6 Bayesian-adjusted Model</w:t>
      </w:r>
    </w:p>
    <w:p>
      <w:pPr>
        <w:pStyle w:val="Normal"/>
        <w:rPr/>
      </w:pPr>
      <w:r>
        <w:rPr/>
        <w:t>Applied Interpretation: Combines surprisal and uncertainty, weighting unexpected events.</w:t>
      </w:r>
    </w:p>
    <w:p>
      <w:pPr>
        <w:pStyle w:val="Normal"/>
        <w:rPr/>
      </w:pPr>
      <w:r>
        <w:rPr/>
        <w:t>Theoretical Note: As P→1, both H,S→0 so L→0, satisfying axioms.</w:t>
      </w:r>
    </w:p>
    <w:p>
      <w:pPr>
        <w:pStyle w:val="Normal"/>
        <w:rPr/>
      </w:pPr>
      <w:r>
        <w:rPr>
          <w:b/>
        </w:rPr>
        <w:t>Table B.6: Mini-examples</w:t>
        <w:br/>
      </w:r>
      <w:r>
        <w:rPr>
          <w:i/>
        </w:rPr>
        <w:t>Input</w:t>
        <w:tab/>
        <w:t>Output</w:t>
        <w:br/>
      </w:r>
      <w:r>
        <w:rPr/>
        <w:t>(λ=0.7,P=0.2,U=1.5,H=1.1,S=1.609)</w:t>
        <w:tab/>
        <w:t>L≈1.68</w:t>
        <w:br/>
      </w:r>
    </w:p>
    <w:p>
      <w:pPr>
        <w:pStyle w:val="Normal"/>
        <w:rPr/>
      </w:pPr>
      <w:r>
        <w:rPr/>
        <w:t>B.7 Information Collapse</w:t>
      </w:r>
    </w:p>
    <w:p>
      <w:pPr>
        <w:pStyle w:val="Normal"/>
        <w:rPr/>
      </w:pPr>
      <w:r>
        <w:rPr/>
        <w:t>Applied Interpretation: After an event resolves, residual luck vanishes.</w:t>
      </w:r>
    </w:p>
    <w:p>
      <w:pPr>
        <w:pStyle w:val="Normal"/>
        <w:rPr/>
      </w:pPr>
      <w:r>
        <w:rPr/>
        <w:t>Theoretical Note: Doob martingale convergence ensures collapse of uncertainty as H_t,S_t→0.</w:t>
      </w:r>
    </w:p>
    <w:p>
      <w:pPr>
        <w:pStyle w:val="Normal"/>
        <w:rPr/>
      </w:pPr>
      <w:r>
        <w:rPr>
          <w:b/>
        </w:rPr>
        <w:t>Table B.7: Mini-examples</w:t>
        <w:br/>
      </w:r>
      <w:r>
        <w:rPr>
          <w:i/>
        </w:rPr>
        <w:t>Input</w:t>
        <w:tab/>
        <w:t>Output</w:t>
        <w:br/>
      </w:r>
      <w:r>
        <w:rPr/>
        <w:t>Event realized (1_E=1)</w:t>
        <w:tab/>
        <w:t>L_t→0</w:t>
        <w:br/>
      </w:r>
    </w:p>
    <w:p>
      <w:pPr>
        <w:pStyle w:val="Normal"/>
        <w:rPr/>
      </w:pPr>
      <w:r>
        <w:rPr/>
        <w:t>B.8 ERM/M-Estimation Consistency</w:t>
      </w:r>
    </w:p>
    <w:p>
      <w:pPr>
        <w:pStyle w:val="Normal"/>
        <w:rPr/>
      </w:pPr>
      <w:r>
        <w:rPr/>
        <w:t>Applied Interpretation: Train on rolling windows, expect stabilization.</w:t>
      </w:r>
    </w:p>
    <w:p>
      <w:pPr>
        <w:pStyle w:val="Normal"/>
        <w:rPr/>
      </w:pPr>
      <w:r>
        <w:rPr/>
        <w:t>Theoretical Note: Under GC/ULLN, argmin-consistency holds with identifiability.</w:t>
      </w:r>
    </w:p>
    <w:p>
      <w:pPr>
        <w:pStyle w:val="Normal"/>
        <w:rPr/>
      </w:pPr>
      <w:r>
        <w:rPr>
          <w:b/>
        </w:rPr>
        <w:t>Table B.8: Mini-examples</w:t>
        <w:br/>
      </w:r>
      <w:r>
        <w:rPr>
          <w:i/>
        </w:rPr>
        <w:t>Input</w:t>
        <w:tab/>
        <w:t>Output</w:t>
        <w:br/>
      </w:r>
      <w:r>
        <w:rPr/>
        <w:t>Fit (α,β,γ) on 10k games</w:t>
        <w:tab/>
        <w:t>Stable estimates</w:t>
        <w:br/>
      </w:r>
    </w:p>
    <w:p>
      <w:pPr>
        <w:pStyle w:val="Normal"/>
        <w:rPr/>
      </w:pPr>
      <w:r>
        <w:rPr/>
        <w:t>B.9 Lipschitz Stability</w:t>
      </w:r>
    </w:p>
    <w:p>
      <w:pPr>
        <w:pStyle w:val="Normal"/>
        <w:rPr/>
      </w:pPr>
      <w:r>
        <w:rPr/>
        <w:t>Applied Interpretation: Small probability changes shouldn’t cause big L jumps.</w:t>
      </w:r>
    </w:p>
    <w:p>
      <w:pPr>
        <w:pStyle w:val="Normal"/>
        <w:rPr/>
      </w:pPr>
      <w:r>
        <w:rPr/>
        <w:t>Theoretical Note: Ensures error bounds; required for GC/ULLN families.</w:t>
      </w:r>
    </w:p>
    <w:p>
      <w:pPr>
        <w:pStyle w:val="Normal"/>
        <w:rPr/>
      </w:pPr>
      <w:r>
        <w:rPr>
          <w:b/>
        </w:rPr>
        <w:t>Table B.9: Mini-examples</w:t>
        <w:br/>
      </w:r>
      <w:r>
        <w:rPr>
          <w:i/>
        </w:rPr>
        <w:t>Input</w:t>
        <w:tab/>
        <w:t>Output</w:t>
        <w:br/>
      </w:r>
      <w:r>
        <w:rPr/>
        <w:t>ΔP=0.02</w:t>
        <w:tab/>
        <w:t>ΔL ≤0.02·const</w:t>
        <w:br/>
      </w:r>
    </w:p>
    <w:p>
      <w:pPr>
        <w:pStyle w:val="Normal"/>
        <w:rPr/>
      </w:pPr>
      <w:r>
        <w:rPr/>
        <w:t>B.10 Chaotic Extension</w:t>
      </w:r>
    </w:p>
    <w:p>
      <w:pPr>
        <w:pStyle w:val="Normal"/>
        <w:rPr/>
      </w:pPr>
      <w:r>
        <w:rPr/>
        <w:t>Applied Interpretation: Captures sensitivity in chaotic domains (markets, weather).</w:t>
      </w:r>
    </w:p>
    <w:p>
      <w:pPr>
        <w:pStyle w:val="Normal"/>
        <w:rPr/>
      </w:pPr>
      <w:r>
        <w:rPr/>
        <w:t>Theoretical Note: Linked with Lyapunov exponents; sensitive dependence ⇒ derivative growth.</w:t>
      </w:r>
    </w:p>
    <w:p>
      <w:pPr>
        <w:pStyle w:val="Normal"/>
        <w:rPr/>
      </w:pPr>
      <w:r>
        <w:rPr>
          <w:b/>
        </w:rPr>
        <w:t>Table B.10: Mini-examples</w:t>
        <w:br/>
      </w:r>
      <w:r>
        <w:rPr>
          <w:i/>
        </w:rPr>
        <w:t>Input</w:t>
        <w:tab/>
        <w:t>Output</w:t>
        <w:br/>
      </w:r>
      <w:r>
        <w:rPr/>
        <w:t>Δx0 small</w:t>
        <w:tab/>
        <w:t>||∇E[U]|| increases ⇒ larger L_chaos</w:t>
      </w:r>
    </w:p>
    <w:p>
      <w:pPr>
        <w:pStyle w:val="Normal"/>
        <w:rPr/>
      </w:pPr>
      <w:r>
        <w:rPr>
          <w:b/>
          <w:bCs/>
        </w:rPr>
        <w:t xml:space="preserve">Appendix C — Lottery (OPAP Joker): Mechanics, Expected Jackpot Frequency, and Calibration Notes </w:t>
      </w:r>
      <w:r>
        <w:rPr/>
        <w:br/>
      </w:r>
    </w:p>
    <w:p>
      <w:pPr>
        <w:pStyle w:val="Normal"/>
        <w:rPr/>
      </w:pPr>
      <w:r>
        <w:rPr>
          <w:b/>
          <w:sz w:val="28"/>
        </w:rPr>
        <w:t>4.X Lottery (Joker) Case Study – Calibration and Luck Features</w:t>
      </w:r>
    </w:p>
    <w:p>
      <w:pPr>
        <w:pStyle w:val="Normal"/>
        <w:rPr/>
      </w:pPr>
      <w:r>
        <w:rPr/>
        <w:t>We integrate OPAP Joker draws (1997–2024). For 2015–2024 we extract sales per draw (columns_sold) and winners per tier directly from OPAP-format spreadsheets, enabling a ground-truth calibration of the probability that at least one jackpot (5+1) winner occurs.</w:t>
      </w:r>
    </w:p>
    <w:p>
      <w:pPr>
        <w:pStyle w:val="Normal"/>
        <w:rPr/>
      </w:pPr>
      <w:r>
        <w:rPr/>
        <w:t>Using the per-column jackpot probability p⋆=1/(C(45,5)·20) and total sales N, the predicted probability for ≥1 jackpot winner in a draw is  p̂(N)=1−(1−p⋆)^N. We compare p̂ to the observed jackpot frequency across sales deciles. Calibration is strong in the middle deciles; expected deviations at extremes reflect sparse data. These calibrated probabilities define P for the Luck measure; we derive H (Bernoulli entropy) and S (surprisal) per draw. Utility U can be set from tier payouts (e.g., jackpot amount).</w:t>
      </w:r>
    </w:p>
    <w:tbl>
      <w:tblPr>
        <w:tblW w:w="902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14"/>
        <w:gridCol w:w="4513"/>
      </w:tblGrid>
      <w:tr>
        <w:trPr/>
        <w:tc>
          <w:tcPr>
            <w:tcW w:w="4514" w:type="dxa"/>
            <w:tcBorders/>
          </w:tcPr>
          <w:p>
            <w:pPr>
              <w:pStyle w:val="Normal"/>
              <w:widowControl w:val="false"/>
              <w:spacing w:before="0" w:after="200"/>
              <w:rPr/>
            </w:pPr>
            <w:r>
              <w:rPr/>
              <w:t>Metric</w:t>
            </w:r>
          </w:p>
        </w:tc>
        <w:tc>
          <w:tcPr>
            <w:tcW w:w="4513" w:type="dxa"/>
            <w:tcBorders/>
          </w:tcPr>
          <w:p>
            <w:pPr>
              <w:pStyle w:val="Normal"/>
              <w:widowControl w:val="false"/>
              <w:spacing w:before="0" w:after="200"/>
              <w:rPr/>
            </w:pPr>
            <w:r>
              <w:rPr/>
              <w:t>Value</w:t>
            </w:r>
          </w:p>
        </w:tc>
      </w:tr>
      <w:tr>
        <w:trPr/>
        <w:tc>
          <w:tcPr>
            <w:tcW w:w="4514" w:type="dxa"/>
            <w:tcBorders/>
          </w:tcPr>
          <w:p>
            <w:pPr>
              <w:pStyle w:val="Normal"/>
              <w:widowControl w:val="false"/>
              <w:spacing w:before="0" w:after="200"/>
              <w:rPr/>
            </w:pPr>
            <w:r>
              <w:rPr/>
              <w:t>Sample (2015–2024) with sales+winners, N draws</w:t>
            </w:r>
          </w:p>
        </w:tc>
        <w:tc>
          <w:tcPr>
            <w:tcW w:w="4513" w:type="dxa"/>
            <w:tcBorders/>
          </w:tcPr>
          <w:p>
            <w:pPr>
              <w:pStyle w:val="Normal"/>
              <w:widowControl w:val="false"/>
              <w:spacing w:before="0" w:after="200"/>
              <w:rPr/>
            </w:pPr>
            <w:r>
              <w:rPr/>
              <w:t>1144</w:t>
            </w:r>
          </w:p>
        </w:tc>
      </w:tr>
      <w:tr>
        <w:trPr/>
        <w:tc>
          <w:tcPr>
            <w:tcW w:w="4514" w:type="dxa"/>
            <w:tcBorders/>
          </w:tcPr>
          <w:p>
            <w:pPr>
              <w:pStyle w:val="Normal"/>
              <w:widowControl w:val="false"/>
              <w:spacing w:before="0" w:after="200"/>
              <w:rPr/>
            </w:pPr>
            <w:r>
              <w:rPr/>
              <w:t>Brier score (jackpot occurrence)</w:t>
            </w:r>
          </w:p>
        </w:tc>
        <w:tc>
          <w:tcPr>
            <w:tcW w:w="4513" w:type="dxa"/>
            <w:tcBorders/>
          </w:tcPr>
          <w:p>
            <w:pPr>
              <w:pStyle w:val="Normal"/>
              <w:widowControl w:val="false"/>
              <w:spacing w:before="0" w:after="200"/>
              <w:rPr/>
            </w:pPr>
            <w:r>
              <w:rPr/>
              <w:t>0.1038</w:t>
            </w:r>
          </w:p>
        </w:tc>
      </w:tr>
      <w:tr>
        <w:trPr/>
        <w:tc>
          <w:tcPr>
            <w:tcW w:w="4514" w:type="dxa"/>
            <w:tcBorders/>
          </w:tcPr>
          <w:p>
            <w:pPr>
              <w:pStyle w:val="Normal"/>
              <w:widowControl w:val="false"/>
              <w:spacing w:before="0" w:after="200"/>
              <w:rPr/>
            </w:pPr>
            <w:r>
              <w:rPr/>
              <w:t>Log loss (jackpot occurrence)</w:t>
            </w:r>
          </w:p>
        </w:tc>
        <w:tc>
          <w:tcPr>
            <w:tcW w:w="4513" w:type="dxa"/>
            <w:tcBorders/>
          </w:tcPr>
          <w:p>
            <w:pPr>
              <w:pStyle w:val="Normal"/>
              <w:widowControl w:val="false"/>
              <w:spacing w:before="0" w:after="200"/>
              <w:rPr/>
            </w:pPr>
            <w:r>
              <w:rPr/>
              <w:t>0.3540</w:t>
            </w:r>
          </w:p>
        </w:tc>
      </w:tr>
    </w:tbl>
    <w:p>
      <w:pPr>
        <w:pStyle w:val="Normal"/>
        <w:rPr/>
      </w:pPr>
      <w:r>
        <w:rPr/>
      </w:r>
    </w:p>
    <w:p>
      <w:pPr>
        <w:pStyle w:val="Normal"/>
        <w:rPr/>
      </w:pPr>
      <w:r>
        <w:rPr/>
        <w:drawing>
          <wp:inline distT="0" distB="0" distL="114935" distR="114935">
            <wp:extent cx="5303520" cy="17678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03520" cy="1767840"/>
                    </a:xfrm>
                    <a:prstGeom prst="rect">
                      <a:avLst/>
                    </a:prstGeom>
                  </pic:spPr>
                </pic:pic>
              </a:graphicData>
            </a:graphic>
          </wp:inline>
        </w:drawing>
      </w:r>
    </w:p>
    <w:p>
      <w:pPr>
        <w:pStyle w:val="Normal"/>
        <w:rPr/>
      </w:pPr>
      <w:r>
        <w:rPr>
          <w:i/>
        </w:rPr>
        <w:t>Figure X.1 – Joker (5/45) main-number frequency (1997–2014).</w:t>
      </w:r>
    </w:p>
    <w:p>
      <w:pPr>
        <w:pStyle w:val="Normal"/>
        <w:rPr/>
      </w:pPr>
      <w:r>
        <w:rPr/>
      </w:r>
    </w:p>
    <w:p>
      <w:pPr>
        <w:pStyle w:val="Normal"/>
        <w:rPr/>
      </w:pPr>
      <w:r>
        <w:rPr/>
        <w:drawing>
          <wp:inline distT="0" distB="0" distL="114935" distR="114935">
            <wp:extent cx="5303520" cy="265176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303520" cy="2651760"/>
                    </a:xfrm>
                    <a:prstGeom prst="rect">
                      <a:avLst/>
                    </a:prstGeom>
                  </pic:spPr>
                </pic:pic>
              </a:graphicData>
            </a:graphic>
          </wp:inline>
        </w:drawing>
      </w:r>
    </w:p>
    <w:p>
      <w:pPr>
        <w:pStyle w:val="Normal"/>
        <w:rPr/>
      </w:pPr>
      <w:r>
        <w:rPr>
          <w:i/>
        </w:rPr>
        <w:t>Figure X.2 – Joker (1/20) bonus-number frequency (1997–2014).</w:t>
      </w:r>
    </w:p>
    <w:p>
      <w:pPr>
        <w:pStyle w:val="Normal"/>
        <w:rPr/>
      </w:pPr>
      <w:r>
        <w:rPr/>
      </w:r>
    </w:p>
    <w:p>
      <w:pPr>
        <w:pStyle w:val="Normal"/>
        <w:rPr/>
      </w:pPr>
      <w:r>
        <w:rPr/>
        <w:drawing>
          <wp:inline distT="0" distB="0" distL="114935" distR="114935">
            <wp:extent cx="5303520" cy="318198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303520" cy="3181985"/>
                    </a:xfrm>
                    <a:prstGeom prst="rect">
                      <a:avLst/>
                    </a:prstGeom>
                  </pic:spPr>
                </pic:pic>
              </a:graphicData>
            </a:graphic>
          </wp:inline>
        </w:drawing>
      </w:r>
    </w:p>
    <w:p>
      <w:pPr>
        <w:pStyle w:val="Normal"/>
        <w:rPr/>
      </w:pPr>
      <w:r>
        <w:rPr>
          <w:i/>
        </w:rPr>
        <w:t>Figure X.3 – Jackpot calibration vs sales deciles (2015–2024).</w:t>
      </w:r>
    </w:p>
    <w:p>
      <w:pPr>
        <w:pStyle w:val="Normal"/>
        <w:rPr/>
      </w:pPr>
      <w:r>
        <w:rPr/>
      </w:r>
    </w:p>
    <w:p>
      <w:pPr>
        <w:pStyle w:val="Normal"/>
        <w:rPr/>
      </w:pPr>
      <w:r>
        <w:rPr/>
        <w:drawing>
          <wp:inline distT="0" distB="0" distL="114935" distR="114935">
            <wp:extent cx="5303520" cy="31819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303520" cy="3181985"/>
                    </a:xfrm>
                    <a:prstGeom prst="rect">
                      <a:avLst/>
                    </a:prstGeom>
                  </pic:spPr>
                </pic:pic>
              </a:graphicData>
            </a:graphic>
          </wp:inline>
        </w:drawing>
      </w:r>
    </w:p>
    <w:p>
      <w:pPr>
        <w:pStyle w:val="Normal"/>
        <w:rPr/>
      </w:pPr>
      <w:r>
        <w:rPr>
          <w:i/>
        </w:rPr>
        <w:t>Figure X.4 – Distribution of rollover streaks (2015–2024).</w:t>
      </w:r>
    </w:p>
    <w:p>
      <w:pPr>
        <w:pStyle w:val="Normal"/>
        <w:rPr/>
      </w:pPr>
      <w:r>
        <w:rPr/>
        <w:t>These results certify a calibrated P for ≥1 jackpot winner. In Section 2 we proved that, under GC/ULLN and Lipschitz conditions, the ERM estimator for Lθ is consistent; here we instantiate P,H,S from lottery physics and set U from observed payouts, enabling out-of-sample evaluation of multiplicative and logistic Luck models with proper scores (Brier/log loss) and decision utility.</w:t>
      </w:r>
    </w:p>
    <w:p>
      <w:pPr>
        <w:pStyle w:val="Normal"/>
        <w:rPr/>
      </w:pPr>
      <w:r>
        <w:rPr>
          <w:b/>
        </w:rPr>
        <w:t>4.X.1 ERM with Tier Payouts (Utility U)</w:t>
      </w:r>
    </w:p>
    <w:p>
      <w:pPr>
        <w:pStyle w:val="Normal"/>
        <w:rPr/>
      </w:pPr>
      <w:r>
        <w:rPr/>
        <w:t>We enrich the feature set with per-tier dividents from OPAP spreadsheets (2015–2024). Utility is defined as the total euro payout across tiers per draw, U_total = Σ_t winners_t × divident_t. We transform U with log1p(·/1e6) for numerical stability. A logistic Lθ model using [U_tot_m, H, S, 1−P] is trained on 2015–2019 and evaluated on 2020–2024.</w:t>
      </w:r>
    </w:p>
    <w:tbl>
      <w:tblPr>
        <w:tblW w:w="90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10"/>
        <w:gridCol w:w="3010"/>
        <w:gridCol w:w="3010"/>
      </w:tblGrid>
      <w:tr>
        <w:trPr/>
        <w:tc>
          <w:tcPr>
            <w:tcW w:w="3010" w:type="dxa"/>
            <w:tcBorders/>
          </w:tcPr>
          <w:p>
            <w:pPr>
              <w:pStyle w:val="Normal"/>
              <w:widowControl w:val="false"/>
              <w:spacing w:before="0" w:after="200"/>
              <w:rPr/>
            </w:pPr>
            <w:r>
              <w:rPr/>
              <w:t>Model</w:t>
            </w:r>
          </w:p>
        </w:tc>
        <w:tc>
          <w:tcPr>
            <w:tcW w:w="3010" w:type="dxa"/>
            <w:tcBorders/>
          </w:tcPr>
          <w:p>
            <w:pPr>
              <w:pStyle w:val="Normal"/>
              <w:widowControl w:val="false"/>
              <w:spacing w:before="0" w:after="200"/>
              <w:rPr/>
            </w:pPr>
            <w:r>
              <w:rPr/>
              <w:t>Brier (↓)</w:t>
            </w:r>
          </w:p>
        </w:tc>
        <w:tc>
          <w:tcPr>
            <w:tcW w:w="3010" w:type="dxa"/>
            <w:tcBorders/>
          </w:tcPr>
          <w:p>
            <w:pPr>
              <w:pStyle w:val="Normal"/>
              <w:widowControl w:val="false"/>
              <w:spacing w:before="0" w:after="200"/>
              <w:rPr/>
            </w:pPr>
            <w:r>
              <w:rPr/>
              <w:t>Log loss (↓)</w:t>
            </w:r>
          </w:p>
        </w:tc>
      </w:tr>
      <w:tr>
        <w:trPr/>
        <w:tc>
          <w:tcPr>
            <w:tcW w:w="3010" w:type="dxa"/>
            <w:tcBorders/>
          </w:tcPr>
          <w:p>
            <w:pPr>
              <w:pStyle w:val="Normal"/>
              <w:widowControl w:val="false"/>
              <w:spacing w:before="0" w:after="200"/>
              <w:rPr/>
            </w:pPr>
            <w:r>
              <w:rPr/>
              <w:t>Baseline p̂(N)</w:t>
            </w:r>
          </w:p>
        </w:tc>
        <w:tc>
          <w:tcPr>
            <w:tcW w:w="3010" w:type="dxa"/>
            <w:tcBorders/>
          </w:tcPr>
          <w:p>
            <w:pPr>
              <w:pStyle w:val="Normal"/>
              <w:widowControl w:val="false"/>
              <w:spacing w:before="0" w:after="200"/>
              <w:rPr/>
            </w:pPr>
            <w:r>
              <w:rPr/>
              <w:t>0.0859</w:t>
            </w:r>
          </w:p>
        </w:tc>
        <w:tc>
          <w:tcPr>
            <w:tcW w:w="3010" w:type="dxa"/>
            <w:tcBorders/>
          </w:tcPr>
          <w:p>
            <w:pPr>
              <w:pStyle w:val="Normal"/>
              <w:widowControl w:val="false"/>
              <w:spacing w:before="0" w:after="200"/>
              <w:rPr/>
            </w:pPr>
            <w:r>
              <w:rPr/>
              <w:t>0.3074</w:t>
            </w:r>
          </w:p>
        </w:tc>
      </w:tr>
      <w:tr>
        <w:trPr/>
        <w:tc>
          <w:tcPr>
            <w:tcW w:w="3010" w:type="dxa"/>
            <w:tcBorders/>
          </w:tcPr>
          <w:p>
            <w:pPr>
              <w:pStyle w:val="Normal"/>
              <w:widowControl w:val="false"/>
              <w:spacing w:before="0" w:after="200"/>
              <w:rPr/>
            </w:pPr>
            <w:r>
              <w:rPr/>
              <w:t>No-U (H,S,1−P)</w:t>
            </w:r>
          </w:p>
        </w:tc>
        <w:tc>
          <w:tcPr>
            <w:tcW w:w="3010" w:type="dxa"/>
            <w:tcBorders/>
          </w:tcPr>
          <w:p>
            <w:pPr>
              <w:pStyle w:val="Normal"/>
              <w:widowControl w:val="false"/>
              <w:spacing w:before="0" w:after="200"/>
              <w:rPr/>
            </w:pPr>
            <w:r>
              <w:rPr/>
              <w:t>0.0866</w:t>
            </w:r>
          </w:p>
        </w:tc>
        <w:tc>
          <w:tcPr>
            <w:tcW w:w="3010" w:type="dxa"/>
            <w:tcBorders/>
          </w:tcPr>
          <w:p>
            <w:pPr>
              <w:pStyle w:val="Normal"/>
              <w:widowControl w:val="false"/>
              <w:spacing w:before="0" w:after="200"/>
              <w:rPr/>
            </w:pPr>
            <w:r>
              <w:rPr/>
              <w:t>0.3088</w:t>
            </w:r>
          </w:p>
        </w:tc>
      </w:tr>
      <w:tr>
        <w:trPr/>
        <w:tc>
          <w:tcPr>
            <w:tcW w:w="3010" w:type="dxa"/>
            <w:tcBorders/>
          </w:tcPr>
          <w:p>
            <w:pPr>
              <w:pStyle w:val="Normal"/>
              <w:widowControl w:val="false"/>
              <w:spacing w:before="0" w:after="200"/>
              <w:rPr/>
            </w:pPr>
            <w:r>
              <w:rPr/>
              <w:t>Lθ (U,H,S,1−P)</w:t>
            </w:r>
          </w:p>
        </w:tc>
        <w:tc>
          <w:tcPr>
            <w:tcW w:w="3010" w:type="dxa"/>
            <w:tcBorders/>
          </w:tcPr>
          <w:p>
            <w:pPr>
              <w:pStyle w:val="Normal"/>
              <w:widowControl w:val="false"/>
              <w:spacing w:before="0" w:after="200"/>
              <w:rPr/>
            </w:pPr>
            <w:r>
              <w:rPr/>
              <w:t>0.0609</w:t>
            </w:r>
          </w:p>
        </w:tc>
        <w:tc>
          <w:tcPr>
            <w:tcW w:w="3010" w:type="dxa"/>
            <w:tcBorders/>
          </w:tcPr>
          <w:p>
            <w:pPr>
              <w:pStyle w:val="Normal"/>
              <w:widowControl w:val="false"/>
              <w:spacing w:before="0" w:after="200"/>
              <w:rPr/>
            </w:pPr>
            <w:r>
              <w:rPr/>
              <w:t>0.2136</w:t>
            </w:r>
          </w:p>
        </w:tc>
      </w:tr>
    </w:tbl>
    <w:p>
      <w:pPr>
        <w:pStyle w:val="Normal"/>
        <w:rPr/>
      </w:pPr>
      <w:r>
        <w:rPr/>
        <w:t>Estimated coefficients on the test configuration (signs match intuition): U_tot_m=6.55 (+), H=-0.80 (−), S=3.21 (+), 1−P=0.74 (+), intercept=-12.23.</w:t>
      </w:r>
    </w:p>
    <w:p>
      <w:pPr>
        <w:pStyle w:val="Normal"/>
        <w:rPr/>
      </w:pPr>
      <w:r>
        <w:rPr/>
      </w:r>
    </w:p>
    <w:p>
      <w:pPr>
        <w:pStyle w:val="Normal"/>
        <w:rPr/>
      </w:pPr>
      <w:r>
        <w:rPr/>
        <w:drawing>
          <wp:inline distT="0" distB="0" distL="114935" distR="114935">
            <wp:extent cx="5303520" cy="44196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303520" cy="4419600"/>
                    </a:xfrm>
                    <a:prstGeom prst="rect">
                      <a:avLst/>
                    </a:prstGeom>
                  </pic:spPr>
                </pic:pic>
              </a:graphicData>
            </a:graphic>
          </wp:inline>
        </w:drawing>
      </w:r>
    </w:p>
    <w:p>
      <w:pPr>
        <w:pStyle w:val="Normal"/>
        <w:rPr/>
      </w:pPr>
      <w:r>
        <w:rPr>
          <w:i/>
        </w:rPr>
        <w:t>Figure X.5 – Reliability: baseline vs No-U vs Lθ (2020–2024).</w:t>
      </w:r>
    </w:p>
    <w:p>
      <w:pPr>
        <w:pStyle w:val="Normal"/>
        <w:rPr/>
      </w:pPr>
      <w:r>
        <w:rPr/>
      </w:r>
    </w:p>
    <w:p>
      <w:pPr>
        <w:pStyle w:val="Normal"/>
        <w:rPr/>
      </w:pPr>
      <w:r>
        <w:rPr/>
        <w:drawing>
          <wp:inline distT="0" distB="0" distL="114935" distR="114935">
            <wp:extent cx="5303520" cy="318198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303520" cy="3181985"/>
                    </a:xfrm>
                    <a:prstGeom prst="rect">
                      <a:avLst/>
                    </a:prstGeom>
                  </pic:spPr>
                </pic:pic>
              </a:graphicData>
            </a:graphic>
          </wp:inline>
        </w:drawing>
      </w:r>
    </w:p>
    <w:p>
      <w:pPr>
        <w:pStyle w:val="Normal"/>
        <w:rPr/>
      </w:pPr>
      <w:r>
        <w:rPr>
          <w:i/>
        </w:rPr>
        <w:t>Figure X.6 – Brier scores (test 2020–2024).</w:t>
      </w:r>
    </w:p>
    <w:p>
      <w:pPr>
        <w:pStyle w:val="Normal"/>
        <w:rPr/>
      </w:pPr>
      <w:r>
        <w:rPr/>
      </w:r>
    </w:p>
    <w:p>
      <w:pPr>
        <w:pStyle w:val="Normal"/>
        <w:rPr/>
      </w:pPr>
      <w:r>
        <w:rPr/>
        <w:drawing>
          <wp:inline distT="0" distB="0" distL="114935" distR="114935">
            <wp:extent cx="5303520" cy="318198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303520" cy="3181985"/>
                    </a:xfrm>
                    <a:prstGeom prst="rect">
                      <a:avLst/>
                    </a:prstGeom>
                  </pic:spPr>
                </pic:pic>
              </a:graphicData>
            </a:graphic>
          </wp:inline>
        </w:drawing>
      </w:r>
    </w:p>
    <w:p>
      <w:pPr>
        <w:pStyle w:val="Normal"/>
        <w:rPr/>
      </w:pPr>
      <w:r>
        <w:rPr>
          <w:i/>
        </w:rPr>
        <w:t>Figure X.7 – Log loss (test 2020–2024).</w:t>
      </w:r>
    </w:p>
    <w:p>
      <w:pPr>
        <w:pStyle w:val="Normal"/>
        <w:rPr/>
      </w:pPr>
      <w:r>
        <w:rPr/>
        <w:t>Result: Lθ with U markedly improves proper scores versus probabilistic baseline p̂(N), and ablation confirms U’s contribution; without U, metrics revert to baseline. This supports the claim that utility-aware luck captures decision relevance beyond rarity/surprisal alone.</w:t>
      </w:r>
    </w:p>
    <w:p>
      <w:pPr>
        <w:pStyle w:val="Normal"/>
        <w:rPr/>
      </w:pPr>
      <w:r>
        <w:rPr>
          <w:b/>
          <w:sz w:val="24"/>
        </w:rPr>
        <w:t>4.X.2 Methods – OPAP Data Enrichment &amp; ERM Setup</w:t>
      </w:r>
    </w:p>
    <w:p>
      <w:pPr>
        <w:pStyle w:val="Normal"/>
        <w:rPr/>
      </w:pPr>
      <w:r>
        <w:rPr/>
        <w:t>Data sources: We parse OPAP Joker spreadsheets (2015–2024) using a robust two-row header layout that pairs winners and dividents (ΚΕΡΔΗ) for each tier. We extract per-draw sales (columns_sold), winners per tier, and per-winner dividents. For 1997–2014, we ingest draw IDs, dates, and numbers, and join them into a unified dataset.</w:t>
      </w:r>
    </w:p>
    <w:p>
      <w:pPr>
        <w:pStyle w:val="Normal"/>
        <w:rPr/>
      </w:pPr>
      <w:r>
        <w:rPr/>
        <w:t>Probability model: With Ω = C(45,5) × 20 outcomes per column and p⋆ = 1/Ω for the 5+1 hit, the predicted probability of ≥1 jackpot winner given N sold columns is p̂(N) = 1 − (1 − p⋆)^N. This provides the calibrated P per draw. We derive H(P) = −P log P − (1−P) log(1−P) and surprisal S = −log P.</w:t>
      </w:r>
    </w:p>
    <w:p>
      <w:pPr>
        <w:pStyle w:val="Normal"/>
        <w:rPr/>
      </w:pPr>
      <w:r>
        <w:rPr/>
        <w:t>Utility: We compute U_total = Σ_t winners_t × divident_t across tiers (per draw), and use U_tot_m = log1p(U_total / 10^6) as a stabilized feature. ERM: We fit a logistic Lθ on training years (2015–2019) over features [U_tot_m, H, S, 1−P] and evaluate on 2020–2024 with Brier/log-loss and reliability plots; ablations remove U to test contribution.</w:t>
      </w:r>
    </w:p>
    <w:p>
      <w:pPr>
        <w:pStyle w:val="Normal"/>
        <w:rPr/>
      </w:pPr>
      <w:r>
        <w:rPr>
          <w:b/>
        </w:rPr>
        <w:t>Data &amp; Reproducibility</w:t>
      </w:r>
    </w:p>
    <w:p>
      <w:pPr>
        <w:pStyle w:val="Normal"/>
        <w:rPr/>
      </w:pPr>
      <w:r>
        <w:rPr/>
        <w:t>We supply an enriched CSV (1997–2024) combining draws, sales, winners, and dividents, along with calibration and ERM evaluation plots. Results are reproducible by re-running the exact parsing and ERM steps.</w:t>
      </w:r>
    </w:p>
    <w:tbl>
      <w:tblPr>
        <w:tblW w:w="902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14"/>
        <w:gridCol w:w="4513"/>
      </w:tblGrid>
      <w:tr>
        <w:trPr/>
        <w:tc>
          <w:tcPr>
            <w:tcW w:w="4514" w:type="dxa"/>
            <w:tcBorders/>
          </w:tcPr>
          <w:p>
            <w:pPr>
              <w:pStyle w:val="Normal"/>
              <w:widowControl w:val="false"/>
              <w:spacing w:before="0" w:after="200"/>
              <w:rPr/>
            </w:pPr>
            <w:r>
              <w:rPr/>
              <w:t>Artifact</w:t>
            </w:r>
          </w:p>
        </w:tc>
        <w:tc>
          <w:tcPr>
            <w:tcW w:w="4513" w:type="dxa"/>
            <w:tcBorders/>
          </w:tcPr>
          <w:p>
            <w:pPr>
              <w:pStyle w:val="Normal"/>
              <w:widowControl w:val="false"/>
              <w:spacing w:before="0" w:after="200"/>
              <w:rPr/>
            </w:pPr>
            <w:r>
              <w:rPr/>
              <w:t>Path</w:t>
            </w:r>
          </w:p>
        </w:tc>
      </w:tr>
      <w:tr>
        <w:trPr/>
        <w:tc>
          <w:tcPr>
            <w:tcW w:w="4514" w:type="dxa"/>
            <w:tcBorders/>
          </w:tcPr>
          <w:p>
            <w:pPr>
              <w:pStyle w:val="Normal"/>
              <w:widowControl w:val="false"/>
              <w:spacing w:before="0" w:after="200"/>
              <w:rPr/>
            </w:pPr>
            <w:r>
              <w:rPr/>
              <w:t>Enriched dataset (1997–2024)</w:t>
            </w:r>
          </w:p>
        </w:tc>
        <w:tc>
          <w:tcPr>
            <w:tcW w:w="4513" w:type="dxa"/>
            <w:tcBorders/>
          </w:tcPr>
          <w:p>
            <w:pPr>
              <w:pStyle w:val="Normal"/>
              <w:widowControl w:val="false"/>
              <w:spacing w:before="0" w:after="200"/>
              <w:rPr/>
            </w:pPr>
            <w:r>
              <w:rPr/>
              <w:t>/mnt/data/joker_1997_2024_rich.csv</w:t>
            </w:r>
          </w:p>
        </w:tc>
      </w:tr>
      <w:tr>
        <w:trPr/>
        <w:tc>
          <w:tcPr>
            <w:tcW w:w="4514" w:type="dxa"/>
            <w:tcBorders/>
          </w:tcPr>
          <w:p>
            <w:pPr>
              <w:pStyle w:val="Normal"/>
              <w:widowControl w:val="false"/>
              <w:spacing w:before="0" w:after="200"/>
              <w:rPr/>
            </w:pPr>
            <w:r>
              <w:rPr/>
              <w:t>Reliability comparison (2020–2024)</w:t>
            </w:r>
          </w:p>
        </w:tc>
        <w:tc>
          <w:tcPr>
            <w:tcW w:w="4513" w:type="dxa"/>
            <w:tcBorders/>
          </w:tcPr>
          <w:p>
            <w:pPr>
              <w:pStyle w:val="Normal"/>
              <w:widowControl w:val="false"/>
              <w:spacing w:before="0" w:after="200"/>
              <w:rPr/>
            </w:pPr>
            <w:r>
              <w:rPr/>
              <w:t>/mnt/data/joker_reliability_comparison_2020_2024.png</w:t>
            </w:r>
          </w:p>
        </w:tc>
      </w:tr>
      <w:tr>
        <w:trPr/>
        <w:tc>
          <w:tcPr>
            <w:tcW w:w="4514" w:type="dxa"/>
            <w:tcBorders/>
          </w:tcPr>
          <w:p>
            <w:pPr>
              <w:pStyle w:val="Normal"/>
              <w:widowControl w:val="false"/>
              <w:spacing w:before="0" w:after="200"/>
              <w:rPr/>
            </w:pPr>
            <w:r>
              <w:rPr/>
              <w:t>Brier bars</w:t>
            </w:r>
          </w:p>
        </w:tc>
        <w:tc>
          <w:tcPr>
            <w:tcW w:w="4513" w:type="dxa"/>
            <w:tcBorders/>
          </w:tcPr>
          <w:p>
            <w:pPr>
              <w:pStyle w:val="Normal"/>
              <w:widowControl w:val="false"/>
              <w:spacing w:before="0" w:after="200"/>
              <w:rPr/>
            </w:pPr>
            <w:r>
              <w:rPr/>
              <w:t>/mnt/data/joker_brier_bars.png</w:t>
            </w:r>
          </w:p>
        </w:tc>
      </w:tr>
      <w:tr>
        <w:trPr/>
        <w:tc>
          <w:tcPr>
            <w:tcW w:w="4514" w:type="dxa"/>
            <w:tcBorders/>
          </w:tcPr>
          <w:p>
            <w:pPr>
              <w:pStyle w:val="Normal"/>
              <w:widowControl w:val="false"/>
              <w:spacing w:before="0" w:after="200"/>
              <w:rPr/>
            </w:pPr>
            <w:r>
              <w:rPr/>
              <w:t>Log-loss bars</w:t>
            </w:r>
          </w:p>
        </w:tc>
        <w:tc>
          <w:tcPr>
            <w:tcW w:w="4513" w:type="dxa"/>
            <w:tcBorders/>
          </w:tcPr>
          <w:p>
            <w:pPr>
              <w:pStyle w:val="Normal"/>
              <w:widowControl w:val="false"/>
              <w:spacing w:before="0" w:after="200"/>
              <w:rPr/>
            </w:pPr>
            <w:r>
              <w:rPr/>
              <w:t>/mnt/data/joker_logloss_bars.png</w:t>
            </w:r>
          </w:p>
        </w:tc>
      </w:tr>
    </w:tbl>
    <w:p>
      <w:pPr>
        <w:pStyle w:val="Normal"/>
        <w:rPr/>
      </w:pPr>
      <w:r>
        <w:rPr>
          <w:b/>
          <w:sz w:val="24"/>
        </w:rPr>
        <w:t>4.X.3 Limitations &amp; Future Work</w:t>
      </w:r>
    </w:p>
    <w:p>
      <w:pPr>
        <w:pStyle w:val="Normal"/>
        <w:rPr/>
      </w:pPr>
      <w:r>
        <w:rPr/>
        <w:t>Limitations — Our calibration relies on OPAP-reported sales per draw; missing values or reporting errors can bias the estimator p̂(N). Seasonal demand and jackpot-advertising shocks shift the distribution of columns_sold (covariate shift); decile-wise calibration mitigates but does not eliminate the effect. We assume a constant single-column jackpot probability p⋆ under fixed game rules (5/45, 1/20); rule changes would require updating. Utility U was instantiated as aggregate euro payout per draw; alternative U definitions (e.g., player-level expected utility with risk aversion, per-euro return, tier-weighted utilities, or inclusion of costs) may better reflect specific decision contexts. The logistic Lθ head is parametric and may underfit local nonlinearities; more flexible yet regularized classes (e.g., isotonic regression, monotone GBMs) are a natural extension. Finally, uncertainty on Brier/log-loss deltas was assessed out of sample; bootstrap or block-bootstrap over time could tighten confidence intervals and quantify drift.</w:t>
      </w:r>
    </w:p>
    <w:p>
      <w:pPr>
        <w:pStyle w:val="Normal"/>
        <w:rPr/>
      </w:pPr>
      <w:r>
        <w:rPr/>
        <w:t>Future Work — Extend to 2025+ via the live OPAP API; add covariates (advertising intensity, rollover size, day-of-week/seasonality) to explain sales-driven shifts; incorporate ROI-aware decision analysis with explicit costs; test alternative proper scores; and develop a Bayesian hierarchical formulation that links U,H,S and demand dynamics while enforcing the axioms (normalization, information collapse, Lipschitz stability).</w:t>
      </w:r>
    </w:p>
    <w:p>
      <w:pPr>
        <w:pStyle w:val="Normal"/>
        <w:rPr>
          <w:b/>
          <w:b/>
          <w:bCs/>
        </w:rPr>
      </w:pPr>
      <w:r>
        <w:rPr>
          <w:b/>
          <w:bCs/>
        </w:rPr>
        <w:t xml:space="preserve">Appendix D — Online Slots: Starburst (Low-Vol) vs Book of Dead (High-Vol) </w:t>
      </w:r>
    </w:p>
    <w:p>
      <w:pPr>
        <w:pStyle w:val="Normal"/>
        <w:rPr/>
      </w:pPr>
      <w:r>
        <w:rPr>
          <w:b/>
          <w:sz w:val="28"/>
        </w:rPr>
        <w:t>Online Slots – Low vs High Volatility: Starburst vs Book of Dead</w:t>
      </w:r>
    </w:p>
    <w:p>
      <w:pPr>
        <w:pStyle w:val="Normal"/>
        <w:rPr/>
      </w:pPr>
      <w:r>
        <w:rPr/>
        <w:t>We construct RTP- and hit-frequency–calibrated surrogates for two iconic titles: Starburst (NetEnt, low volatility) and Book of Dead (Play’n GO, high volatility). We then simulate ROI distributions, risk-of-ruin curves, and show payout mass functions.</w:t>
      </w:r>
    </w:p>
    <w:tbl>
      <w:tblPr>
        <w:tblW w:w="86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320"/>
        <w:gridCol w:w="4319"/>
      </w:tblGrid>
      <w:tr>
        <w:trPr/>
        <w:tc>
          <w:tcPr>
            <w:tcW w:w="4320" w:type="dxa"/>
            <w:tcBorders/>
          </w:tcPr>
          <w:p>
            <w:pPr>
              <w:pStyle w:val="Normal"/>
              <w:widowControl w:val="false"/>
              <w:spacing w:before="0" w:after="200"/>
              <w:rPr/>
            </w:pPr>
            <w:r>
              <w:rPr/>
              <w:t>Metric</w:t>
            </w:r>
          </w:p>
        </w:tc>
        <w:tc>
          <w:tcPr>
            <w:tcW w:w="4319" w:type="dxa"/>
            <w:tcBorders/>
          </w:tcPr>
          <w:p>
            <w:pPr>
              <w:pStyle w:val="Normal"/>
              <w:widowControl w:val="false"/>
              <w:spacing w:before="0" w:after="200"/>
              <w:rPr/>
            </w:pPr>
            <w:r>
              <w:rPr/>
              <w:t>Value</w:t>
            </w:r>
          </w:p>
        </w:tc>
      </w:tr>
      <w:tr>
        <w:trPr/>
        <w:tc>
          <w:tcPr>
            <w:tcW w:w="4320" w:type="dxa"/>
            <w:tcBorders/>
          </w:tcPr>
          <w:p>
            <w:pPr>
              <w:pStyle w:val="Normal"/>
              <w:widowControl w:val="false"/>
              <w:spacing w:before="0" w:after="200"/>
              <w:rPr/>
            </w:pPr>
            <w:r>
              <w:rPr/>
              <w:t>Starburst-like RTP</w:t>
            </w:r>
          </w:p>
        </w:tc>
        <w:tc>
          <w:tcPr>
            <w:tcW w:w="4319" w:type="dxa"/>
            <w:tcBorders/>
          </w:tcPr>
          <w:p>
            <w:pPr>
              <w:pStyle w:val="Normal"/>
              <w:widowControl w:val="false"/>
              <w:spacing w:before="0" w:after="200"/>
              <w:rPr/>
            </w:pPr>
            <w:r>
              <w:rPr/>
              <w:t>0.9609</w:t>
            </w:r>
          </w:p>
        </w:tc>
      </w:tr>
      <w:tr>
        <w:trPr/>
        <w:tc>
          <w:tcPr>
            <w:tcW w:w="4320" w:type="dxa"/>
            <w:tcBorders/>
          </w:tcPr>
          <w:p>
            <w:pPr>
              <w:pStyle w:val="Normal"/>
              <w:widowControl w:val="false"/>
              <w:spacing w:before="0" w:after="200"/>
              <w:rPr/>
            </w:pPr>
            <w:r>
              <w:rPr/>
              <w:t>Starburst-like hit frequency</w:t>
            </w:r>
          </w:p>
        </w:tc>
        <w:tc>
          <w:tcPr>
            <w:tcW w:w="4319" w:type="dxa"/>
            <w:tcBorders/>
          </w:tcPr>
          <w:p>
            <w:pPr>
              <w:pStyle w:val="Normal"/>
              <w:widowControl w:val="false"/>
              <w:spacing w:before="0" w:after="200"/>
              <w:rPr/>
            </w:pPr>
            <w:r>
              <w:rPr/>
              <w:t>0.226</w:t>
            </w:r>
          </w:p>
        </w:tc>
      </w:tr>
      <w:tr>
        <w:trPr/>
        <w:tc>
          <w:tcPr>
            <w:tcW w:w="4320" w:type="dxa"/>
            <w:tcBorders/>
          </w:tcPr>
          <w:p>
            <w:pPr>
              <w:pStyle w:val="Normal"/>
              <w:widowControl w:val="false"/>
              <w:spacing w:before="0" w:after="200"/>
              <w:rPr/>
            </w:pPr>
            <w:r>
              <w:rPr/>
              <w:t>ROI median (20k spins)</w:t>
            </w:r>
          </w:p>
        </w:tc>
        <w:tc>
          <w:tcPr>
            <w:tcW w:w="4319" w:type="dxa"/>
            <w:tcBorders/>
          </w:tcPr>
          <w:p>
            <w:pPr>
              <w:pStyle w:val="Normal"/>
              <w:widowControl w:val="false"/>
              <w:spacing w:before="0" w:after="200"/>
              <w:rPr/>
            </w:pPr>
            <w:r>
              <w:rPr/>
              <w:t>-0.041</w:t>
            </w:r>
          </w:p>
        </w:tc>
      </w:tr>
      <w:tr>
        <w:trPr/>
        <w:tc>
          <w:tcPr>
            <w:tcW w:w="4320" w:type="dxa"/>
            <w:tcBorders/>
          </w:tcPr>
          <w:p>
            <w:pPr>
              <w:pStyle w:val="Normal"/>
              <w:widowControl w:val="false"/>
              <w:spacing w:before="0" w:after="200"/>
              <w:rPr/>
            </w:pPr>
            <w:r>
              <w:rPr/>
              <w:t>Ruin @10k spins (B=1000)</w:t>
            </w:r>
          </w:p>
        </w:tc>
        <w:tc>
          <w:tcPr>
            <w:tcW w:w="4319" w:type="dxa"/>
            <w:tcBorders/>
          </w:tcPr>
          <w:p>
            <w:pPr>
              <w:pStyle w:val="Normal"/>
              <w:widowControl w:val="false"/>
              <w:spacing w:before="0" w:after="200"/>
              <w:rPr/>
            </w:pPr>
            <w:r>
              <w:rPr/>
              <w:t>0.048</w:t>
            </w:r>
          </w:p>
        </w:tc>
      </w:tr>
      <w:tr>
        <w:trPr/>
        <w:tc>
          <w:tcPr>
            <w:tcW w:w="4320" w:type="dxa"/>
            <w:tcBorders/>
          </w:tcPr>
          <w:p>
            <w:pPr>
              <w:pStyle w:val="Normal"/>
              <w:widowControl w:val="false"/>
              <w:spacing w:before="0" w:after="200"/>
              <w:rPr/>
            </w:pPr>
            <w:r>
              <w:rPr/>
              <w:t>Risk of ruin: B=1000, b=1, T=10k</w:t>
            </w:r>
          </w:p>
        </w:tc>
        <w:tc>
          <w:tcPr>
            <w:tcW w:w="4319" w:type="dxa"/>
            <w:tcBorders/>
          </w:tcPr>
          <w:p>
            <w:pPr>
              <w:pStyle w:val="Normal"/>
              <w:widowControl w:val="false"/>
              <w:spacing w:before="0" w:after="200"/>
              <w:rPr/>
            </w:pPr>
            <w:r>
              <w:rPr/>
              <w:t>0.031</w:t>
            </w:r>
          </w:p>
        </w:tc>
      </w:tr>
      <w:tr>
        <w:trPr/>
        <w:tc>
          <w:tcPr>
            <w:tcW w:w="4320" w:type="dxa"/>
            <w:tcBorders/>
          </w:tcPr>
          <w:p>
            <w:pPr>
              <w:pStyle w:val="Normal"/>
              <w:widowControl w:val="false"/>
              <w:spacing w:before="0" w:after="200"/>
              <w:rPr/>
            </w:pPr>
            <w:r>
              <w:rPr/>
              <w:t>Risk of ruin: B=2000, b=1, T=10k</w:t>
            </w:r>
          </w:p>
        </w:tc>
        <w:tc>
          <w:tcPr>
            <w:tcW w:w="4319" w:type="dxa"/>
            <w:tcBorders/>
          </w:tcPr>
          <w:p>
            <w:pPr>
              <w:pStyle w:val="Normal"/>
              <w:widowControl w:val="false"/>
              <w:spacing w:before="0" w:after="200"/>
              <w:rPr/>
            </w:pPr>
            <w:r>
              <w:rPr/>
              <w:t>0.000</w:t>
            </w:r>
          </w:p>
        </w:tc>
      </w:tr>
      <w:tr>
        <w:trPr/>
        <w:tc>
          <w:tcPr>
            <w:tcW w:w="4320" w:type="dxa"/>
            <w:tcBorders/>
          </w:tcPr>
          <w:p>
            <w:pPr>
              <w:pStyle w:val="Normal"/>
              <w:widowControl w:val="false"/>
              <w:spacing w:before="0" w:after="200"/>
              <w:rPr/>
            </w:pPr>
            <w:r>
              <w:rPr/>
              <w:t>Risk of ruin: B=1000, b=1, T=50k</w:t>
            </w:r>
          </w:p>
        </w:tc>
        <w:tc>
          <w:tcPr>
            <w:tcW w:w="4319" w:type="dxa"/>
            <w:tcBorders/>
          </w:tcPr>
          <w:p>
            <w:pPr>
              <w:pStyle w:val="Normal"/>
              <w:widowControl w:val="false"/>
              <w:spacing w:before="0" w:after="200"/>
              <w:rPr/>
            </w:pPr>
            <w:r>
              <w:rPr/>
              <w:t>0.940</w:t>
            </w:r>
          </w:p>
        </w:tc>
      </w:tr>
    </w:tbl>
    <w:p>
      <w:pPr>
        <w:pStyle w:val="Normal"/>
        <w:rPr/>
      </w:pPr>
      <w:r>
        <w:rPr/>
      </w:r>
    </w:p>
    <w:p>
      <w:pPr>
        <w:pStyle w:val="Normal"/>
        <w:rPr/>
      </w:pPr>
      <w:r>
        <w:rPr/>
        <w:drawing>
          <wp:inline distT="0" distB="0" distL="114935" distR="114935">
            <wp:extent cx="5303520" cy="3535680"/>
            <wp:effectExtent l="0" t="0" r="0" b="0"/>
            <wp:docPr id="8" name="Εικόνα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1" descr=""/>
                    <pic:cNvPicPr>
                      <a:picLocks noChangeAspect="1" noChangeArrowheads="1"/>
                    </pic:cNvPicPr>
                  </pic:nvPicPr>
                  <pic:blipFill>
                    <a:blip r:embed="rId9"/>
                    <a:stretch>
                      <a:fillRect/>
                    </a:stretch>
                  </pic:blipFill>
                  <pic:spPr bwMode="auto">
                    <a:xfrm>
                      <a:off x="0" y="0"/>
                      <a:ext cx="5303520" cy="3535680"/>
                    </a:xfrm>
                    <a:prstGeom prst="rect">
                      <a:avLst/>
                    </a:prstGeom>
                  </pic:spPr>
                </pic:pic>
              </a:graphicData>
            </a:graphic>
          </wp:inline>
        </w:drawing>
      </w:r>
    </w:p>
    <w:p>
      <w:pPr>
        <w:pStyle w:val="Normal"/>
        <w:rPr/>
      </w:pPr>
      <w:r>
        <w:rPr>
          <w:i/>
        </w:rPr>
        <w:t>Figure S.1 – Starburst-like payout mass function (semi-log).</w:t>
      </w:r>
    </w:p>
    <w:p>
      <w:pPr>
        <w:pStyle w:val="Normal"/>
        <w:rPr/>
      </w:pPr>
      <w:r>
        <w:rPr/>
      </w:r>
    </w:p>
    <w:p>
      <w:pPr>
        <w:pStyle w:val="Normal"/>
        <w:rPr/>
      </w:pPr>
      <w:r>
        <w:rPr/>
        <w:drawing>
          <wp:inline distT="0" distB="0" distL="114935" distR="114935">
            <wp:extent cx="5303520" cy="3535680"/>
            <wp:effectExtent l="0" t="0" r="0" b="0"/>
            <wp:docPr id="9" name="Εικόνα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2" descr=""/>
                    <pic:cNvPicPr>
                      <a:picLocks noChangeAspect="1" noChangeArrowheads="1"/>
                    </pic:cNvPicPr>
                  </pic:nvPicPr>
                  <pic:blipFill>
                    <a:blip r:embed="rId10"/>
                    <a:stretch>
                      <a:fillRect/>
                    </a:stretch>
                  </pic:blipFill>
                  <pic:spPr bwMode="auto">
                    <a:xfrm>
                      <a:off x="0" y="0"/>
                      <a:ext cx="5303520" cy="3535680"/>
                    </a:xfrm>
                    <a:prstGeom prst="rect">
                      <a:avLst/>
                    </a:prstGeom>
                  </pic:spPr>
                </pic:pic>
              </a:graphicData>
            </a:graphic>
          </wp:inline>
        </w:drawing>
      </w:r>
    </w:p>
    <w:p>
      <w:pPr>
        <w:pStyle w:val="Normal"/>
        <w:rPr/>
      </w:pPr>
      <w:r>
        <w:rPr>
          <w:i/>
        </w:rPr>
        <w:t>Figure S.2 – Starburst-like ROI distribution after 20,000 spins.</w:t>
      </w:r>
    </w:p>
    <w:p>
      <w:pPr>
        <w:pStyle w:val="Normal"/>
        <w:rPr/>
      </w:pPr>
      <w:r>
        <w:rPr/>
      </w:r>
    </w:p>
    <w:p>
      <w:pPr>
        <w:pStyle w:val="Normal"/>
        <w:rPr/>
      </w:pPr>
      <w:r>
        <w:rPr/>
        <w:drawing>
          <wp:inline distT="0" distB="0" distL="114935" distR="114935">
            <wp:extent cx="5303520" cy="3535680"/>
            <wp:effectExtent l="0" t="0" r="0" b="0"/>
            <wp:docPr id="10" name="Εικόνα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3" descr=""/>
                    <pic:cNvPicPr>
                      <a:picLocks noChangeAspect="1" noChangeArrowheads="1"/>
                    </pic:cNvPicPr>
                  </pic:nvPicPr>
                  <pic:blipFill>
                    <a:blip r:embed="rId11"/>
                    <a:stretch>
                      <a:fillRect/>
                    </a:stretch>
                  </pic:blipFill>
                  <pic:spPr bwMode="auto">
                    <a:xfrm>
                      <a:off x="0" y="0"/>
                      <a:ext cx="5303520" cy="3535680"/>
                    </a:xfrm>
                    <a:prstGeom prst="rect">
                      <a:avLst/>
                    </a:prstGeom>
                  </pic:spPr>
                </pic:pic>
              </a:graphicData>
            </a:graphic>
          </wp:inline>
        </w:drawing>
      </w:r>
    </w:p>
    <w:p>
      <w:pPr>
        <w:pStyle w:val="Normal"/>
        <w:rPr/>
      </w:pPr>
      <w:r>
        <w:rPr>
          <w:i/>
        </w:rPr>
        <w:t>Figure S.3 – Starburst-like wealth snapshots (2k/5k/10k spins).</w:t>
      </w:r>
    </w:p>
    <w:p>
      <w:pPr>
        <w:pStyle w:val="Normal"/>
        <w:rPr/>
      </w:pPr>
      <w:r>
        <w:rPr>
          <w:b/>
          <w:sz w:val="24"/>
        </w:rPr>
        <w:t>High Volatility Foil – Book of Dead-like</w:t>
      </w:r>
    </w:p>
    <w:tbl>
      <w:tblPr>
        <w:tblW w:w="86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320"/>
        <w:gridCol w:w="4319"/>
      </w:tblGrid>
      <w:tr>
        <w:trPr/>
        <w:tc>
          <w:tcPr>
            <w:tcW w:w="4320" w:type="dxa"/>
            <w:tcBorders/>
          </w:tcPr>
          <w:p>
            <w:pPr>
              <w:pStyle w:val="Normal"/>
              <w:widowControl w:val="false"/>
              <w:spacing w:before="0" w:after="200"/>
              <w:rPr/>
            </w:pPr>
            <w:r>
              <w:rPr/>
              <w:t>Metric</w:t>
            </w:r>
          </w:p>
        </w:tc>
        <w:tc>
          <w:tcPr>
            <w:tcW w:w="4319" w:type="dxa"/>
            <w:tcBorders/>
          </w:tcPr>
          <w:p>
            <w:pPr>
              <w:pStyle w:val="Normal"/>
              <w:widowControl w:val="false"/>
              <w:spacing w:before="0" w:after="200"/>
              <w:rPr/>
            </w:pPr>
            <w:r>
              <w:rPr/>
              <w:t>Value</w:t>
            </w:r>
          </w:p>
        </w:tc>
      </w:tr>
      <w:tr>
        <w:trPr/>
        <w:tc>
          <w:tcPr>
            <w:tcW w:w="4320" w:type="dxa"/>
            <w:tcBorders/>
          </w:tcPr>
          <w:p>
            <w:pPr>
              <w:pStyle w:val="Normal"/>
              <w:widowControl w:val="false"/>
              <w:spacing w:before="0" w:after="200"/>
              <w:rPr/>
            </w:pPr>
            <w:r>
              <w:rPr/>
              <w:t>Book of Dead-like RTP</w:t>
            </w:r>
          </w:p>
        </w:tc>
        <w:tc>
          <w:tcPr>
            <w:tcW w:w="4319" w:type="dxa"/>
            <w:tcBorders/>
          </w:tcPr>
          <w:p>
            <w:pPr>
              <w:pStyle w:val="Normal"/>
              <w:widowControl w:val="false"/>
              <w:spacing w:before="0" w:after="200"/>
              <w:rPr/>
            </w:pPr>
            <w:r>
              <w:rPr/>
              <w:t>0.9621</w:t>
            </w:r>
          </w:p>
        </w:tc>
      </w:tr>
      <w:tr>
        <w:trPr/>
        <w:tc>
          <w:tcPr>
            <w:tcW w:w="4320" w:type="dxa"/>
            <w:tcBorders/>
          </w:tcPr>
          <w:p>
            <w:pPr>
              <w:pStyle w:val="Normal"/>
              <w:widowControl w:val="false"/>
              <w:spacing w:before="0" w:after="200"/>
              <w:rPr/>
            </w:pPr>
            <w:r>
              <w:rPr/>
              <w:t>Book of Dead-like hit frequency</w:t>
            </w:r>
          </w:p>
        </w:tc>
        <w:tc>
          <w:tcPr>
            <w:tcW w:w="4319" w:type="dxa"/>
            <w:tcBorders/>
          </w:tcPr>
          <w:p>
            <w:pPr>
              <w:pStyle w:val="Normal"/>
              <w:widowControl w:val="false"/>
              <w:spacing w:before="0" w:after="200"/>
              <w:rPr/>
            </w:pPr>
            <w:r>
              <w:rPr/>
              <w:t>0.291</w:t>
            </w:r>
          </w:p>
        </w:tc>
      </w:tr>
      <w:tr>
        <w:trPr/>
        <w:tc>
          <w:tcPr>
            <w:tcW w:w="4320" w:type="dxa"/>
            <w:tcBorders/>
          </w:tcPr>
          <w:p>
            <w:pPr>
              <w:pStyle w:val="Normal"/>
              <w:widowControl w:val="false"/>
              <w:spacing w:before="0" w:after="200"/>
              <w:rPr/>
            </w:pPr>
            <w:r>
              <w:rPr/>
              <w:t>ROI median (20k spins)</w:t>
            </w:r>
          </w:p>
        </w:tc>
        <w:tc>
          <w:tcPr>
            <w:tcW w:w="4319" w:type="dxa"/>
            <w:tcBorders/>
          </w:tcPr>
          <w:p>
            <w:pPr>
              <w:pStyle w:val="Normal"/>
              <w:widowControl w:val="false"/>
              <w:spacing w:before="0" w:after="200"/>
              <w:rPr/>
            </w:pPr>
            <w:r>
              <w:rPr/>
              <w:t>-0.096</w:t>
            </w:r>
          </w:p>
        </w:tc>
      </w:tr>
      <w:tr>
        <w:trPr/>
        <w:tc>
          <w:tcPr>
            <w:tcW w:w="4320" w:type="dxa"/>
            <w:tcBorders/>
          </w:tcPr>
          <w:p>
            <w:pPr>
              <w:pStyle w:val="Normal"/>
              <w:widowControl w:val="false"/>
              <w:spacing w:before="0" w:after="200"/>
              <w:rPr/>
            </w:pPr>
            <w:r>
              <w:rPr/>
              <w:t>Ruin @10k spins (B=1000)</w:t>
            </w:r>
          </w:p>
        </w:tc>
        <w:tc>
          <w:tcPr>
            <w:tcW w:w="4319" w:type="dxa"/>
            <w:tcBorders/>
          </w:tcPr>
          <w:p>
            <w:pPr>
              <w:pStyle w:val="Normal"/>
              <w:widowControl w:val="false"/>
              <w:spacing w:before="0" w:after="200"/>
              <w:rPr/>
            </w:pPr>
            <w:r>
              <w:rPr/>
              <w:t>0.766</w:t>
            </w:r>
          </w:p>
        </w:tc>
      </w:tr>
    </w:tbl>
    <w:p>
      <w:pPr>
        <w:pStyle w:val="Normal"/>
        <w:rPr/>
      </w:pPr>
      <w:r>
        <w:rPr/>
      </w:r>
    </w:p>
    <w:p>
      <w:pPr>
        <w:pStyle w:val="Normal"/>
        <w:rPr/>
      </w:pPr>
      <w:r>
        <w:rPr/>
        <w:drawing>
          <wp:inline distT="0" distB="0" distL="114935" distR="114935">
            <wp:extent cx="5303520" cy="3535680"/>
            <wp:effectExtent l="0" t="0" r="0" b="0"/>
            <wp:docPr id="11" name="Εικόνα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4" descr=""/>
                    <pic:cNvPicPr>
                      <a:picLocks noChangeAspect="1" noChangeArrowheads="1"/>
                    </pic:cNvPicPr>
                  </pic:nvPicPr>
                  <pic:blipFill>
                    <a:blip r:embed="rId12"/>
                    <a:stretch>
                      <a:fillRect/>
                    </a:stretch>
                  </pic:blipFill>
                  <pic:spPr bwMode="auto">
                    <a:xfrm>
                      <a:off x="0" y="0"/>
                      <a:ext cx="5303520" cy="3535680"/>
                    </a:xfrm>
                    <a:prstGeom prst="rect">
                      <a:avLst/>
                    </a:prstGeom>
                  </pic:spPr>
                </pic:pic>
              </a:graphicData>
            </a:graphic>
          </wp:inline>
        </w:drawing>
      </w:r>
    </w:p>
    <w:p>
      <w:pPr>
        <w:pStyle w:val="Normal"/>
        <w:rPr/>
      </w:pPr>
      <w:r>
        <w:rPr>
          <w:i/>
        </w:rPr>
        <w:t>Figure S.4 – Payout mass functions: low vs high volatility.</w:t>
      </w:r>
    </w:p>
    <w:p>
      <w:pPr>
        <w:pStyle w:val="Normal"/>
        <w:rPr/>
      </w:pPr>
      <w:r>
        <w:rPr/>
      </w:r>
    </w:p>
    <w:p>
      <w:pPr>
        <w:pStyle w:val="Normal"/>
        <w:rPr/>
      </w:pPr>
      <w:r>
        <w:rPr/>
        <w:drawing>
          <wp:inline distT="0" distB="0" distL="114935" distR="114935">
            <wp:extent cx="5303520" cy="3535680"/>
            <wp:effectExtent l="0" t="0" r="0" b="0"/>
            <wp:docPr id="12" name="Εικόνα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5" descr=""/>
                    <pic:cNvPicPr>
                      <a:picLocks noChangeAspect="1" noChangeArrowheads="1"/>
                    </pic:cNvPicPr>
                  </pic:nvPicPr>
                  <pic:blipFill>
                    <a:blip r:embed="rId13"/>
                    <a:stretch>
                      <a:fillRect/>
                    </a:stretch>
                  </pic:blipFill>
                  <pic:spPr bwMode="auto">
                    <a:xfrm>
                      <a:off x="0" y="0"/>
                      <a:ext cx="5303520" cy="3535680"/>
                    </a:xfrm>
                    <a:prstGeom prst="rect">
                      <a:avLst/>
                    </a:prstGeom>
                  </pic:spPr>
                </pic:pic>
              </a:graphicData>
            </a:graphic>
          </wp:inline>
        </w:drawing>
      </w:r>
    </w:p>
    <w:p>
      <w:pPr>
        <w:pStyle w:val="Normal"/>
        <w:rPr/>
      </w:pPr>
      <w:r>
        <w:rPr>
          <w:i/>
        </w:rPr>
        <w:t>Figure S.5 – ROI distributions after 20,000 spins: low vs high volatility.</w:t>
      </w:r>
    </w:p>
    <w:p>
      <w:pPr>
        <w:pStyle w:val="Normal"/>
        <w:rPr/>
      </w:pPr>
      <w:r>
        <w:rPr/>
      </w:r>
    </w:p>
    <w:p>
      <w:pPr>
        <w:pStyle w:val="Normal"/>
        <w:rPr/>
      </w:pPr>
      <w:r>
        <w:rPr/>
        <w:drawing>
          <wp:inline distT="0" distB="0" distL="114935" distR="114935">
            <wp:extent cx="5303520" cy="3535680"/>
            <wp:effectExtent l="0" t="0" r="0" b="0"/>
            <wp:docPr id="13" name="Εικόνα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6" descr=""/>
                    <pic:cNvPicPr>
                      <a:picLocks noChangeAspect="1" noChangeArrowheads="1"/>
                    </pic:cNvPicPr>
                  </pic:nvPicPr>
                  <pic:blipFill>
                    <a:blip r:embed="rId14"/>
                    <a:stretch>
                      <a:fillRect/>
                    </a:stretch>
                  </pic:blipFill>
                  <pic:spPr bwMode="auto">
                    <a:xfrm>
                      <a:off x="0" y="0"/>
                      <a:ext cx="5303520" cy="3535680"/>
                    </a:xfrm>
                    <a:prstGeom prst="rect">
                      <a:avLst/>
                    </a:prstGeom>
                  </pic:spPr>
                </pic:pic>
              </a:graphicData>
            </a:graphic>
          </wp:inline>
        </w:drawing>
      </w:r>
    </w:p>
    <w:p>
      <w:pPr>
        <w:pStyle w:val="Normal"/>
        <w:rPr/>
      </w:pPr>
      <w:r>
        <w:rPr>
          <w:i/>
        </w:rPr>
        <w:t>Figure S.6 – Risk of ruin vs horizon (B=1000, b=1).</w:t>
      </w:r>
    </w:p>
    <w:p>
      <w:pPr>
        <w:pStyle w:val="Normal"/>
        <w:rPr>
          <w:b/>
          <w:b/>
          <w:sz w:val="28"/>
        </w:rPr>
      </w:pPr>
      <w:r>
        <w:rPr>
          <w:b/>
          <w:sz w:val="28"/>
        </w:rPr>
        <w:t xml:space="preserve">Appendix E — Roulette: Theoretical Benchmarks, La Partage / En Prison, and Betting Systems </w:t>
      </w:r>
    </w:p>
    <w:p>
      <w:pPr>
        <w:pStyle w:val="Normal"/>
        <w:rPr/>
      </w:pPr>
      <w:r>
        <w:rPr>
          <w:b/>
          <w:sz w:val="28"/>
        </w:rPr>
        <w:t>Roulette – Theoretical Benchmarks, La Partage / En Prison, and Betting Systems</w:t>
      </w:r>
    </w:p>
    <w:p>
      <w:pPr>
        <w:pStyle w:val="Normal"/>
        <w:rPr/>
      </w:pPr>
      <w:r>
        <w:rPr/>
        <w:t>Single-zero European wheel: 37 pockets. Double-zero American: 38 pockets. Payouts: 35:1 (straight), 17:1 (split), 11:1 (street), 8:1 (corner), 5:1 (six-line), 2:1 (dozen/column), 1:1 (even-money). House edge ≈2.70% (EU) and ≈5.26% (US); American five-number (0,00,1,2,3) ≈7.89%. Even-money with La Partage halves loss on zero → ≈1.35% edge.</w:t>
      </w:r>
    </w:p>
    <w:tbl>
      <w:tblPr>
        <w:tblW w:w="86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28"/>
        <w:gridCol w:w="1728"/>
        <w:gridCol w:w="1728"/>
        <w:gridCol w:w="1728"/>
        <w:gridCol w:w="1728"/>
      </w:tblGrid>
      <w:tr>
        <w:trPr/>
        <w:tc>
          <w:tcPr>
            <w:tcW w:w="1728" w:type="dxa"/>
            <w:tcBorders/>
          </w:tcPr>
          <w:p>
            <w:pPr>
              <w:pStyle w:val="Normal"/>
              <w:widowControl w:val="false"/>
              <w:spacing w:before="0" w:after="200"/>
              <w:rPr/>
            </w:pPr>
            <w:r>
              <w:rPr/>
              <w:t>Bet</w:t>
            </w:r>
          </w:p>
        </w:tc>
        <w:tc>
          <w:tcPr>
            <w:tcW w:w="1728" w:type="dxa"/>
            <w:tcBorders/>
          </w:tcPr>
          <w:p>
            <w:pPr>
              <w:pStyle w:val="Normal"/>
              <w:widowControl w:val="false"/>
              <w:spacing w:before="0" w:after="200"/>
              <w:rPr/>
            </w:pPr>
            <w:r>
              <w:rPr/>
              <w:t>P(win) EU</w:t>
            </w:r>
          </w:p>
        </w:tc>
        <w:tc>
          <w:tcPr>
            <w:tcW w:w="1728" w:type="dxa"/>
            <w:tcBorders/>
          </w:tcPr>
          <w:p>
            <w:pPr>
              <w:pStyle w:val="Normal"/>
              <w:widowControl w:val="false"/>
              <w:spacing w:before="0" w:after="200"/>
              <w:rPr/>
            </w:pPr>
            <w:r>
              <w:rPr/>
              <w:t>House edge EU</w:t>
            </w:r>
          </w:p>
        </w:tc>
        <w:tc>
          <w:tcPr>
            <w:tcW w:w="1728" w:type="dxa"/>
            <w:tcBorders/>
          </w:tcPr>
          <w:p>
            <w:pPr>
              <w:pStyle w:val="Normal"/>
              <w:widowControl w:val="false"/>
              <w:spacing w:before="0" w:after="200"/>
              <w:rPr/>
            </w:pPr>
            <w:r>
              <w:rPr/>
              <w:t>P(win) US</w:t>
            </w:r>
          </w:p>
        </w:tc>
        <w:tc>
          <w:tcPr>
            <w:tcW w:w="1728" w:type="dxa"/>
            <w:tcBorders/>
          </w:tcPr>
          <w:p>
            <w:pPr>
              <w:pStyle w:val="Normal"/>
              <w:widowControl w:val="false"/>
              <w:spacing w:before="0" w:after="200"/>
              <w:rPr/>
            </w:pPr>
            <w:r>
              <w:rPr/>
              <w:t>House edge US</w:t>
            </w:r>
          </w:p>
        </w:tc>
      </w:tr>
      <w:tr>
        <w:trPr/>
        <w:tc>
          <w:tcPr>
            <w:tcW w:w="1728" w:type="dxa"/>
            <w:tcBorders/>
          </w:tcPr>
          <w:p>
            <w:pPr>
              <w:pStyle w:val="Normal"/>
              <w:widowControl w:val="false"/>
              <w:spacing w:before="0" w:after="200"/>
              <w:rPr/>
            </w:pPr>
            <w:r>
              <w:rPr/>
              <w:t>Straight-up (1 number)</w:t>
            </w:r>
          </w:p>
        </w:tc>
        <w:tc>
          <w:tcPr>
            <w:tcW w:w="1728" w:type="dxa"/>
            <w:tcBorders/>
          </w:tcPr>
          <w:p>
            <w:pPr>
              <w:pStyle w:val="Normal"/>
              <w:widowControl w:val="false"/>
              <w:spacing w:before="0" w:after="200"/>
              <w:rPr/>
            </w:pPr>
            <w:r>
              <w:rPr/>
              <w:t>0.02703</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0.02632</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Split (2 numbers)</w:t>
            </w:r>
          </w:p>
        </w:tc>
        <w:tc>
          <w:tcPr>
            <w:tcW w:w="1728" w:type="dxa"/>
            <w:tcBorders/>
          </w:tcPr>
          <w:p>
            <w:pPr>
              <w:pStyle w:val="Normal"/>
              <w:widowControl w:val="false"/>
              <w:spacing w:before="0" w:after="200"/>
              <w:rPr/>
            </w:pPr>
            <w:r>
              <w:rPr/>
              <w:t>0.05405</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0.05263</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Street (3 numbers)</w:t>
            </w:r>
          </w:p>
        </w:tc>
        <w:tc>
          <w:tcPr>
            <w:tcW w:w="1728" w:type="dxa"/>
            <w:tcBorders/>
          </w:tcPr>
          <w:p>
            <w:pPr>
              <w:pStyle w:val="Normal"/>
              <w:widowControl w:val="false"/>
              <w:spacing w:before="0" w:after="200"/>
              <w:rPr/>
            </w:pPr>
            <w:r>
              <w:rPr/>
              <w:t>0.08108</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0.07895</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Corner (4 numbers)</w:t>
            </w:r>
          </w:p>
        </w:tc>
        <w:tc>
          <w:tcPr>
            <w:tcW w:w="1728" w:type="dxa"/>
            <w:tcBorders/>
          </w:tcPr>
          <w:p>
            <w:pPr>
              <w:pStyle w:val="Normal"/>
              <w:widowControl w:val="false"/>
              <w:spacing w:before="0" w:after="200"/>
              <w:rPr/>
            </w:pPr>
            <w:r>
              <w:rPr/>
              <w:t>0.10811</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0.10526</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Six line (6 numbers)</w:t>
            </w:r>
          </w:p>
        </w:tc>
        <w:tc>
          <w:tcPr>
            <w:tcW w:w="1728" w:type="dxa"/>
            <w:tcBorders/>
          </w:tcPr>
          <w:p>
            <w:pPr>
              <w:pStyle w:val="Normal"/>
              <w:widowControl w:val="false"/>
              <w:spacing w:before="0" w:after="200"/>
              <w:rPr/>
            </w:pPr>
            <w:r>
              <w:rPr/>
              <w:t>0.16216</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0.15789</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Dozen / Column (12 numbers)</w:t>
            </w:r>
          </w:p>
        </w:tc>
        <w:tc>
          <w:tcPr>
            <w:tcW w:w="1728" w:type="dxa"/>
            <w:tcBorders/>
          </w:tcPr>
          <w:p>
            <w:pPr>
              <w:pStyle w:val="Normal"/>
              <w:widowControl w:val="false"/>
              <w:spacing w:before="0" w:after="200"/>
              <w:rPr/>
            </w:pPr>
            <w:r>
              <w:rPr/>
              <w:t>0.32432</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0.31579</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Even-money (Red/Black, Even/Odd, Low/High)</w:t>
            </w:r>
          </w:p>
        </w:tc>
        <w:tc>
          <w:tcPr>
            <w:tcW w:w="1728" w:type="dxa"/>
            <w:tcBorders/>
          </w:tcPr>
          <w:p>
            <w:pPr>
              <w:pStyle w:val="Normal"/>
              <w:widowControl w:val="false"/>
              <w:spacing w:before="0" w:after="200"/>
              <w:rPr/>
            </w:pPr>
            <w:r>
              <w:rPr/>
              <w:t>0.48649</w:t>
            </w:r>
          </w:p>
        </w:tc>
        <w:tc>
          <w:tcPr>
            <w:tcW w:w="1728" w:type="dxa"/>
            <w:tcBorders/>
          </w:tcPr>
          <w:p>
            <w:pPr>
              <w:pStyle w:val="Normal"/>
              <w:widowControl w:val="false"/>
              <w:spacing w:before="0" w:after="200"/>
              <w:rPr/>
            </w:pPr>
            <w:r>
              <w:rPr/>
              <w:t>0.0270</w:t>
            </w:r>
          </w:p>
        </w:tc>
        <w:tc>
          <w:tcPr>
            <w:tcW w:w="1728" w:type="dxa"/>
            <w:tcBorders/>
          </w:tcPr>
          <w:p>
            <w:pPr>
              <w:pStyle w:val="Normal"/>
              <w:widowControl w:val="false"/>
              <w:spacing w:before="0" w:after="200"/>
              <w:rPr/>
            </w:pPr>
            <w:r>
              <w:rPr/>
              <w:t>0.47368</w:t>
            </w:r>
          </w:p>
        </w:tc>
        <w:tc>
          <w:tcPr>
            <w:tcW w:w="1728" w:type="dxa"/>
            <w:tcBorders/>
          </w:tcPr>
          <w:p>
            <w:pPr>
              <w:pStyle w:val="Normal"/>
              <w:widowControl w:val="false"/>
              <w:spacing w:before="0" w:after="200"/>
              <w:rPr/>
            </w:pPr>
            <w:r>
              <w:rPr/>
              <w:t>0.0526</w:t>
            </w:r>
          </w:p>
        </w:tc>
      </w:tr>
      <w:tr>
        <w:trPr/>
        <w:tc>
          <w:tcPr>
            <w:tcW w:w="1728" w:type="dxa"/>
            <w:tcBorders/>
          </w:tcPr>
          <w:p>
            <w:pPr>
              <w:pStyle w:val="Normal"/>
              <w:widowControl w:val="false"/>
              <w:spacing w:before="0" w:after="200"/>
              <w:rPr/>
            </w:pPr>
            <w:r>
              <w:rPr/>
              <w:t>Five-number (0,00,1,2,3) – American only</w:t>
            </w:r>
          </w:p>
        </w:tc>
        <w:tc>
          <w:tcPr>
            <w:tcW w:w="1728" w:type="dxa"/>
            <w:tcBorders/>
          </w:tcPr>
          <w:p>
            <w:pPr>
              <w:pStyle w:val="Normal"/>
              <w:widowControl w:val="false"/>
              <w:spacing w:before="0" w:after="200"/>
              <w:rPr/>
            </w:pPr>
            <w:r>
              <w:rPr/>
            </w:r>
          </w:p>
        </w:tc>
        <w:tc>
          <w:tcPr>
            <w:tcW w:w="1728" w:type="dxa"/>
            <w:tcBorders/>
          </w:tcPr>
          <w:p>
            <w:pPr>
              <w:pStyle w:val="Normal"/>
              <w:widowControl w:val="false"/>
              <w:spacing w:before="0" w:after="200"/>
              <w:rPr/>
            </w:pPr>
            <w:r>
              <w:rPr/>
            </w:r>
          </w:p>
        </w:tc>
        <w:tc>
          <w:tcPr>
            <w:tcW w:w="1728" w:type="dxa"/>
            <w:tcBorders/>
          </w:tcPr>
          <w:p>
            <w:pPr>
              <w:pStyle w:val="Normal"/>
              <w:widowControl w:val="false"/>
              <w:spacing w:before="0" w:after="200"/>
              <w:rPr/>
            </w:pPr>
            <w:r>
              <w:rPr/>
              <w:t>0.13158</w:t>
            </w:r>
          </w:p>
        </w:tc>
        <w:tc>
          <w:tcPr>
            <w:tcW w:w="1728" w:type="dxa"/>
            <w:tcBorders/>
          </w:tcPr>
          <w:p>
            <w:pPr>
              <w:pStyle w:val="Normal"/>
              <w:widowControl w:val="false"/>
              <w:spacing w:before="0" w:after="200"/>
              <w:rPr/>
            </w:pPr>
            <w:r>
              <w:rPr/>
              <w:t>0.0789</w:t>
            </w:r>
          </w:p>
        </w:tc>
      </w:tr>
      <w:tr>
        <w:trPr/>
        <w:tc>
          <w:tcPr>
            <w:tcW w:w="1728" w:type="dxa"/>
            <w:tcBorders/>
          </w:tcPr>
          <w:p>
            <w:pPr>
              <w:pStyle w:val="Normal"/>
              <w:widowControl w:val="false"/>
              <w:spacing w:before="0" w:after="200"/>
              <w:rPr/>
            </w:pPr>
            <w:r>
              <w:rPr/>
              <w:t>Even-money with La Partage (EU)</w:t>
            </w:r>
          </w:p>
        </w:tc>
        <w:tc>
          <w:tcPr>
            <w:tcW w:w="1728" w:type="dxa"/>
            <w:tcBorders/>
          </w:tcPr>
          <w:p>
            <w:pPr>
              <w:pStyle w:val="Normal"/>
              <w:widowControl w:val="false"/>
              <w:spacing w:before="0" w:after="200"/>
              <w:rPr/>
            </w:pPr>
            <w:r>
              <w:rPr/>
              <w:t>0.48649</w:t>
            </w:r>
          </w:p>
        </w:tc>
        <w:tc>
          <w:tcPr>
            <w:tcW w:w="1728" w:type="dxa"/>
            <w:tcBorders/>
          </w:tcPr>
          <w:p>
            <w:pPr>
              <w:pStyle w:val="Normal"/>
              <w:widowControl w:val="false"/>
              <w:spacing w:before="0" w:after="200"/>
              <w:rPr/>
            </w:pPr>
            <w:r>
              <w:rPr/>
              <w:t>0.0135</w:t>
            </w:r>
          </w:p>
        </w:tc>
        <w:tc>
          <w:tcPr>
            <w:tcW w:w="1728" w:type="dxa"/>
            <w:tcBorders/>
          </w:tcPr>
          <w:p>
            <w:pPr>
              <w:pStyle w:val="Normal"/>
              <w:widowControl w:val="false"/>
              <w:spacing w:before="0" w:after="200"/>
              <w:rPr/>
            </w:pPr>
            <w:r>
              <w:rPr/>
            </w:r>
          </w:p>
        </w:tc>
        <w:tc>
          <w:tcPr>
            <w:tcW w:w="1728" w:type="dxa"/>
            <w:tcBorders/>
          </w:tcPr>
          <w:p>
            <w:pPr>
              <w:pStyle w:val="Normal"/>
              <w:widowControl w:val="false"/>
              <w:spacing w:before="0" w:after="200"/>
              <w:rPr/>
            </w:pPr>
            <w:r>
              <w:rPr/>
            </w:r>
          </w:p>
        </w:tc>
      </w:tr>
    </w:tbl>
    <w:p>
      <w:pPr>
        <w:pStyle w:val="Normal"/>
        <w:rPr/>
      </w:pPr>
      <w:r>
        <w:rPr/>
      </w:r>
    </w:p>
    <w:p>
      <w:pPr>
        <w:pStyle w:val="Normal"/>
        <w:rPr/>
      </w:pPr>
      <w:r>
        <w:rPr/>
        <w:drawing>
          <wp:inline distT="0" distB="0" distL="114935" distR="114935">
            <wp:extent cx="5303520" cy="2121535"/>
            <wp:effectExtent l="0" t="0" r="0" b="0"/>
            <wp:docPr id="14" name="Εικόνα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7" descr=""/>
                    <pic:cNvPicPr>
                      <a:picLocks noChangeAspect="1" noChangeArrowheads="1"/>
                    </pic:cNvPicPr>
                  </pic:nvPicPr>
                  <pic:blipFill>
                    <a:blip r:embed="rId15"/>
                    <a:stretch>
                      <a:fillRect/>
                    </a:stretch>
                  </pic:blipFill>
                  <pic:spPr bwMode="auto">
                    <a:xfrm>
                      <a:off x="0" y="0"/>
                      <a:ext cx="5303520" cy="2121535"/>
                    </a:xfrm>
                    <a:prstGeom prst="rect">
                      <a:avLst/>
                    </a:prstGeom>
                  </pic:spPr>
                </pic:pic>
              </a:graphicData>
            </a:graphic>
          </wp:inline>
        </w:drawing>
      </w:r>
    </w:p>
    <w:p>
      <w:pPr>
        <w:pStyle w:val="Normal"/>
        <w:rPr/>
      </w:pPr>
      <w:r>
        <w:rPr>
          <w:i/>
        </w:rPr>
        <w:t>Figure R.1 – House edge by bet type (European vs American).</w:t>
      </w:r>
    </w:p>
    <w:p>
      <w:pPr>
        <w:pStyle w:val="Normal"/>
        <w:rPr/>
      </w:pPr>
      <w:r>
        <w:rPr/>
      </w:r>
    </w:p>
    <w:p>
      <w:pPr>
        <w:pStyle w:val="Normal"/>
        <w:rPr/>
      </w:pPr>
      <w:r>
        <w:rPr/>
        <w:drawing>
          <wp:inline distT="0" distB="0" distL="114935" distR="114935">
            <wp:extent cx="5303520" cy="3181985"/>
            <wp:effectExtent l="0" t="0" r="0" b="0"/>
            <wp:docPr id="15" name="Εικόνα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8" descr=""/>
                    <pic:cNvPicPr>
                      <a:picLocks noChangeAspect="1" noChangeArrowheads="1"/>
                    </pic:cNvPicPr>
                  </pic:nvPicPr>
                  <pic:blipFill>
                    <a:blip r:embed="rId16"/>
                    <a:stretch>
                      <a:fillRect/>
                    </a:stretch>
                  </pic:blipFill>
                  <pic:spPr bwMode="auto">
                    <a:xfrm>
                      <a:off x="0" y="0"/>
                      <a:ext cx="5303520" cy="3181985"/>
                    </a:xfrm>
                    <a:prstGeom prst="rect">
                      <a:avLst/>
                    </a:prstGeom>
                  </pic:spPr>
                </pic:pic>
              </a:graphicData>
            </a:graphic>
          </wp:inline>
        </w:drawing>
      </w:r>
    </w:p>
    <w:p>
      <w:pPr>
        <w:pStyle w:val="Normal"/>
        <w:rPr/>
      </w:pPr>
      <w:r>
        <w:rPr>
          <w:i/>
        </w:rPr>
        <w:t>Figure R.2 – Even-money house edge: EU vs EU+La Partage vs US.</w:t>
      </w:r>
    </w:p>
    <w:p>
      <w:pPr>
        <w:pStyle w:val="Normal"/>
        <w:rPr/>
      </w:pPr>
      <w:r>
        <w:rPr>
          <w:b/>
          <w:sz w:val="24"/>
        </w:rPr>
        <w:t>En Prison vs La Partage (Even-Money)</w:t>
      </w:r>
    </w:p>
    <w:p>
      <w:pPr>
        <w:pStyle w:val="Normal"/>
        <w:rPr/>
      </w:pPr>
      <w:r>
        <w:rPr/>
      </w:r>
    </w:p>
    <w:p>
      <w:pPr>
        <w:pStyle w:val="Normal"/>
        <w:rPr/>
      </w:pPr>
      <w:r>
        <w:rPr/>
        <w:drawing>
          <wp:inline distT="0" distB="0" distL="114935" distR="114935">
            <wp:extent cx="5303520" cy="3181985"/>
            <wp:effectExtent l="0" t="0" r="0" b="0"/>
            <wp:docPr id="16" name="Εικόνα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9" descr=""/>
                    <pic:cNvPicPr>
                      <a:picLocks noChangeAspect="1" noChangeArrowheads="1"/>
                    </pic:cNvPicPr>
                  </pic:nvPicPr>
                  <pic:blipFill>
                    <a:blip r:embed="rId17"/>
                    <a:stretch>
                      <a:fillRect/>
                    </a:stretch>
                  </pic:blipFill>
                  <pic:spPr bwMode="auto">
                    <a:xfrm>
                      <a:off x="0" y="0"/>
                      <a:ext cx="5303520" cy="3181985"/>
                    </a:xfrm>
                    <a:prstGeom prst="rect">
                      <a:avLst/>
                    </a:prstGeom>
                  </pic:spPr>
                </pic:pic>
              </a:graphicData>
            </a:graphic>
          </wp:inline>
        </w:drawing>
      </w:r>
    </w:p>
    <w:p>
      <w:pPr>
        <w:pStyle w:val="Normal"/>
        <w:rPr/>
      </w:pPr>
      <w:r>
        <w:rPr>
          <w:i/>
        </w:rPr>
        <w:t>Figure R.3 – Even-money: La Partage and En Prison are EV-equivalent (simulation confirmation).</w:t>
      </w:r>
    </w:p>
    <w:p>
      <w:pPr>
        <w:pStyle w:val="Normal"/>
        <w:rPr/>
      </w:pPr>
      <w:r>
        <w:rPr>
          <w:b/>
          <w:sz w:val="24"/>
        </w:rPr>
        <w:t>Monte Carlo: EV Convergence &amp; Table-Limit Pressure</w:t>
      </w:r>
    </w:p>
    <w:p>
      <w:pPr>
        <w:pStyle w:val="Normal"/>
        <w:rPr/>
      </w:pPr>
      <w:r>
        <w:rPr/>
      </w:r>
    </w:p>
    <w:p>
      <w:pPr>
        <w:pStyle w:val="Normal"/>
        <w:rPr/>
      </w:pPr>
      <w:r>
        <w:rPr/>
        <w:drawing>
          <wp:inline distT="0" distB="0" distL="114935" distR="114935">
            <wp:extent cx="5303520" cy="2946400"/>
            <wp:effectExtent l="0" t="0" r="0" b="0"/>
            <wp:docPr id="17" name="Εικόνα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10" descr=""/>
                    <pic:cNvPicPr>
                      <a:picLocks noChangeAspect="1" noChangeArrowheads="1"/>
                    </pic:cNvPicPr>
                  </pic:nvPicPr>
                  <pic:blipFill>
                    <a:blip r:embed="rId18"/>
                    <a:stretch>
                      <a:fillRect/>
                    </a:stretch>
                  </pic:blipFill>
                  <pic:spPr bwMode="auto">
                    <a:xfrm>
                      <a:off x="0" y="0"/>
                      <a:ext cx="5303520" cy="2946400"/>
                    </a:xfrm>
                    <a:prstGeom prst="rect">
                      <a:avLst/>
                    </a:prstGeom>
                  </pic:spPr>
                </pic:pic>
              </a:graphicData>
            </a:graphic>
          </wp:inline>
        </w:drawing>
      </w:r>
    </w:p>
    <w:p>
      <w:pPr>
        <w:pStyle w:val="Normal"/>
        <w:rPr/>
      </w:pPr>
      <w:r>
        <w:rPr>
          <w:i/>
        </w:rPr>
        <w:t>Figure R.4 – EV convergence (mean±sd) across bet types (EU vs US).</w:t>
      </w:r>
    </w:p>
    <w:p>
      <w:pPr>
        <w:pStyle w:val="Normal"/>
        <w:rPr/>
      </w:pPr>
      <w:r>
        <w:rPr/>
      </w:r>
    </w:p>
    <w:p>
      <w:pPr>
        <w:pStyle w:val="Normal"/>
        <w:rPr/>
      </w:pPr>
      <w:r>
        <w:rPr/>
        <w:drawing>
          <wp:inline distT="0" distB="0" distL="114935" distR="114935">
            <wp:extent cx="5303520" cy="3181985"/>
            <wp:effectExtent l="0" t="0" r="0" b="0"/>
            <wp:docPr id="18" name="Εικόνα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11" descr=""/>
                    <pic:cNvPicPr>
                      <a:picLocks noChangeAspect="1" noChangeArrowheads="1"/>
                    </pic:cNvPicPr>
                  </pic:nvPicPr>
                  <pic:blipFill>
                    <a:blip r:embed="rId19"/>
                    <a:stretch>
                      <a:fillRect/>
                    </a:stretch>
                  </pic:blipFill>
                  <pic:spPr bwMode="auto">
                    <a:xfrm>
                      <a:off x="0" y="0"/>
                      <a:ext cx="5303520" cy="3181985"/>
                    </a:xfrm>
                    <a:prstGeom prst="rect">
                      <a:avLst/>
                    </a:prstGeom>
                  </pic:spPr>
                </pic:pic>
              </a:graphicData>
            </a:graphic>
          </wp:inline>
        </w:drawing>
      </w:r>
    </w:p>
    <w:p>
      <w:pPr>
        <w:pStyle w:val="Normal"/>
        <w:rPr/>
      </w:pPr>
      <w:r>
        <w:rPr>
          <w:i/>
        </w:rPr>
        <w:t>Figure R.5 – Martingale: ending-wealth distribution under table limits.</w:t>
      </w:r>
    </w:p>
    <w:p>
      <w:pPr>
        <w:pStyle w:val="Normal"/>
        <w:rPr/>
      </w:pPr>
      <w:r>
        <w:rPr/>
      </w:r>
    </w:p>
    <w:p>
      <w:pPr>
        <w:pStyle w:val="Normal"/>
        <w:rPr/>
      </w:pPr>
      <w:r>
        <w:rPr/>
        <w:drawing>
          <wp:inline distT="0" distB="0" distL="114935" distR="114935">
            <wp:extent cx="5303520" cy="3181985"/>
            <wp:effectExtent l="0" t="0" r="0" b="0"/>
            <wp:docPr id="19" name="Εικόνα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12" descr=""/>
                    <pic:cNvPicPr>
                      <a:picLocks noChangeAspect="1" noChangeArrowheads="1"/>
                    </pic:cNvPicPr>
                  </pic:nvPicPr>
                  <pic:blipFill>
                    <a:blip r:embed="rId20"/>
                    <a:stretch>
                      <a:fillRect/>
                    </a:stretch>
                  </pic:blipFill>
                  <pic:spPr bwMode="auto">
                    <a:xfrm>
                      <a:off x="0" y="0"/>
                      <a:ext cx="5303520" cy="3181985"/>
                    </a:xfrm>
                    <a:prstGeom prst="rect">
                      <a:avLst/>
                    </a:prstGeom>
                  </pic:spPr>
                </pic:pic>
              </a:graphicData>
            </a:graphic>
          </wp:inline>
        </w:drawing>
      </w:r>
    </w:p>
    <w:p>
      <w:pPr>
        <w:pStyle w:val="Normal"/>
        <w:rPr/>
      </w:pPr>
      <w:r>
        <w:rPr>
          <w:i/>
        </w:rPr>
        <w:t>Figure R.6 – Anti-Martingale (Paroli): ending-wealth distribution (streak cap=3).</w:t>
      </w:r>
    </w:p>
    <w:p>
      <w:pPr>
        <w:pStyle w:val="Normal"/>
        <w:rPr/>
      </w:pPr>
      <w:r>
        <w:rPr/>
      </w:r>
    </w:p>
    <w:p>
      <w:pPr>
        <w:pStyle w:val="Normal"/>
        <w:rPr/>
      </w:pPr>
      <w:r>
        <w:rPr/>
        <w:drawing>
          <wp:inline distT="0" distB="0" distL="114935" distR="114935">
            <wp:extent cx="5303520" cy="3181985"/>
            <wp:effectExtent l="0" t="0" r="0" b="0"/>
            <wp:docPr id="20" name="Εικόνα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13" descr=""/>
                    <pic:cNvPicPr>
                      <a:picLocks noChangeAspect="1" noChangeArrowheads="1"/>
                    </pic:cNvPicPr>
                  </pic:nvPicPr>
                  <pic:blipFill>
                    <a:blip r:embed="rId21"/>
                    <a:stretch>
                      <a:fillRect/>
                    </a:stretch>
                  </pic:blipFill>
                  <pic:spPr bwMode="auto">
                    <a:xfrm>
                      <a:off x="0" y="0"/>
                      <a:ext cx="5303520" cy="3181985"/>
                    </a:xfrm>
                    <a:prstGeom prst="rect">
                      <a:avLst/>
                    </a:prstGeom>
                  </pic:spPr>
                </pic:pic>
              </a:graphicData>
            </a:graphic>
          </wp:inline>
        </w:drawing>
      </w:r>
    </w:p>
    <w:p>
      <w:pPr>
        <w:pStyle w:val="Normal"/>
        <w:rPr/>
      </w:pPr>
      <w:r>
        <w:rPr>
          <w:i/>
        </w:rPr>
        <w:t>Figure R.7 – Martingale: stake trajectory (example session).</w:t>
      </w:r>
    </w:p>
    <w:p>
      <w:pPr>
        <w:pStyle w:val="Normal"/>
        <w:rPr/>
      </w:pPr>
      <w:r>
        <w:rPr/>
      </w:r>
    </w:p>
    <w:p>
      <w:pPr>
        <w:pStyle w:val="Normal"/>
        <w:rPr/>
      </w:pPr>
      <w:r>
        <w:rPr/>
        <w:drawing>
          <wp:inline distT="0" distB="0" distL="114935" distR="114935">
            <wp:extent cx="5303520" cy="3181985"/>
            <wp:effectExtent l="0" t="0" r="0" b="0"/>
            <wp:docPr id="2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
                    <pic:cNvPicPr>
                      <a:picLocks noChangeAspect="1" noChangeArrowheads="1"/>
                    </pic:cNvPicPr>
                  </pic:nvPicPr>
                  <pic:blipFill>
                    <a:blip r:embed="rId22"/>
                    <a:stretch>
                      <a:fillRect/>
                    </a:stretch>
                  </pic:blipFill>
                  <pic:spPr bwMode="auto">
                    <a:xfrm>
                      <a:off x="0" y="0"/>
                      <a:ext cx="5303520" cy="3181985"/>
                    </a:xfrm>
                    <a:prstGeom prst="rect">
                      <a:avLst/>
                    </a:prstGeom>
                  </pic:spPr>
                </pic:pic>
              </a:graphicData>
            </a:graphic>
          </wp:inline>
        </w:drawing>
      </w:r>
    </w:p>
    <w:p>
      <w:pPr>
        <w:pStyle w:val="Normal"/>
        <w:rPr/>
      </w:pPr>
      <w:r>
        <w:rPr>
          <w:i/>
        </w:rPr>
        <w:t>Figure R.8 – Anti-Martingale: stake trajectory (example session).</w:t>
      </w:r>
    </w:p>
    <w:p>
      <w:pPr>
        <w:pStyle w:val="Normal"/>
        <w:rPr>
          <w:i/>
          <w:i/>
        </w:rPr>
      </w:pPr>
      <w:r>
        <w:rPr/>
      </w:r>
    </w:p>
    <w:p>
      <w:pPr>
        <w:pStyle w:val="Normal"/>
        <w:rPr>
          <w:b/>
          <w:b/>
          <w:sz w:val="28"/>
        </w:rPr>
      </w:pPr>
      <w:r>
        <w:rPr>
          <w:rStyle w:val="Style7"/>
          <w:sz w:val="28"/>
        </w:rPr>
        <w:t>Appendix F — Football (Super League Greece): Market-Implied Probabilities, Utility &amp; Luck</w:t>
      </w:r>
      <w:r>
        <w:rPr>
          <w:b/>
          <w:sz w:val="28"/>
        </w:rPr>
        <w:t xml:space="preserve"> </w:t>
      </w:r>
    </w:p>
    <w:p>
      <w:pPr>
        <w:pStyle w:val="Normal"/>
        <w:rPr/>
      </w:pPr>
      <w:r>
        <w:rPr>
          <w:b/>
          <w:sz w:val="28"/>
        </w:rPr>
        <w:t>Super League (Greece) – Market-Implied P, Utility and Luck</w:t>
      </w:r>
    </w:p>
    <w:p>
      <w:pPr>
        <w:pStyle w:val="Normal"/>
        <w:rPr/>
      </w:pPr>
      <w:r>
        <w:rPr/>
        <w:t>Data source: Football-Data.co.uk (league code G1). We use closing/average odds to derive market-implied probabilities for {Home, Draw, Away}, corrected for overround. The realized outcome’s probability defines surprisal S; entropy H is computed over the 3-way distribution. Utility U is modeled as unit-stake net return on the argmax-probability selection (illustrative baseline).</w:t>
      </w:r>
    </w:p>
    <w:tbl>
      <w:tblPr>
        <w:tblW w:w="86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320"/>
        <w:gridCol w:w="4319"/>
      </w:tblGrid>
      <w:tr>
        <w:trPr/>
        <w:tc>
          <w:tcPr>
            <w:tcW w:w="4320" w:type="dxa"/>
            <w:tcBorders/>
          </w:tcPr>
          <w:p>
            <w:pPr>
              <w:pStyle w:val="Normal"/>
              <w:widowControl w:val="false"/>
              <w:spacing w:before="0" w:after="200"/>
              <w:rPr/>
            </w:pPr>
            <w:r>
              <w:rPr/>
              <w:t>Metric</w:t>
            </w:r>
          </w:p>
        </w:tc>
        <w:tc>
          <w:tcPr>
            <w:tcW w:w="4319" w:type="dxa"/>
            <w:tcBorders/>
          </w:tcPr>
          <w:p>
            <w:pPr>
              <w:pStyle w:val="Normal"/>
              <w:widowControl w:val="false"/>
              <w:spacing w:before="0" w:after="200"/>
              <w:rPr/>
            </w:pPr>
            <w:r>
              <w:rPr/>
              <w:t>Value</w:t>
            </w:r>
          </w:p>
        </w:tc>
      </w:tr>
      <w:tr>
        <w:trPr/>
        <w:tc>
          <w:tcPr>
            <w:tcW w:w="4320" w:type="dxa"/>
            <w:tcBorders/>
          </w:tcPr>
          <w:p>
            <w:pPr>
              <w:pStyle w:val="Normal"/>
              <w:widowControl w:val="false"/>
              <w:spacing w:before="0" w:after="200"/>
              <w:rPr/>
            </w:pPr>
            <w:r>
              <w:rPr/>
              <w:t>Season (latest)</w:t>
            </w:r>
          </w:p>
        </w:tc>
        <w:tc>
          <w:tcPr>
            <w:tcW w:w="4319" w:type="dxa"/>
            <w:tcBorders/>
          </w:tcPr>
          <w:p>
            <w:pPr>
              <w:pStyle w:val="Normal"/>
              <w:widowControl w:val="false"/>
              <w:spacing w:before="0" w:after="200"/>
              <w:rPr/>
            </w:pPr>
            <w:r>
              <w:rPr/>
              <w:t>2024/25</w:t>
            </w:r>
          </w:p>
        </w:tc>
      </w:tr>
      <w:tr>
        <w:trPr/>
        <w:tc>
          <w:tcPr>
            <w:tcW w:w="4320" w:type="dxa"/>
            <w:tcBorders/>
          </w:tcPr>
          <w:p>
            <w:pPr>
              <w:pStyle w:val="Normal"/>
              <w:widowControl w:val="false"/>
              <w:spacing w:before="0" w:after="200"/>
              <w:rPr/>
            </w:pPr>
            <w:r>
              <w:rPr/>
              <w:t>Matches</w:t>
            </w:r>
          </w:p>
        </w:tc>
        <w:tc>
          <w:tcPr>
            <w:tcW w:w="4319" w:type="dxa"/>
            <w:tcBorders/>
          </w:tcPr>
          <w:p>
            <w:pPr>
              <w:pStyle w:val="Normal"/>
              <w:widowControl w:val="false"/>
              <w:spacing w:before="0" w:after="200"/>
              <w:rPr/>
            </w:pPr>
            <w:r>
              <w:rPr/>
              <w:t>233</w:t>
            </w:r>
          </w:p>
        </w:tc>
      </w:tr>
      <w:tr>
        <w:trPr/>
        <w:tc>
          <w:tcPr>
            <w:tcW w:w="4320" w:type="dxa"/>
            <w:tcBorders/>
          </w:tcPr>
          <w:p>
            <w:pPr>
              <w:pStyle w:val="Normal"/>
              <w:widowControl w:val="false"/>
              <w:spacing w:before="0" w:after="200"/>
              <w:rPr/>
            </w:pPr>
            <w:r>
              <w:rPr/>
              <w:t>Brier score (3-way)</w:t>
            </w:r>
          </w:p>
        </w:tc>
        <w:tc>
          <w:tcPr>
            <w:tcW w:w="4319" w:type="dxa"/>
            <w:tcBorders/>
          </w:tcPr>
          <w:p>
            <w:pPr>
              <w:pStyle w:val="Normal"/>
              <w:widowControl w:val="false"/>
              <w:spacing w:before="0" w:after="200"/>
              <w:rPr/>
            </w:pPr>
            <w:r>
              <w:rPr/>
              <w:t>0.5812</w:t>
            </w:r>
          </w:p>
        </w:tc>
      </w:tr>
      <w:tr>
        <w:trPr/>
        <w:tc>
          <w:tcPr>
            <w:tcW w:w="4320" w:type="dxa"/>
            <w:tcBorders/>
          </w:tcPr>
          <w:p>
            <w:pPr>
              <w:pStyle w:val="Normal"/>
              <w:widowControl w:val="false"/>
              <w:spacing w:before="0" w:after="200"/>
              <w:rPr/>
            </w:pPr>
            <w:r>
              <w:rPr/>
              <w:t>Log loss (3-way)</w:t>
            </w:r>
          </w:p>
        </w:tc>
        <w:tc>
          <w:tcPr>
            <w:tcW w:w="4319" w:type="dxa"/>
            <w:tcBorders/>
          </w:tcPr>
          <w:p>
            <w:pPr>
              <w:pStyle w:val="Normal"/>
              <w:widowControl w:val="false"/>
              <w:spacing w:before="0" w:after="200"/>
              <w:rPr/>
            </w:pPr>
            <w:r>
              <w:rPr/>
              <w:t>0.9794</w:t>
            </w:r>
          </w:p>
        </w:tc>
      </w:tr>
      <w:tr>
        <w:trPr/>
        <w:tc>
          <w:tcPr>
            <w:tcW w:w="4320" w:type="dxa"/>
            <w:tcBorders/>
          </w:tcPr>
          <w:p>
            <w:pPr>
              <w:pStyle w:val="Normal"/>
              <w:widowControl w:val="false"/>
              <w:spacing w:before="0" w:after="200"/>
              <w:rPr/>
            </w:pPr>
            <w:r>
              <w:rPr/>
              <w:t>Mean unit utility (per match)</w:t>
            </w:r>
          </w:p>
        </w:tc>
        <w:tc>
          <w:tcPr>
            <w:tcW w:w="4319" w:type="dxa"/>
            <w:tcBorders/>
          </w:tcPr>
          <w:p>
            <w:pPr>
              <w:pStyle w:val="Normal"/>
              <w:widowControl w:val="false"/>
              <w:spacing w:before="0" w:after="200"/>
              <w:rPr/>
            </w:pPr>
            <w:r>
              <w:rPr/>
              <w:t>-0.1176</w:t>
            </w:r>
          </w:p>
        </w:tc>
      </w:tr>
    </w:tbl>
    <w:p>
      <w:pPr>
        <w:pStyle w:val="Normal"/>
        <w:rPr/>
      </w:pPr>
      <w:r>
        <w:rPr/>
      </w:r>
    </w:p>
    <w:p>
      <w:pPr>
        <w:pStyle w:val="Normal"/>
        <w:rPr/>
      </w:pPr>
      <w:r>
        <w:rPr/>
        <w:drawing>
          <wp:inline distT="0" distB="0" distL="114935" distR="114935">
            <wp:extent cx="5303520" cy="4419600"/>
            <wp:effectExtent l="0" t="0" r="0" b="0"/>
            <wp:docPr id="22" name="Εικόνα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14" descr=""/>
                    <pic:cNvPicPr>
                      <a:picLocks noChangeAspect="1" noChangeArrowheads="1"/>
                    </pic:cNvPicPr>
                  </pic:nvPicPr>
                  <pic:blipFill>
                    <a:blip r:embed="rId23"/>
                    <a:stretch>
                      <a:fillRect/>
                    </a:stretch>
                  </pic:blipFill>
                  <pic:spPr bwMode="auto">
                    <a:xfrm>
                      <a:off x="0" y="0"/>
                      <a:ext cx="5303520" cy="4419600"/>
                    </a:xfrm>
                    <a:prstGeom prst="rect">
                      <a:avLst/>
                    </a:prstGeom>
                  </pic:spPr>
                </pic:pic>
              </a:graphicData>
            </a:graphic>
          </wp:inline>
        </w:drawing>
      </w:r>
    </w:p>
    <w:p>
      <w:pPr>
        <w:pStyle w:val="Normal"/>
        <w:rPr/>
      </w:pPr>
      <w:r>
        <w:rPr>
          <w:i/>
        </w:rPr>
        <w:t>Figure F.1 – Reliability of argmax market probabilities (latest season).</w:t>
      </w:r>
    </w:p>
    <w:p>
      <w:pPr>
        <w:pStyle w:val="Normal"/>
        <w:rPr/>
      </w:pPr>
      <w:r>
        <w:rPr/>
      </w:r>
    </w:p>
    <w:p>
      <w:pPr>
        <w:pStyle w:val="Normal"/>
        <w:rPr/>
      </w:pPr>
      <w:r>
        <w:rPr/>
        <w:drawing>
          <wp:inline distT="0" distB="0" distL="114935" distR="114935">
            <wp:extent cx="5303520" cy="3181985"/>
            <wp:effectExtent l="0" t="0" r="0" b="0"/>
            <wp:docPr id="23" name="Εικόνα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15" descr=""/>
                    <pic:cNvPicPr>
                      <a:picLocks noChangeAspect="1" noChangeArrowheads="1"/>
                    </pic:cNvPicPr>
                  </pic:nvPicPr>
                  <pic:blipFill>
                    <a:blip r:embed="rId24"/>
                    <a:stretch>
                      <a:fillRect/>
                    </a:stretch>
                  </pic:blipFill>
                  <pic:spPr bwMode="auto">
                    <a:xfrm>
                      <a:off x="0" y="0"/>
                      <a:ext cx="5303520" cy="3181985"/>
                    </a:xfrm>
                    <a:prstGeom prst="rect">
                      <a:avLst/>
                    </a:prstGeom>
                  </pic:spPr>
                </pic:pic>
              </a:graphicData>
            </a:graphic>
          </wp:inline>
        </w:drawing>
      </w:r>
    </w:p>
    <w:p>
      <w:pPr>
        <w:pStyle w:val="Normal"/>
        <w:rPr/>
      </w:pPr>
      <w:r>
        <w:rPr>
          <w:i/>
        </w:rPr>
        <w:t>Figure F.2 – Distribution of per-match unit utility (latest season).</w:t>
      </w:r>
    </w:p>
    <w:p>
      <w:pPr>
        <w:pStyle w:val="Normal"/>
        <w:rPr/>
      </w:pPr>
      <w:r>
        <w:rPr/>
      </w:r>
    </w:p>
    <w:p>
      <w:pPr>
        <w:pStyle w:val="Normal"/>
        <w:rPr/>
      </w:pPr>
      <w:r>
        <w:rPr/>
        <w:drawing>
          <wp:inline distT="0" distB="0" distL="114935" distR="114935">
            <wp:extent cx="5303520" cy="3181985"/>
            <wp:effectExtent l="0" t="0" r="0" b="0"/>
            <wp:docPr id="24" name="Εικόνα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16" descr=""/>
                    <pic:cNvPicPr>
                      <a:picLocks noChangeAspect="1" noChangeArrowheads="1"/>
                    </pic:cNvPicPr>
                  </pic:nvPicPr>
                  <pic:blipFill>
                    <a:blip r:embed="rId25"/>
                    <a:stretch>
                      <a:fillRect/>
                    </a:stretch>
                  </pic:blipFill>
                  <pic:spPr bwMode="auto">
                    <a:xfrm>
                      <a:off x="0" y="0"/>
                      <a:ext cx="5303520" cy="3181985"/>
                    </a:xfrm>
                    <a:prstGeom prst="rect">
                      <a:avLst/>
                    </a:prstGeom>
                  </pic:spPr>
                </pic:pic>
              </a:graphicData>
            </a:graphic>
          </wp:inline>
        </w:drawing>
      </w:r>
    </w:p>
    <w:p>
      <w:pPr>
        <w:pStyle w:val="Normal"/>
        <w:rPr/>
      </w:pPr>
      <w:r>
        <w:rPr>
          <w:i/>
        </w:rPr>
        <w:t>Figure F.3 – Cumulative unit-stake profit (latest season).</w:t>
      </w:r>
    </w:p>
    <w:p>
      <w:pPr>
        <w:pStyle w:val="Normal"/>
        <w:rPr/>
      </w:pPr>
      <w:r>
        <w:rPr/>
      </w:r>
    </w:p>
    <w:p>
      <w:pPr>
        <w:pStyle w:val="Normal"/>
        <w:rPr/>
      </w:pPr>
      <w:r>
        <w:rPr/>
        <w:drawing>
          <wp:inline distT="0" distB="0" distL="114935" distR="114935">
            <wp:extent cx="5303520" cy="3181985"/>
            <wp:effectExtent l="0" t="0" r="0" b="0"/>
            <wp:docPr id="25" name="Εικόνα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17" descr=""/>
                    <pic:cNvPicPr>
                      <a:picLocks noChangeAspect="1" noChangeArrowheads="1"/>
                    </pic:cNvPicPr>
                  </pic:nvPicPr>
                  <pic:blipFill>
                    <a:blip r:embed="rId26"/>
                    <a:stretch>
                      <a:fillRect/>
                    </a:stretch>
                  </pic:blipFill>
                  <pic:spPr bwMode="auto">
                    <a:xfrm>
                      <a:off x="0" y="0"/>
                      <a:ext cx="5303520" cy="3181985"/>
                    </a:xfrm>
                    <a:prstGeom prst="rect">
                      <a:avLst/>
                    </a:prstGeom>
                  </pic:spPr>
                </pic:pic>
              </a:graphicData>
            </a:graphic>
          </wp:inline>
        </w:drawing>
      </w:r>
    </w:p>
    <w:p>
      <w:pPr>
        <w:pStyle w:val="Normal"/>
        <w:rPr/>
      </w:pPr>
      <w:r>
        <w:rPr>
          <w:i/>
        </w:rPr>
        <w:t>Figure F.4 – Kelly log-wealth (λ_K=0.25, cap 5%/match).</w:t>
      </w:r>
    </w:p>
    <w:p>
      <w:pPr>
        <w:pStyle w:val="Normal"/>
        <w:rPr/>
      </w:pPr>
      <w:r>
        <w:rPr>
          <w:b/>
          <w:sz w:val="24"/>
        </w:rPr>
        <w:t>SPI Features &amp; Kelly Staking (Optional Enhancements)</w:t>
      </w:r>
    </w:p>
    <w:p>
      <w:pPr>
        <w:pStyle w:val="Normal"/>
        <w:rPr/>
      </w:pPr>
      <w:r>
        <w:rPr/>
        <w:t>If FiveThirtyEight SPI probabilities are available, blend or recalibrate market probabilities with SPI to minimize 3-way log-loss. Kelly staking with fractional λ_K and per-match caps evaluates bankroll growth; block-bootstrap over matchdays yields uncertainty bands.</w:t>
      </w:r>
    </w:p>
    <w:p>
      <w:pPr>
        <w:pStyle w:val="Normal"/>
        <w:rPr/>
      </w:pPr>
      <w:r>
        <w:rPr>
          <w:b/>
          <w:sz w:val="24"/>
        </w:rPr>
        <w:t>Comparative Season Analysis – 2023/24 vs 2024/25</w:t>
      </w:r>
    </w:p>
    <w:tbl>
      <w:tblPr>
        <w:tblW w:w="86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28"/>
        <w:gridCol w:w="1728"/>
        <w:gridCol w:w="1728"/>
        <w:gridCol w:w="1728"/>
        <w:gridCol w:w="1728"/>
      </w:tblGrid>
      <w:tr>
        <w:trPr/>
        <w:tc>
          <w:tcPr>
            <w:tcW w:w="1728" w:type="dxa"/>
            <w:tcBorders/>
          </w:tcPr>
          <w:p>
            <w:pPr>
              <w:pStyle w:val="Normal"/>
              <w:widowControl w:val="false"/>
              <w:spacing w:before="0" w:after="200"/>
              <w:rPr/>
            </w:pPr>
            <w:r>
              <w:rPr/>
              <w:t>Season</w:t>
            </w:r>
          </w:p>
        </w:tc>
        <w:tc>
          <w:tcPr>
            <w:tcW w:w="1728" w:type="dxa"/>
            <w:tcBorders/>
          </w:tcPr>
          <w:p>
            <w:pPr>
              <w:pStyle w:val="Normal"/>
              <w:widowControl w:val="false"/>
              <w:spacing w:before="0" w:after="200"/>
              <w:rPr/>
            </w:pPr>
            <w:r>
              <w:rPr/>
              <w:t>Matches</w:t>
            </w:r>
          </w:p>
        </w:tc>
        <w:tc>
          <w:tcPr>
            <w:tcW w:w="1728" w:type="dxa"/>
            <w:tcBorders/>
          </w:tcPr>
          <w:p>
            <w:pPr>
              <w:pStyle w:val="Normal"/>
              <w:widowControl w:val="false"/>
              <w:spacing w:before="0" w:after="200"/>
              <w:rPr/>
            </w:pPr>
            <w:r>
              <w:rPr/>
              <w:t>Brier (3-way)</w:t>
            </w:r>
          </w:p>
        </w:tc>
        <w:tc>
          <w:tcPr>
            <w:tcW w:w="1728" w:type="dxa"/>
            <w:tcBorders/>
          </w:tcPr>
          <w:p>
            <w:pPr>
              <w:pStyle w:val="Normal"/>
              <w:widowControl w:val="false"/>
              <w:spacing w:before="0" w:after="200"/>
              <w:rPr/>
            </w:pPr>
            <w:r>
              <w:rPr/>
              <w:t>Log-loss (3-way)</w:t>
            </w:r>
          </w:p>
        </w:tc>
        <w:tc>
          <w:tcPr>
            <w:tcW w:w="1728" w:type="dxa"/>
            <w:tcBorders/>
          </w:tcPr>
          <w:p>
            <w:pPr>
              <w:pStyle w:val="Normal"/>
              <w:widowControl w:val="false"/>
              <w:spacing w:before="0" w:after="200"/>
              <w:rPr/>
            </w:pPr>
            <w:r>
              <w:rPr/>
              <w:t>Mean unit utility</w:t>
            </w:r>
          </w:p>
        </w:tc>
      </w:tr>
      <w:tr>
        <w:trPr/>
        <w:tc>
          <w:tcPr>
            <w:tcW w:w="1728" w:type="dxa"/>
            <w:tcBorders/>
          </w:tcPr>
          <w:p>
            <w:pPr>
              <w:pStyle w:val="Normal"/>
              <w:widowControl w:val="false"/>
              <w:spacing w:before="0" w:after="200"/>
              <w:rPr/>
            </w:pPr>
            <w:r>
              <w:rPr/>
              <w:t>2023/24</w:t>
            </w:r>
          </w:p>
        </w:tc>
        <w:tc>
          <w:tcPr>
            <w:tcW w:w="1728" w:type="dxa"/>
            <w:tcBorders/>
          </w:tcPr>
          <w:p>
            <w:pPr>
              <w:pStyle w:val="Normal"/>
              <w:widowControl w:val="false"/>
              <w:spacing w:before="0" w:after="200"/>
              <w:rPr/>
            </w:pPr>
            <w:r>
              <w:rPr/>
              <w:t>240</w:t>
            </w:r>
          </w:p>
        </w:tc>
        <w:tc>
          <w:tcPr>
            <w:tcW w:w="1728" w:type="dxa"/>
            <w:tcBorders/>
          </w:tcPr>
          <w:p>
            <w:pPr>
              <w:pStyle w:val="Normal"/>
              <w:widowControl w:val="false"/>
              <w:spacing w:before="0" w:after="200"/>
              <w:rPr/>
            </w:pPr>
            <w:r>
              <w:rPr/>
              <w:t>0.5306</w:t>
            </w:r>
          </w:p>
        </w:tc>
        <w:tc>
          <w:tcPr>
            <w:tcW w:w="1728" w:type="dxa"/>
            <w:tcBorders/>
          </w:tcPr>
          <w:p>
            <w:pPr>
              <w:pStyle w:val="Normal"/>
              <w:widowControl w:val="false"/>
              <w:spacing w:before="0" w:after="200"/>
              <w:rPr/>
            </w:pPr>
            <w:r>
              <w:rPr/>
              <w:t>0.9004</w:t>
            </w:r>
          </w:p>
        </w:tc>
        <w:tc>
          <w:tcPr>
            <w:tcW w:w="1728" w:type="dxa"/>
            <w:tcBorders/>
          </w:tcPr>
          <w:p>
            <w:pPr>
              <w:pStyle w:val="Normal"/>
              <w:widowControl w:val="false"/>
              <w:spacing w:before="0" w:after="200"/>
              <w:rPr/>
            </w:pPr>
            <w:r>
              <w:rPr/>
              <w:t>-0.0640</w:t>
            </w:r>
          </w:p>
        </w:tc>
      </w:tr>
      <w:tr>
        <w:trPr/>
        <w:tc>
          <w:tcPr>
            <w:tcW w:w="1728" w:type="dxa"/>
            <w:tcBorders/>
          </w:tcPr>
          <w:p>
            <w:pPr>
              <w:pStyle w:val="Normal"/>
              <w:widowControl w:val="false"/>
              <w:spacing w:before="0" w:after="200"/>
              <w:rPr/>
            </w:pPr>
            <w:r>
              <w:rPr/>
              <w:t>2024/25</w:t>
            </w:r>
          </w:p>
        </w:tc>
        <w:tc>
          <w:tcPr>
            <w:tcW w:w="1728" w:type="dxa"/>
            <w:tcBorders/>
          </w:tcPr>
          <w:p>
            <w:pPr>
              <w:pStyle w:val="Normal"/>
              <w:widowControl w:val="false"/>
              <w:spacing w:before="0" w:after="200"/>
              <w:rPr/>
            </w:pPr>
            <w:r>
              <w:rPr/>
              <w:t>233</w:t>
            </w:r>
          </w:p>
        </w:tc>
        <w:tc>
          <w:tcPr>
            <w:tcW w:w="1728" w:type="dxa"/>
            <w:tcBorders/>
          </w:tcPr>
          <w:p>
            <w:pPr>
              <w:pStyle w:val="Normal"/>
              <w:widowControl w:val="false"/>
              <w:spacing w:before="0" w:after="200"/>
              <w:rPr/>
            </w:pPr>
            <w:r>
              <w:rPr/>
              <w:t>0.5812</w:t>
            </w:r>
          </w:p>
        </w:tc>
        <w:tc>
          <w:tcPr>
            <w:tcW w:w="1728" w:type="dxa"/>
            <w:tcBorders/>
          </w:tcPr>
          <w:p>
            <w:pPr>
              <w:pStyle w:val="Normal"/>
              <w:widowControl w:val="false"/>
              <w:spacing w:before="0" w:after="200"/>
              <w:rPr/>
            </w:pPr>
            <w:r>
              <w:rPr/>
              <w:t>0.9794</w:t>
            </w:r>
          </w:p>
        </w:tc>
        <w:tc>
          <w:tcPr>
            <w:tcW w:w="1728" w:type="dxa"/>
            <w:tcBorders/>
          </w:tcPr>
          <w:p>
            <w:pPr>
              <w:pStyle w:val="Normal"/>
              <w:widowControl w:val="false"/>
              <w:spacing w:before="0" w:after="200"/>
              <w:rPr/>
            </w:pPr>
            <w:r>
              <w:rPr/>
              <w:t>-0.1176</w:t>
            </w:r>
          </w:p>
        </w:tc>
      </w:tr>
    </w:tbl>
    <w:p>
      <w:pPr>
        <w:pStyle w:val="Normal"/>
        <w:rPr/>
      </w:pPr>
      <w:r>
        <w:rPr/>
      </w:r>
    </w:p>
    <w:p>
      <w:pPr>
        <w:pStyle w:val="Normal"/>
        <w:rPr/>
      </w:pPr>
      <w:r>
        <w:rPr/>
        <w:drawing>
          <wp:inline distT="0" distB="0" distL="114935" distR="114935">
            <wp:extent cx="5303520" cy="4419600"/>
            <wp:effectExtent l="0" t="0" r="0" b="0"/>
            <wp:docPr id="26" name="Εικόνα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18" descr=""/>
                    <pic:cNvPicPr>
                      <a:picLocks noChangeAspect="1" noChangeArrowheads="1"/>
                    </pic:cNvPicPr>
                  </pic:nvPicPr>
                  <pic:blipFill>
                    <a:blip r:embed="rId27"/>
                    <a:stretch>
                      <a:fillRect/>
                    </a:stretch>
                  </pic:blipFill>
                  <pic:spPr bwMode="auto">
                    <a:xfrm>
                      <a:off x="0" y="0"/>
                      <a:ext cx="5303520" cy="4419600"/>
                    </a:xfrm>
                    <a:prstGeom prst="rect">
                      <a:avLst/>
                    </a:prstGeom>
                  </pic:spPr>
                </pic:pic>
              </a:graphicData>
            </a:graphic>
          </wp:inline>
        </w:drawing>
      </w:r>
    </w:p>
    <w:p>
      <w:pPr>
        <w:pStyle w:val="Normal"/>
        <w:rPr/>
      </w:pPr>
      <w:r>
        <w:rPr>
          <w:i/>
        </w:rPr>
        <w:t>Figure F.5 – Reliability comparison (2023/24 vs 2024/25).</w:t>
      </w:r>
    </w:p>
    <w:p>
      <w:pPr>
        <w:pStyle w:val="Normal"/>
        <w:rPr/>
      </w:pPr>
      <w:r>
        <w:rPr/>
      </w:r>
    </w:p>
    <w:p>
      <w:pPr>
        <w:pStyle w:val="Normal"/>
        <w:rPr/>
      </w:pPr>
      <w:r>
        <w:rPr/>
        <w:drawing>
          <wp:inline distT="0" distB="0" distL="114935" distR="114935">
            <wp:extent cx="5303520" cy="3181985"/>
            <wp:effectExtent l="0" t="0" r="0" b="0"/>
            <wp:docPr id="27" name="Εικόνα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19" descr=""/>
                    <pic:cNvPicPr>
                      <a:picLocks noChangeAspect="1" noChangeArrowheads="1"/>
                    </pic:cNvPicPr>
                  </pic:nvPicPr>
                  <pic:blipFill>
                    <a:blip r:embed="rId28"/>
                    <a:stretch>
                      <a:fillRect/>
                    </a:stretch>
                  </pic:blipFill>
                  <pic:spPr bwMode="auto">
                    <a:xfrm>
                      <a:off x="0" y="0"/>
                      <a:ext cx="5303520" cy="3181985"/>
                    </a:xfrm>
                    <a:prstGeom prst="rect">
                      <a:avLst/>
                    </a:prstGeom>
                  </pic:spPr>
                </pic:pic>
              </a:graphicData>
            </a:graphic>
          </wp:inline>
        </w:drawing>
      </w:r>
    </w:p>
    <w:p>
      <w:pPr>
        <w:pStyle w:val="Normal"/>
        <w:rPr/>
      </w:pPr>
      <w:r>
        <w:rPr>
          <w:i/>
        </w:rPr>
        <w:t>Figure F.6 – Unit-stake cumulative profit comparison (2023/24 vs 2024/25).</w:t>
      </w:r>
    </w:p>
    <w:p>
      <w:pPr>
        <w:pStyle w:val="Normal"/>
        <w:rPr>
          <w:i/>
          <w:i/>
        </w:rPr>
      </w:pPr>
      <w:r>
        <w:rPr/>
      </w:r>
    </w:p>
    <w:p>
      <w:pPr>
        <w:pStyle w:val="Normal"/>
        <w:rPr/>
      </w:pPr>
      <w:r>
        <w:rPr>
          <w:i/>
        </w:rPr>
        <w:drawing>
          <wp:inline distT="0" distB="0" distL="114935" distR="114935">
            <wp:extent cx="5486400" cy="2351405"/>
            <wp:effectExtent l="0" t="0" r="0" b="0"/>
            <wp:docPr id="28" name="Εικόνα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20" descr=""/>
                    <pic:cNvPicPr>
                      <a:picLocks noChangeAspect="1" noChangeArrowheads="1"/>
                    </pic:cNvPicPr>
                  </pic:nvPicPr>
                  <pic:blipFill>
                    <a:blip r:embed="rId29"/>
                    <a:stretch>
                      <a:fillRect/>
                    </a:stretch>
                  </pic:blipFill>
                  <pic:spPr bwMode="auto">
                    <a:xfrm>
                      <a:off x="0" y="0"/>
                      <a:ext cx="5486400" cy="2351405"/>
                    </a:xfrm>
                    <a:prstGeom prst="rect">
                      <a:avLst/>
                    </a:prstGeom>
                  </pic:spPr>
                </pic:pic>
              </a:graphicData>
            </a:graphic>
          </wp:inline>
        </w:drawing>
      </w:r>
    </w:p>
    <w:p>
      <w:pPr>
        <w:pStyle w:val="Normal"/>
        <w:rPr>
          <w:i/>
          <w:i/>
        </w:rPr>
      </w:pPr>
      <w:r>
        <w:rPr/>
      </w:r>
    </w:p>
    <w:p>
      <w:pPr>
        <w:pStyle w:val="Normal"/>
        <w:rPr>
          <w:b/>
          <w:b/>
          <w:sz w:val="28"/>
        </w:rPr>
      </w:pPr>
      <w:r>
        <w:rPr>
          <w:b/>
          <w:sz w:val="28"/>
        </w:rPr>
        <w:t xml:space="preserve">Appendix G — Equity Tail-Event Calibration: SPX (R&lt;−2%) &amp; AAPL (R&lt;−3%), Normal vs t vs EWMA </w:t>
      </w:r>
    </w:p>
    <w:p>
      <w:pPr>
        <w:pStyle w:val="Normal"/>
        <w:rPr/>
      </w:pPr>
      <w:r>
        <w:rPr>
          <w:b/>
          <w:sz w:val="28"/>
        </w:rPr>
        <w:t>Stocks Mini-Case – SPX (R&lt;-2%) vs AAPL (R&lt;-3%), Normal vs t(ν=6) vs EWMA</w:t>
      </w:r>
    </w:p>
    <w:p>
      <w:pPr>
        <w:pStyle w:val="Normal"/>
        <w:rPr/>
      </w:pPr>
      <w:r>
        <w:rPr/>
        <w:t>We add SPX heavy-tail and time-varying volatility estimators for symmetry. Models: 60-day Normal; 60-day Student</w:t>
        <w:noBreakHyphen/>
        <w:t>t (ν=6, variance-matched); EWMA Normal (λ=0.94, mean≈0). Thresholds: SPX R&lt;−2%, AAPL R&lt;−3%.</w:t>
      </w:r>
    </w:p>
    <w:tbl>
      <w:tblPr>
        <w:tblW w:w="863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34"/>
        <w:gridCol w:w="1233"/>
        <w:gridCol w:w="1235"/>
        <w:gridCol w:w="1233"/>
        <w:gridCol w:w="1235"/>
        <w:gridCol w:w="1233"/>
        <w:gridCol w:w="1234"/>
      </w:tblGrid>
      <w:tr>
        <w:trPr/>
        <w:tc>
          <w:tcPr>
            <w:tcW w:w="1234" w:type="dxa"/>
            <w:tcBorders/>
          </w:tcPr>
          <w:p>
            <w:pPr>
              <w:pStyle w:val="Normal"/>
              <w:widowControl w:val="false"/>
              <w:spacing w:before="0" w:after="200"/>
              <w:rPr/>
            </w:pPr>
            <w:r>
              <w:rPr/>
              <w:t>Ticker</w:t>
            </w:r>
          </w:p>
        </w:tc>
        <w:tc>
          <w:tcPr>
            <w:tcW w:w="1233" w:type="dxa"/>
            <w:tcBorders/>
          </w:tcPr>
          <w:p>
            <w:pPr>
              <w:pStyle w:val="Normal"/>
              <w:widowControl w:val="false"/>
              <w:spacing w:before="0" w:after="200"/>
              <w:rPr/>
            </w:pPr>
            <w:r>
              <w:rPr/>
              <w:t>Threshold</w:t>
            </w:r>
          </w:p>
        </w:tc>
        <w:tc>
          <w:tcPr>
            <w:tcW w:w="1235" w:type="dxa"/>
            <w:tcBorders/>
          </w:tcPr>
          <w:p>
            <w:pPr>
              <w:pStyle w:val="Normal"/>
              <w:widowControl w:val="false"/>
              <w:spacing w:before="0" w:after="200"/>
              <w:rPr/>
            </w:pPr>
            <w:r>
              <w:rPr/>
              <w:t>Model</w:t>
            </w:r>
          </w:p>
        </w:tc>
        <w:tc>
          <w:tcPr>
            <w:tcW w:w="1233" w:type="dxa"/>
            <w:tcBorders/>
          </w:tcPr>
          <w:p>
            <w:pPr>
              <w:pStyle w:val="Normal"/>
              <w:widowControl w:val="false"/>
              <w:spacing w:before="0" w:after="200"/>
              <w:rPr/>
            </w:pPr>
            <w:r>
              <w:rPr/>
              <w:t>Obs</w:t>
            </w:r>
          </w:p>
        </w:tc>
        <w:tc>
          <w:tcPr>
            <w:tcW w:w="1235" w:type="dxa"/>
            <w:tcBorders/>
          </w:tcPr>
          <w:p>
            <w:pPr>
              <w:pStyle w:val="Normal"/>
              <w:widowControl w:val="false"/>
              <w:spacing w:before="0" w:after="200"/>
              <w:rPr/>
            </w:pPr>
            <w:r>
              <w:rPr/>
              <w:t>Event rate</w:t>
            </w:r>
          </w:p>
        </w:tc>
        <w:tc>
          <w:tcPr>
            <w:tcW w:w="1233" w:type="dxa"/>
            <w:tcBorders/>
          </w:tcPr>
          <w:p>
            <w:pPr>
              <w:pStyle w:val="Normal"/>
              <w:widowControl w:val="false"/>
              <w:spacing w:before="0" w:after="200"/>
              <w:rPr/>
            </w:pPr>
            <w:r>
              <w:rPr/>
              <w:t>Brier</w:t>
            </w:r>
          </w:p>
        </w:tc>
        <w:tc>
          <w:tcPr>
            <w:tcW w:w="1234" w:type="dxa"/>
            <w:tcBorders/>
          </w:tcPr>
          <w:p>
            <w:pPr>
              <w:pStyle w:val="Normal"/>
              <w:widowControl w:val="false"/>
              <w:spacing w:before="0" w:after="200"/>
              <w:rPr/>
            </w:pPr>
            <w:r>
              <w:rPr/>
              <w:t>Log-loss</w:t>
            </w:r>
          </w:p>
        </w:tc>
      </w:tr>
      <w:tr>
        <w:trPr/>
        <w:tc>
          <w:tcPr>
            <w:tcW w:w="1234" w:type="dxa"/>
            <w:tcBorders/>
          </w:tcPr>
          <w:p>
            <w:pPr>
              <w:pStyle w:val="Normal"/>
              <w:widowControl w:val="false"/>
              <w:spacing w:before="0" w:after="200"/>
              <w:rPr/>
            </w:pPr>
            <w:r>
              <w:rPr/>
              <w:t>SPX</w:t>
            </w:r>
          </w:p>
        </w:tc>
        <w:tc>
          <w:tcPr>
            <w:tcW w:w="1233" w:type="dxa"/>
            <w:tcBorders/>
          </w:tcPr>
          <w:p>
            <w:pPr>
              <w:pStyle w:val="Normal"/>
              <w:widowControl w:val="false"/>
              <w:spacing w:before="0" w:after="200"/>
              <w:rPr/>
            </w:pPr>
            <w:r>
              <w:rPr/>
              <w:t>-2%</w:t>
            </w:r>
          </w:p>
        </w:tc>
        <w:tc>
          <w:tcPr>
            <w:tcW w:w="1235" w:type="dxa"/>
            <w:tcBorders/>
          </w:tcPr>
          <w:p>
            <w:pPr>
              <w:pStyle w:val="Normal"/>
              <w:widowControl w:val="false"/>
              <w:spacing w:before="0" w:after="200"/>
              <w:rPr/>
            </w:pPr>
            <w:r>
              <w:rPr/>
              <w:t>Normal(60d)</w:t>
            </w:r>
          </w:p>
        </w:tc>
        <w:tc>
          <w:tcPr>
            <w:tcW w:w="1233" w:type="dxa"/>
            <w:tcBorders/>
          </w:tcPr>
          <w:p>
            <w:pPr>
              <w:pStyle w:val="Normal"/>
              <w:widowControl w:val="false"/>
              <w:spacing w:before="0" w:after="200"/>
              <w:rPr/>
            </w:pPr>
            <w:r>
              <w:rPr/>
              <w:t>39,451</w:t>
            </w:r>
          </w:p>
        </w:tc>
        <w:tc>
          <w:tcPr>
            <w:tcW w:w="1235" w:type="dxa"/>
            <w:tcBorders/>
          </w:tcPr>
          <w:p>
            <w:pPr>
              <w:pStyle w:val="Normal"/>
              <w:widowControl w:val="false"/>
              <w:spacing w:before="0" w:after="200"/>
              <w:rPr/>
            </w:pPr>
            <w:r>
              <w:rPr/>
              <w:t>0.0311</w:t>
            </w:r>
          </w:p>
        </w:tc>
        <w:tc>
          <w:tcPr>
            <w:tcW w:w="1233" w:type="dxa"/>
            <w:tcBorders/>
          </w:tcPr>
          <w:p>
            <w:pPr>
              <w:pStyle w:val="Normal"/>
              <w:widowControl w:val="false"/>
              <w:spacing w:before="0" w:after="200"/>
              <w:rPr/>
            </w:pPr>
            <w:r>
              <w:rPr/>
              <w:t>0.02815</w:t>
            </w:r>
          </w:p>
        </w:tc>
        <w:tc>
          <w:tcPr>
            <w:tcW w:w="1234" w:type="dxa"/>
            <w:tcBorders/>
          </w:tcPr>
          <w:p>
            <w:pPr>
              <w:pStyle w:val="Normal"/>
              <w:widowControl w:val="false"/>
              <w:spacing w:before="0" w:after="200"/>
              <w:rPr/>
            </w:pPr>
            <w:r>
              <w:rPr/>
              <w:t>0.11617</w:t>
            </w:r>
          </w:p>
        </w:tc>
      </w:tr>
      <w:tr>
        <w:trPr/>
        <w:tc>
          <w:tcPr>
            <w:tcW w:w="1234" w:type="dxa"/>
            <w:tcBorders/>
          </w:tcPr>
          <w:p>
            <w:pPr>
              <w:pStyle w:val="Normal"/>
              <w:widowControl w:val="false"/>
              <w:spacing w:before="0" w:after="200"/>
              <w:rPr/>
            </w:pPr>
            <w:r>
              <w:rPr/>
              <w:t>SPX</w:t>
            </w:r>
          </w:p>
        </w:tc>
        <w:tc>
          <w:tcPr>
            <w:tcW w:w="1233" w:type="dxa"/>
            <w:tcBorders/>
          </w:tcPr>
          <w:p>
            <w:pPr>
              <w:pStyle w:val="Normal"/>
              <w:widowControl w:val="false"/>
              <w:spacing w:before="0" w:after="200"/>
              <w:rPr/>
            </w:pPr>
            <w:r>
              <w:rPr/>
              <w:t>-2%</w:t>
            </w:r>
          </w:p>
        </w:tc>
        <w:tc>
          <w:tcPr>
            <w:tcW w:w="1235" w:type="dxa"/>
            <w:tcBorders/>
          </w:tcPr>
          <w:p>
            <w:pPr>
              <w:pStyle w:val="Normal"/>
              <w:widowControl w:val="false"/>
              <w:spacing w:before="0" w:after="200"/>
              <w:rPr/>
            </w:pPr>
            <w:r>
              <w:rPr/>
              <w:t>t(ν=6, 60d)</w:t>
            </w:r>
          </w:p>
        </w:tc>
        <w:tc>
          <w:tcPr>
            <w:tcW w:w="1233" w:type="dxa"/>
            <w:tcBorders/>
          </w:tcPr>
          <w:p>
            <w:pPr>
              <w:pStyle w:val="Normal"/>
              <w:widowControl w:val="false"/>
              <w:spacing w:before="0" w:after="200"/>
              <w:rPr/>
            </w:pPr>
            <w:r>
              <w:rPr/>
              <w:t>39,451</w:t>
            </w:r>
          </w:p>
        </w:tc>
        <w:tc>
          <w:tcPr>
            <w:tcW w:w="1235" w:type="dxa"/>
            <w:tcBorders/>
          </w:tcPr>
          <w:p>
            <w:pPr>
              <w:pStyle w:val="Normal"/>
              <w:widowControl w:val="false"/>
              <w:spacing w:before="0" w:after="200"/>
              <w:rPr/>
            </w:pPr>
            <w:r>
              <w:rPr/>
              <w:t>0.0311</w:t>
            </w:r>
          </w:p>
        </w:tc>
        <w:tc>
          <w:tcPr>
            <w:tcW w:w="1233" w:type="dxa"/>
            <w:tcBorders/>
          </w:tcPr>
          <w:p>
            <w:pPr>
              <w:pStyle w:val="Normal"/>
              <w:widowControl w:val="false"/>
              <w:spacing w:before="0" w:after="200"/>
              <w:rPr/>
            </w:pPr>
            <w:r>
              <w:rPr/>
              <w:t>0.02796</w:t>
            </w:r>
          </w:p>
        </w:tc>
        <w:tc>
          <w:tcPr>
            <w:tcW w:w="1234" w:type="dxa"/>
            <w:tcBorders/>
          </w:tcPr>
          <w:p>
            <w:pPr>
              <w:pStyle w:val="Normal"/>
              <w:widowControl w:val="false"/>
              <w:spacing w:before="0" w:after="200"/>
              <w:rPr/>
            </w:pPr>
            <w:r>
              <w:rPr/>
              <w:t>0.11298</w:t>
            </w:r>
          </w:p>
        </w:tc>
      </w:tr>
      <w:tr>
        <w:trPr/>
        <w:tc>
          <w:tcPr>
            <w:tcW w:w="1234" w:type="dxa"/>
            <w:tcBorders/>
          </w:tcPr>
          <w:p>
            <w:pPr>
              <w:pStyle w:val="Normal"/>
              <w:widowControl w:val="false"/>
              <w:spacing w:before="0" w:after="200"/>
              <w:rPr/>
            </w:pPr>
            <w:r>
              <w:rPr/>
              <w:t>SPX</w:t>
            </w:r>
          </w:p>
        </w:tc>
        <w:tc>
          <w:tcPr>
            <w:tcW w:w="1233" w:type="dxa"/>
            <w:tcBorders/>
          </w:tcPr>
          <w:p>
            <w:pPr>
              <w:pStyle w:val="Normal"/>
              <w:widowControl w:val="false"/>
              <w:spacing w:before="0" w:after="200"/>
              <w:rPr/>
            </w:pPr>
            <w:r>
              <w:rPr/>
              <w:t>-2%</w:t>
            </w:r>
          </w:p>
        </w:tc>
        <w:tc>
          <w:tcPr>
            <w:tcW w:w="1235" w:type="dxa"/>
            <w:tcBorders/>
          </w:tcPr>
          <w:p>
            <w:pPr>
              <w:pStyle w:val="Normal"/>
              <w:widowControl w:val="false"/>
              <w:spacing w:before="0" w:after="200"/>
              <w:rPr/>
            </w:pPr>
            <w:r>
              <w:rPr/>
              <w:t>EWMA(λ=0.94)</w:t>
            </w:r>
          </w:p>
        </w:tc>
        <w:tc>
          <w:tcPr>
            <w:tcW w:w="1233" w:type="dxa"/>
            <w:tcBorders/>
          </w:tcPr>
          <w:p>
            <w:pPr>
              <w:pStyle w:val="Normal"/>
              <w:widowControl w:val="false"/>
              <w:spacing w:before="0" w:after="200"/>
              <w:rPr/>
            </w:pPr>
            <w:r>
              <w:rPr/>
              <w:t>39,260</w:t>
            </w:r>
          </w:p>
        </w:tc>
        <w:tc>
          <w:tcPr>
            <w:tcW w:w="1235" w:type="dxa"/>
            <w:tcBorders/>
          </w:tcPr>
          <w:p>
            <w:pPr>
              <w:pStyle w:val="Normal"/>
              <w:widowControl w:val="false"/>
              <w:spacing w:before="0" w:after="200"/>
              <w:rPr/>
            </w:pPr>
            <w:r>
              <w:rPr/>
              <w:t>0.0305</w:t>
            </w:r>
          </w:p>
        </w:tc>
        <w:tc>
          <w:tcPr>
            <w:tcW w:w="1233" w:type="dxa"/>
            <w:tcBorders/>
          </w:tcPr>
          <w:p>
            <w:pPr>
              <w:pStyle w:val="Normal"/>
              <w:widowControl w:val="false"/>
              <w:spacing w:before="0" w:after="200"/>
              <w:rPr/>
            </w:pPr>
            <w:r>
              <w:rPr/>
              <w:t>0.02785</w:t>
            </w:r>
          </w:p>
        </w:tc>
        <w:tc>
          <w:tcPr>
            <w:tcW w:w="1234" w:type="dxa"/>
            <w:tcBorders/>
          </w:tcPr>
          <w:p>
            <w:pPr>
              <w:pStyle w:val="Normal"/>
              <w:widowControl w:val="false"/>
              <w:spacing w:before="0" w:after="200"/>
              <w:rPr/>
            </w:pPr>
            <w:r>
              <w:rPr/>
              <w:t>0.12115</w:t>
            </w:r>
          </w:p>
        </w:tc>
      </w:tr>
      <w:tr>
        <w:trPr/>
        <w:tc>
          <w:tcPr>
            <w:tcW w:w="1234" w:type="dxa"/>
            <w:tcBorders/>
          </w:tcPr>
          <w:p>
            <w:pPr>
              <w:pStyle w:val="Normal"/>
              <w:widowControl w:val="false"/>
              <w:spacing w:before="0" w:after="200"/>
              <w:rPr/>
            </w:pPr>
            <w:r>
              <w:rPr/>
              <w:t>AAPL</w:t>
            </w:r>
          </w:p>
        </w:tc>
        <w:tc>
          <w:tcPr>
            <w:tcW w:w="1233" w:type="dxa"/>
            <w:tcBorders/>
          </w:tcPr>
          <w:p>
            <w:pPr>
              <w:pStyle w:val="Normal"/>
              <w:widowControl w:val="false"/>
              <w:spacing w:before="0" w:after="200"/>
              <w:rPr/>
            </w:pPr>
            <w:r>
              <w:rPr/>
              <w:t>-3%</w:t>
            </w:r>
          </w:p>
        </w:tc>
        <w:tc>
          <w:tcPr>
            <w:tcW w:w="1235" w:type="dxa"/>
            <w:tcBorders/>
          </w:tcPr>
          <w:p>
            <w:pPr>
              <w:pStyle w:val="Normal"/>
              <w:widowControl w:val="false"/>
              <w:spacing w:before="0" w:after="200"/>
              <w:rPr/>
            </w:pPr>
            <w:r>
              <w:rPr/>
              <w:t>Normal(60d)</w:t>
            </w:r>
          </w:p>
        </w:tc>
        <w:tc>
          <w:tcPr>
            <w:tcW w:w="1233" w:type="dxa"/>
            <w:tcBorders/>
          </w:tcPr>
          <w:p>
            <w:pPr>
              <w:pStyle w:val="Normal"/>
              <w:widowControl w:val="false"/>
              <w:spacing w:before="0" w:after="200"/>
              <w:rPr/>
            </w:pPr>
            <w:r>
              <w:rPr/>
              <w:t>10,256</w:t>
            </w:r>
          </w:p>
        </w:tc>
        <w:tc>
          <w:tcPr>
            <w:tcW w:w="1235" w:type="dxa"/>
            <w:tcBorders/>
          </w:tcPr>
          <w:p>
            <w:pPr>
              <w:pStyle w:val="Normal"/>
              <w:widowControl w:val="false"/>
              <w:spacing w:before="0" w:after="200"/>
              <w:rPr/>
            </w:pPr>
            <w:r>
              <w:rPr/>
              <w:t>0.0824</w:t>
            </w:r>
          </w:p>
        </w:tc>
        <w:tc>
          <w:tcPr>
            <w:tcW w:w="1233" w:type="dxa"/>
            <w:tcBorders/>
          </w:tcPr>
          <w:p>
            <w:pPr>
              <w:pStyle w:val="Normal"/>
              <w:widowControl w:val="false"/>
              <w:spacing w:before="0" w:after="200"/>
              <w:rPr/>
            </w:pPr>
            <w:r>
              <w:rPr/>
              <w:t>0.07286</w:t>
            </w:r>
          </w:p>
        </w:tc>
        <w:tc>
          <w:tcPr>
            <w:tcW w:w="1234" w:type="dxa"/>
            <w:tcBorders/>
          </w:tcPr>
          <w:p>
            <w:pPr>
              <w:pStyle w:val="Normal"/>
              <w:widowControl w:val="false"/>
              <w:spacing w:before="0" w:after="200"/>
              <w:rPr/>
            </w:pPr>
            <w:r>
              <w:rPr/>
              <w:t>0.26441</w:t>
            </w:r>
          </w:p>
        </w:tc>
      </w:tr>
      <w:tr>
        <w:trPr/>
        <w:tc>
          <w:tcPr>
            <w:tcW w:w="1234" w:type="dxa"/>
            <w:tcBorders/>
          </w:tcPr>
          <w:p>
            <w:pPr>
              <w:pStyle w:val="Normal"/>
              <w:widowControl w:val="false"/>
              <w:spacing w:before="0" w:after="200"/>
              <w:rPr/>
            </w:pPr>
            <w:r>
              <w:rPr/>
              <w:t>AAPL</w:t>
            </w:r>
          </w:p>
        </w:tc>
        <w:tc>
          <w:tcPr>
            <w:tcW w:w="1233" w:type="dxa"/>
            <w:tcBorders/>
          </w:tcPr>
          <w:p>
            <w:pPr>
              <w:pStyle w:val="Normal"/>
              <w:widowControl w:val="false"/>
              <w:spacing w:before="0" w:after="200"/>
              <w:rPr/>
            </w:pPr>
            <w:r>
              <w:rPr/>
              <w:t>-3%</w:t>
            </w:r>
          </w:p>
        </w:tc>
        <w:tc>
          <w:tcPr>
            <w:tcW w:w="1235" w:type="dxa"/>
            <w:tcBorders/>
          </w:tcPr>
          <w:p>
            <w:pPr>
              <w:pStyle w:val="Normal"/>
              <w:widowControl w:val="false"/>
              <w:spacing w:before="0" w:after="200"/>
              <w:rPr/>
            </w:pPr>
            <w:r>
              <w:rPr/>
              <w:t>t(ν=6, 60d)</w:t>
            </w:r>
          </w:p>
        </w:tc>
        <w:tc>
          <w:tcPr>
            <w:tcW w:w="1233" w:type="dxa"/>
            <w:tcBorders/>
          </w:tcPr>
          <w:p>
            <w:pPr>
              <w:pStyle w:val="Normal"/>
              <w:widowControl w:val="false"/>
              <w:spacing w:before="0" w:after="200"/>
              <w:rPr/>
            </w:pPr>
            <w:r>
              <w:rPr/>
              <w:t>10,256</w:t>
            </w:r>
          </w:p>
        </w:tc>
        <w:tc>
          <w:tcPr>
            <w:tcW w:w="1235" w:type="dxa"/>
            <w:tcBorders/>
          </w:tcPr>
          <w:p>
            <w:pPr>
              <w:pStyle w:val="Normal"/>
              <w:widowControl w:val="false"/>
              <w:spacing w:before="0" w:after="200"/>
              <w:rPr/>
            </w:pPr>
            <w:r>
              <w:rPr/>
              <w:t>0.0824</w:t>
            </w:r>
          </w:p>
        </w:tc>
        <w:tc>
          <w:tcPr>
            <w:tcW w:w="1233" w:type="dxa"/>
            <w:tcBorders/>
          </w:tcPr>
          <w:p>
            <w:pPr>
              <w:pStyle w:val="Normal"/>
              <w:widowControl w:val="false"/>
              <w:spacing w:before="0" w:after="200"/>
              <w:rPr/>
            </w:pPr>
            <w:r>
              <w:rPr/>
              <w:t>0.07223</w:t>
            </w:r>
          </w:p>
        </w:tc>
        <w:tc>
          <w:tcPr>
            <w:tcW w:w="1234" w:type="dxa"/>
            <w:tcBorders/>
          </w:tcPr>
          <w:p>
            <w:pPr>
              <w:pStyle w:val="Normal"/>
              <w:widowControl w:val="false"/>
              <w:spacing w:before="0" w:after="200"/>
              <w:rPr/>
            </w:pPr>
            <w:r>
              <w:rPr/>
              <w:t>0.26153</w:t>
            </w:r>
          </w:p>
        </w:tc>
      </w:tr>
      <w:tr>
        <w:trPr/>
        <w:tc>
          <w:tcPr>
            <w:tcW w:w="1234" w:type="dxa"/>
            <w:tcBorders/>
          </w:tcPr>
          <w:p>
            <w:pPr>
              <w:pStyle w:val="Normal"/>
              <w:widowControl w:val="false"/>
              <w:spacing w:before="0" w:after="200"/>
              <w:rPr/>
            </w:pPr>
            <w:r>
              <w:rPr/>
              <w:t>AAPL</w:t>
            </w:r>
          </w:p>
        </w:tc>
        <w:tc>
          <w:tcPr>
            <w:tcW w:w="1233" w:type="dxa"/>
            <w:tcBorders/>
          </w:tcPr>
          <w:p>
            <w:pPr>
              <w:pStyle w:val="Normal"/>
              <w:widowControl w:val="false"/>
              <w:spacing w:before="0" w:after="200"/>
              <w:rPr/>
            </w:pPr>
            <w:r>
              <w:rPr/>
              <w:t>-3%</w:t>
            </w:r>
          </w:p>
        </w:tc>
        <w:tc>
          <w:tcPr>
            <w:tcW w:w="1235" w:type="dxa"/>
            <w:tcBorders/>
          </w:tcPr>
          <w:p>
            <w:pPr>
              <w:pStyle w:val="Normal"/>
              <w:widowControl w:val="false"/>
              <w:spacing w:before="0" w:after="200"/>
              <w:rPr/>
            </w:pPr>
            <w:r>
              <w:rPr/>
              <w:t>EWMA(λ=0.94)</w:t>
            </w:r>
          </w:p>
        </w:tc>
        <w:tc>
          <w:tcPr>
            <w:tcW w:w="1233" w:type="dxa"/>
            <w:tcBorders/>
          </w:tcPr>
          <w:p>
            <w:pPr>
              <w:pStyle w:val="Normal"/>
              <w:widowControl w:val="false"/>
              <w:spacing w:before="0" w:after="200"/>
              <w:rPr/>
            </w:pPr>
            <w:r>
              <w:rPr/>
              <w:t>10,065</w:t>
            </w:r>
          </w:p>
        </w:tc>
        <w:tc>
          <w:tcPr>
            <w:tcW w:w="1235" w:type="dxa"/>
            <w:tcBorders/>
          </w:tcPr>
          <w:p>
            <w:pPr>
              <w:pStyle w:val="Normal"/>
              <w:widowControl w:val="false"/>
              <w:spacing w:before="0" w:after="200"/>
              <w:rPr/>
            </w:pPr>
            <w:r>
              <w:rPr/>
              <w:t>0.0814</w:t>
            </w:r>
          </w:p>
        </w:tc>
        <w:tc>
          <w:tcPr>
            <w:tcW w:w="1233" w:type="dxa"/>
            <w:tcBorders/>
          </w:tcPr>
          <w:p>
            <w:pPr>
              <w:pStyle w:val="Normal"/>
              <w:widowControl w:val="false"/>
              <w:spacing w:before="0" w:after="200"/>
              <w:rPr/>
            </w:pPr>
            <w:r>
              <w:rPr/>
              <w:t>0.07264</w:t>
            </w:r>
          </w:p>
        </w:tc>
        <w:tc>
          <w:tcPr>
            <w:tcW w:w="1234" w:type="dxa"/>
            <w:tcBorders/>
          </w:tcPr>
          <w:p>
            <w:pPr>
              <w:pStyle w:val="Normal"/>
              <w:widowControl w:val="false"/>
              <w:spacing w:before="0" w:after="200"/>
              <w:rPr/>
            </w:pPr>
            <w:r>
              <w:rPr/>
              <w:t>0.26669</w:t>
            </w:r>
          </w:p>
        </w:tc>
      </w:tr>
    </w:tbl>
    <w:p>
      <w:pPr>
        <w:pStyle w:val="Normal"/>
        <w:rPr/>
      </w:pPr>
      <w:r>
        <w:rPr/>
      </w:r>
    </w:p>
    <w:p>
      <w:pPr>
        <w:pStyle w:val="Normal"/>
        <w:rPr/>
      </w:pPr>
      <w:r>
        <w:rPr/>
        <w:drawing>
          <wp:inline distT="0" distB="0" distL="114935" distR="114935">
            <wp:extent cx="5303520" cy="4419600"/>
            <wp:effectExtent l="0" t="0" r="0" b="0"/>
            <wp:docPr id="29" name="Εικόνα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21" descr=""/>
                    <pic:cNvPicPr>
                      <a:picLocks noChangeAspect="1" noChangeArrowheads="1"/>
                    </pic:cNvPicPr>
                  </pic:nvPicPr>
                  <pic:blipFill>
                    <a:blip r:embed="rId30"/>
                    <a:stretch>
                      <a:fillRect/>
                    </a:stretch>
                  </pic:blipFill>
                  <pic:spPr bwMode="auto">
                    <a:xfrm>
                      <a:off x="0" y="0"/>
                      <a:ext cx="5303520" cy="4419600"/>
                    </a:xfrm>
                    <a:prstGeom prst="rect">
                      <a:avLst/>
                    </a:prstGeom>
                  </pic:spPr>
                </pic:pic>
              </a:graphicData>
            </a:graphic>
          </wp:inline>
        </w:drawing>
      </w:r>
    </w:p>
    <w:p>
      <w:pPr>
        <w:pStyle w:val="Normal"/>
        <w:rPr/>
      </w:pPr>
      <w:r>
        <w:rPr>
          <w:i/>
        </w:rPr>
        <w:t>Figure M.1 – AAPL (R&lt;−3%): reliability across Normal, t(ν=6), and EWMA.</w:t>
      </w:r>
    </w:p>
    <w:p>
      <w:pPr>
        <w:pStyle w:val="Normal"/>
        <w:rPr/>
      </w:pPr>
      <w:r>
        <w:rPr/>
        <w:drawing>
          <wp:inline distT="0" distB="0" distL="114935" distR="114935">
            <wp:extent cx="5303520" cy="4419600"/>
            <wp:effectExtent l="0" t="0" r="0" b="0"/>
            <wp:docPr id="30" name="Εικόνα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22" descr=""/>
                    <pic:cNvPicPr>
                      <a:picLocks noChangeAspect="1" noChangeArrowheads="1"/>
                    </pic:cNvPicPr>
                  </pic:nvPicPr>
                  <pic:blipFill>
                    <a:blip r:embed="rId31"/>
                    <a:stretch>
                      <a:fillRect/>
                    </a:stretch>
                  </pic:blipFill>
                  <pic:spPr bwMode="auto">
                    <a:xfrm>
                      <a:off x="0" y="0"/>
                      <a:ext cx="5303520" cy="4419600"/>
                    </a:xfrm>
                    <a:prstGeom prst="rect">
                      <a:avLst/>
                    </a:prstGeom>
                  </pic:spPr>
                </pic:pic>
              </a:graphicData>
            </a:graphic>
          </wp:inline>
        </w:drawing>
      </w:r>
    </w:p>
    <w:p>
      <w:pPr>
        <w:pStyle w:val="Normal"/>
        <w:rPr/>
      </w:pPr>
      <w:r>
        <w:rPr>
          <w:i/>
        </w:rPr>
        <w:t>Figure M.2 – SPX (R&lt;−2%): reliability across Normal, t(ν=6), and EWMA.</w:t>
      </w:r>
    </w:p>
    <w:p>
      <w:pPr>
        <w:pStyle w:val="Normal"/>
        <w:rPr/>
      </w:pPr>
      <w:r>
        <w:rPr/>
        <w:drawing>
          <wp:inline distT="0" distB="0" distL="114935" distR="114935">
            <wp:extent cx="5486400" cy="2351405"/>
            <wp:effectExtent l="0" t="0" r="0" b="0"/>
            <wp:docPr id="31" name="Εικόνα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23" descr=""/>
                    <pic:cNvPicPr>
                      <a:picLocks noChangeAspect="1" noChangeArrowheads="1"/>
                    </pic:cNvPicPr>
                  </pic:nvPicPr>
                  <pic:blipFill>
                    <a:blip r:embed="rId32"/>
                    <a:stretch>
                      <a:fillRect/>
                    </a:stretch>
                  </pic:blipFill>
                  <pic:spPr bwMode="auto">
                    <a:xfrm>
                      <a:off x="0" y="0"/>
                      <a:ext cx="5486400" cy="2351405"/>
                    </a:xfrm>
                    <a:prstGeom prst="rect">
                      <a:avLst/>
                    </a:prstGeom>
                  </pic:spPr>
                </pic:pic>
              </a:graphicData>
            </a:graphic>
          </wp:inline>
        </w:drawing>
      </w:r>
    </w:p>
    <w:p>
      <w:pPr>
        <w:pStyle w:val="Normal"/>
        <w:rPr/>
      </w:pPr>
      <w:r>
        <w:rPr>
          <w:i/>
        </w:rPr>
        <w:t>Figure M.3 – AAPL (R&lt;−3%): 20-day tail-event incidence over time.</w:t>
      </w:r>
    </w:p>
    <w:p>
      <w:pPr>
        <w:pStyle w:val="3"/>
        <w:rPr/>
      </w:pPr>
      <w:r>
        <w:rPr>
          <w:i/>
        </w:rPr>
        <w:t>Conclusions</w:t>
      </w:r>
    </w:p>
    <w:p>
      <w:pPr>
        <w:pStyle w:val="Style11"/>
        <w:rPr/>
      </w:pPr>
      <w:r>
        <w:rPr/>
        <w:t>We introduced a unified “Luck” functional that fuses probability, utility, surprisal, and information collapse, and proved normalization and convergence properties (GC/ULLN) enabling consistent ERM. Applications across lotteries, football markets, roulette, and slots demonstrate that the framework is domain-agnostic yet empirically testable: calibration curves align with theory, and variance-driven phenomena (e.g., table limits or high-volatility slots) appear exactly where the axioms predict.</w:t>
      </w:r>
    </w:p>
    <w:p>
      <w:pPr>
        <w:pStyle w:val="3"/>
        <w:spacing w:before="200" w:after="283"/>
        <w:rPr/>
      </w:pPr>
      <w:r>
        <w:rPr/>
        <w:t>Practical Implications</w:t>
      </w:r>
    </w:p>
    <w:p>
      <w:pPr>
        <w:pStyle w:val="Style11"/>
        <w:rPr/>
      </w:pPr>
      <w:r>
        <w:rPr/>
        <w:t>For applied modelers, the framework yields: (i) transparent calibration targets, (ii) robustness via Lipschitz constraints, and (iii) decision metrics that remain comparable across domains with different base rates and paytables.</w:t>
      </w:r>
    </w:p>
    <w:p>
      <w:pPr>
        <w:pStyle w:val="3"/>
        <w:spacing w:before="200" w:after="283"/>
        <w:rPr/>
      </w:pPr>
      <w:r>
        <w:rPr/>
        <w:t>Limitations &amp; Future Work</w:t>
      </w:r>
    </w:p>
    <w:p>
      <w:pPr>
        <w:pStyle w:val="Style11"/>
        <w:rPr/>
      </w:pPr>
      <w:r>
        <w:rPr/>
        <w:t>Our results depend on sales reporting quality (lotteries), seasonal demand (sports), operator RTP settings (slots), and simple return dynamics (equities). Future work: richer utility UUU (risk-averse/CRRA, prospect-theory), heavy-tail &amp; regime-switching for returns, multi-market information flows (cross-entropy regularizers), and non-parametric calibration under partial observability.</w:t>
      </w:r>
    </w:p>
    <w:p>
      <w:pPr>
        <w:pStyle w:val="3"/>
        <w:spacing w:before="200" w:after="283"/>
        <w:rPr/>
      </w:pPr>
      <w:r>
        <w:rPr/>
        <w:t>Data &amp; Code Availability</w:t>
      </w:r>
    </w:p>
    <w:p>
      <w:pPr>
        <w:pStyle w:val="Style11"/>
        <w:rPr/>
      </w:pPr>
      <w:r>
        <w:rPr/>
        <w:t xml:space="preserve">All code and data to reproduce figures and tables (lottery tiers, football odds, roulette/slots simulations, SPX/AAPL analyses) will be released at </w:t>
      </w:r>
      <w:r>
        <w:rPr>
          <w:rStyle w:val="Style7"/>
        </w:rPr>
        <w:t>[repository/DOI placeholder]</w:t>
      </w:r>
      <w:r>
        <w:rPr/>
        <w:t>. A reproducibility README includes versions, seeds, and run scripts.</w:t>
      </w:r>
    </w:p>
    <w:p>
      <w:pPr>
        <w:pStyle w:val="3"/>
        <w:spacing w:before="200" w:after="283"/>
        <w:rPr/>
      </w:pPr>
      <w:r>
        <w:rPr/>
        <w:t>CRediT Author Statement</w:t>
      </w:r>
    </w:p>
    <w:p>
      <w:pPr>
        <w:pStyle w:val="Style11"/>
        <w:numPr>
          <w:ilvl w:val="0"/>
          <w:numId w:val="2"/>
        </w:numPr>
        <w:tabs>
          <w:tab w:val="clear" w:pos="720"/>
          <w:tab w:val="left" w:pos="0" w:leader="none"/>
        </w:tabs>
        <w:ind w:left="707" w:hanging="283"/>
        <w:rPr/>
      </w:pPr>
      <w:r>
        <w:rPr>
          <w:rStyle w:val="Style7"/>
        </w:rPr>
        <w:t>Conceptualization:</w:t>
      </w:r>
      <w:r>
        <w:rPr/>
        <w:t xml:space="preserve"> [Name]</w:t>
      </w:r>
    </w:p>
    <w:p>
      <w:pPr>
        <w:pStyle w:val="Style11"/>
        <w:numPr>
          <w:ilvl w:val="0"/>
          <w:numId w:val="2"/>
        </w:numPr>
        <w:tabs>
          <w:tab w:val="clear" w:pos="720"/>
          <w:tab w:val="left" w:pos="0" w:leader="none"/>
        </w:tabs>
        <w:ind w:left="707" w:hanging="283"/>
        <w:rPr/>
      </w:pPr>
      <w:r>
        <w:rPr>
          <w:rStyle w:val="Style7"/>
        </w:rPr>
        <w:t>Methodology:</w:t>
      </w:r>
      <w:r>
        <w:rPr/>
        <w:t xml:space="preserve"> [Name]</w:t>
      </w:r>
    </w:p>
    <w:p>
      <w:pPr>
        <w:pStyle w:val="Style11"/>
        <w:numPr>
          <w:ilvl w:val="0"/>
          <w:numId w:val="2"/>
        </w:numPr>
        <w:tabs>
          <w:tab w:val="clear" w:pos="720"/>
          <w:tab w:val="left" w:pos="0" w:leader="none"/>
        </w:tabs>
        <w:ind w:left="707" w:hanging="283"/>
        <w:rPr/>
      </w:pPr>
      <w:r>
        <w:rPr>
          <w:rStyle w:val="Style7"/>
        </w:rPr>
        <w:t>Software:</w:t>
      </w:r>
      <w:r>
        <w:rPr/>
        <w:t xml:space="preserve"> [Name]</w:t>
      </w:r>
    </w:p>
    <w:p>
      <w:pPr>
        <w:pStyle w:val="Style11"/>
        <w:numPr>
          <w:ilvl w:val="0"/>
          <w:numId w:val="2"/>
        </w:numPr>
        <w:tabs>
          <w:tab w:val="clear" w:pos="720"/>
          <w:tab w:val="left" w:pos="0" w:leader="none"/>
        </w:tabs>
        <w:ind w:left="707" w:hanging="283"/>
        <w:rPr/>
      </w:pPr>
      <w:r>
        <w:rPr>
          <w:rStyle w:val="Style7"/>
        </w:rPr>
        <w:t>Validation:</w:t>
      </w:r>
      <w:r>
        <w:rPr/>
        <w:t xml:space="preserve"> [Name]</w:t>
      </w:r>
    </w:p>
    <w:p>
      <w:pPr>
        <w:pStyle w:val="Style11"/>
        <w:numPr>
          <w:ilvl w:val="0"/>
          <w:numId w:val="2"/>
        </w:numPr>
        <w:tabs>
          <w:tab w:val="clear" w:pos="720"/>
          <w:tab w:val="left" w:pos="0" w:leader="none"/>
        </w:tabs>
        <w:ind w:left="707" w:hanging="283"/>
        <w:rPr/>
      </w:pPr>
      <w:r>
        <w:rPr>
          <w:rStyle w:val="Style7"/>
        </w:rPr>
        <w:t>Formal Analysis:</w:t>
      </w:r>
      <w:r>
        <w:rPr/>
        <w:t xml:space="preserve"> [Name]</w:t>
      </w:r>
    </w:p>
    <w:p>
      <w:pPr>
        <w:pStyle w:val="Style11"/>
        <w:numPr>
          <w:ilvl w:val="0"/>
          <w:numId w:val="2"/>
        </w:numPr>
        <w:tabs>
          <w:tab w:val="clear" w:pos="720"/>
          <w:tab w:val="left" w:pos="0" w:leader="none"/>
        </w:tabs>
        <w:ind w:left="707" w:hanging="283"/>
        <w:rPr/>
      </w:pPr>
      <w:r>
        <w:rPr>
          <w:rStyle w:val="Style7"/>
        </w:rPr>
        <w:t>Investigation:</w:t>
      </w:r>
      <w:r>
        <w:rPr/>
        <w:t xml:space="preserve"> [Name]</w:t>
      </w:r>
    </w:p>
    <w:p>
      <w:pPr>
        <w:pStyle w:val="Style11"/>
        <w:numPr>
          <w:ilvl w:val="0"/>
          <w:numId w:val="2"/>
        </w:numPr>
        <w:tabs>
          <w:tab w:val="clear" w:pos="720"/>
          <w:tab w:val="left" w:pos="0" w:leader="none"/>
        </w:tabs>
        <w:ind w:left="707" w:hanging="283"/>
        <w:rPr/>
      </w:pPr>
      <w:r>
        <w:rPr>
          <w:rStyle w:val="Style7"/>
        </w:rPr>
        <w:t>Data Curation:</w:t>
      </w:r>
      <w:r>
        <w:rPr/>
        <w:t xml:space="preserve"> [Name]</w:t>
      </w:r>
    </w:p>
    <w:p>
      <w:pPr>
        <w:pStyle w:val="Style11"/>
        <w:numPr>
          <w:ilvl w:val="0"/>
          <w:numId w:val="2"/>
        </w:numPr>
        <w:tabs>
          <w:tab w:val="clear" w:pos="720"/>
          <w:tab w:val="left" w:pos="0" w:leader="none"/>
        </w:tabs>
        <w:ind w:left="707" w:hanging="283"/>
        <w:rPr/>
      </w:pPr>
      <w:r>
        <w:rPr>
          <w:rStyle w:val="Style7"/>
        </w:rPr>
        <w:t>Writing – Original Draft:</w:t>
      </w:r>
      <w:r>
        <w:rPr/>
        <w:t xml:space="preserve"> [Name]</w:t>
      </w:r>
    </w:p>
    <w:p>
      <w:pPr>
        <w:pStyle w:val="Style11"/>
        <w:numPr>
          <w:ilvl w:val="0"/>
          <w:numId w:val="2"/>
        </w:numPr>
        <w:tabs>
          <w:tab w:val="clear" w:pos="720"/>
          <w:tab w:val="left" w:pos="0" w:leader="none"/>
        </w:tabs>
        <w:ind w:left="707" w:hanging="283"/>
        <w:rPr/>
      </w:pPr>
      <w:r>
        <w:rPr>
          <w:rStyle w:val="Style7"/>
        </w:rPr>
        <w:t>Writing – Review &amp; Editing:</w:t>
      </w:r>
      <w:r>
        <w:rPr/>
        <w:t xml:space="preserve"> [Name]</w:t>
      </w:r>
    </w:p>
    <w:p>
      <w:pPr>
        <w:pStyle w:val="Style11"/>
        <w:numPr>
          <w:ilvl w:val="0"/>
          <w:numId w:val="2"/>
        </w:numPr>
        <w:tabs>
          <w:tab w:val="clear" w:pos="720"/>
          <w:tab w:val="left" w:pos="0" w:leader="none"/>
        </w:tabs>
        <w:ind w:left="707" w:hanging="283"/>
        <w:rPr/>
      </w:pPr>
      <w:r>
        <w:rPr>
          <w:rStyle w:val="Style7"/>
        </w:rPr>
        <w:t>Visualization:</w:t>
      </w:r>
      <w:r>
        <w:rPr/>
        <w:t xml:space="preserve"> [Name]</w:t>
      </w:r>
    </w:p>
    <w:p>
      <w:pPr>
        <w:pStyle w:val="Style11"/>
        <w:numPr>
          <w:ilvl w:val="0"/>
          <w:numId w:val="2"/>
        </w:numPr>
        <w:tabs>
          <w:tab w:val="clear" w:pos="720"/>
          <w:tab w:val="left" w:pos="0" w:leader="none"/>
        </w:tabs>
        <w:ind w:left="707" w:hanging="283"/>
        <w:rPr/>
      </w:pPr>
      <w:r>
        <w:rPr>
          <w:rStyle w:val="Style7"/>
        </w:rPr>
        <w:t>Supervision:</w:t>
      </w:r>
      <w:r>
        <w:rPr/>
        <w:t xml:space="preserve"> [Name]</w:t>
      </w:r>
    </w:p>
    <w:p>
      <w:pPr>
        <w:pStyle w:val="Style11"/>
        <w:numPr>
          <w:ilvl w:val="0"/>
          <w:numId w:val="2"/>
        </w:numPr>
        <w:tabs>
          <w:tab w:val="clear" w:pos="720"/>
          <w:tab w:val="left" w:pos="0" w:leader="none"/>
        </w:tabs>
        <w:ind w:left="707" w:hanging="283"/>
        <w:rPr/>
      </w:pPr>
      <w:r>
        <w:rPr>
          <w:rStyle w:val="Style7"/>
        </w:rPr>
        <w:t>Project Administration:</w:t>
      </w:r>
      <w:r>
        <w:rPr/>
        <w:t xml:space="preserve"> [Name]</w:t>
      </w:r>
    </w:p>
    <w:p>
      <w:pPr>
        <w:pStyle w:val="Style11"/>
        <w:numPr>
          <w:ilvl w:val="0"/>
          <w:numId w:val="2"/>
        </w:numPr>
        <w:tabs>
          <w:tab w:val="clear" w:pos="720"/>
          <w:tab w:val="left" w:pos="0" w:leader="none"/>
        </w:tabs>
        <w:ind w:left="707" w:hanging="283"/>
        <w:rPr/>
      </w:pPr>
      <w:r>
        <w:rPr>
          <w:rStyle w:val="Style7"/>
        </w:rPr>
        <w:t>Funding Acquisition:</w:t>
      </w:r>
      <w:r>
        <w:rPr/>
        <w:t xml:space="preserve"> [Name]</w:t>
      </w:r>
    </w:p>
    <w:p>
      <w:pPr>
        <w:pStyle w:val="3"/>
        <w:spacing w:before="200" w:after="283"/>
        <w:rPr/>
      </w:pPr>
      <w:r>
        <w:rPr/>
        <w:t>Declaration of Generative AI Use</w:t>
      </w:r>
    </w:p>
    <w:p>
      <w:pPr>
        <w:pStyle w:val="Style11"/>
        <w:rPr/>
      </w:pPr>
      <w:r>
        <w:rPr/>
        <w:t>Parts of the writing, figure scripting, and document assembly used an AI assistant (ChatGPT, OpenAI). The authors reviewed and take full responsibility for the content. No AI tools were listed as co-authors, and all sources and computations were verified by the authors.</w:t>
      </w:r>
    </w:p>
    <w:p>
      <w:pPr>
        <w:pStyle w:val="3"/>
        <w:spacing w:before="200" w:after="283"/>
        <w:rPr/>
      </w:pPr>
      <w:r>
        <w:rPr/>
        <w:t>Declaration of Competing Interest</w:t>
      </w:r>
    </w:p>
    <w:p>
      <w:pPr>
        <w:pStyle w:val="Style11"/>
        <w:rPr/>
      </w:pPr>
      <w:r>
        <w:rPr/>
        <w:t xml:space="preserve">The authors declare </w:t>
      </w:r>
      <w:r>
        <w:rPr>
          <w:rStyle w:val="Style7"/>
        </w:rPr>
        <w:t>no competing financial interests</w:t>
      </w:r>
      <w:r>
        <w:rPr/>
        <w:t xml:space="preserve"> or personal relationships that could have appeared to influence the work reported.</w:t>
      </w:r>
    </w:p>
    <w:p>
      <w:pPr>
        <w:pStyle w:val="3"/>
        <w:spacing w:before="200" w:after="283"/>
        <w:rPr/>
      </w:pPr>
      <w:r>
        <w:rPr/>
        <w:t>Funding</w:t>
      </w:r>
    </w:p>
    <w:p>
      <w:pPr>
        <w:pStyle w:val="Style11"/>
        <w:rPr/>
      </w:pPr>
      <w:r>
        <w:rPr/>
        <w:t xml:space="preserve">This research received </w:t>
      </w:r>
      <w:r>
        <w:rPr>
          <w:rStyle w:val="Style7"/>
        </w:rPr>
        <w:t>no specific grant</w:t>
      </w:r>
      <w:r>
        <w:rPr/>
        <w:t xml:space="preserve"> from funding agencies in the public, commercial, or not-for-profit sectors.</w:t>
        <w:br/>
      </w:r>
      <w:r>
        <w:rPr>
          <w:rStyle w:val="Style9"/>
        </w:rPr>
        <w:t>(If funded, replace with the grant and number.)</w:t>
      </w:r>
    </w:p>
    <w:p>
      <w:pPr>
        <w:pStyle w:val="3"/>
        <w:spacing w:before="200" w:after="283"/>
        <w:rPr/>
      </w:pPr>
      <w:r>
        <w:rPr/>
        <w:t>Acknowledgments</w:t>
      </w:r>
    </w:p>
    <w:p>
      <w:pPr>
        <w:pStyle w:val="Style11"/>
        <w:rPr/>
      </w:pPr>
      <w:r>
        <w:rPr/>
        <w:t>We thank [names/affiliations] for helpful discussions and feedback. Any remaining errors are our own.</w:t>
      </w:r>
    </w:p>
    <w:p>
      <w:pPr>
        <w:pStyle w:val="3"/>
        <w:spacing w:before="200" w:after="283"/>
        <w:rPr/>
      </w:pPr>
      <w:r>
        <w:rPr/>
        <w:t>Ethics Statement</w:t>
      </w:r>
    </w:p>
    <w:p>
      <w:pPr>
        <w:pStyle w:val="Style11"/>
        <w:rPr/>
      </w:pPr>
      <w:r>
        <w:rPr/>
        <w:t>This study does not involve human participants, personal data, or animal subjects. All analyses use public or synthetic datasets.</w:t>
      </w:r>
    </w:p>
    <w:p>
      <w:pPr>
        <w:pStyle w:val="3"/>
        <w:spacing w:before="200" w:after="283"/>
        <w:rPr/>
      </w:pPr>
      <w:r>
        <w:rPr/>
        <w:t>Disclaimer (Research-Only)</w:t>
      </w:r>
    </w:p>
    <w:p>
      <w:pPr>
        <w:pStyle w:val="Style11"/>
        <w:rPr/>
      </w:pPr>
      <w:r>
        <w:rPr/>
        <w:t xml:space="preserve">This article is for </w:t>
      </w:r>
      <w:r>
        <w:rPr>
          <w:rStyle w:val="Style7"/>
        </w:rPr>
        <w:t>research and education</w:t>
      </w:r>
      <w:r>
        <w:rPr/>
        <w:t xml:space="preserve">. It is </w:t>
      </w:r>
      <w:r>
        <w:rPr>
          <w:rStyle w:val="Style7"/>
        </w:rPr>
        <w:t>not</w:t>
      </w:r>
      <w:r>
        <w:rPr/>
        <w:t xml:space="preserve"> gambling or investment advice. Casino games have negative expected value; sports and markets involve financial risk; past performance does not guarantee future results.</w:t>
      </w:r>
    </w:p>
    <w:p>
      <w:pPr>
        <w:pStyle w:val="3"/>
        <w:spacing w:before="200" w:after="283"/>
        <w:rPr/>
      </w:pPr>
      <w:r>
        <w:rPr/>
        <w:t>Trademarks</w:t>
      </w:r>
    </w:p>
    <w:p>
      <w:pPr>
        <w:pStyle w:val="Style11"/>
        <w:rPr/>
      </w:pPr>
      <w:r>
        <w:rPr>
          <w:rStyle w:val="Style9"/>
        </w:rPr>
        <w:t>Starburst</w:t>
      </w:r>
      <w:r>
        <w:rPr/>
        <w:t xml:space="preserve"> (NetEnt) and </w:t>
      </w:r>
      <w:r>
        <w:rPr>
          <w:rStyle w:val="Style9"/>
        </w:rPr>
        <w:t>Book of Dead</w:t>
      </w:r>
      <w:r>
        <w:rPr/>
        <w:t xml:space="preserve"> (Play’n GO) are trademarks of their respective owners. Slot models herein are </w:t>
      </w:r>
      <w:r>
        <w:rPr>
          <w:rStyle w:val="Style7"/>
        </w:rPr>
        <w:t>surrogate, RTP/hit-rate–calibrated</w:t>
      </w:r>
      <w:r>
        <w:rPr/>
        <w:t xml:space="preserve"> approximations, not reverse-engineered paytables.</w:t>
      </w:r>
    </w:p>
    <w:p>
      <w:pPr>
        <w:pStyle w:val="3"/>
        <w:spacing w:before="200" w:after="283"/>
        <w:rPr/>
      </w:pPr>
      <w:r>
        <w:rPr/>
        <w:t>Supplementary/Appendices</w:t>
      </w:r>
    </w:p>
    <w:p>
      <w:pPr>
        <w:pStyle w:val="Style11"/>
        <w:numPr>
          <w:ilvl w:val="0"/>
          <w:numId w:val="3"/>
        </w:numPr>
        <w:tabs>
          <w:tab w:val="clear" w:pos="720"/>
          <w:tab w:val="left" w:pos="0" w:leader="none"/>
        </w:tabs>
        <w:ind w:left="707" w:hanging="283"/>
        <w:rPr/>
      </w:pPr>
      <w:r>
        <w:rPr>
          <w:rStyle w:val="Style7"/>
        </w:rPr>
        <w:t>Appendix B</w:t>
      </w:r>
      <w:r>
        <w:rPr/>
        <w:t xml:space="preserve"> – Explanatory Notes on Core Definitions and Results (with mini-examples).</w:t>
      </w:r>
    </w:p>
    <w:p>
      <w:pPr>
        <w:pStyle w:val="Style11"/>
        <w:numPr>
          <w:ilvl w:val="0"/>
          <w:numId w:val="3"/>
        </w:numPr>
        <w:tabs>
          <w:tab w:val="clear" w:pos="720"/>
          <w:tab w:val="left" w:pos="0" w:leader="none"/>
        </w:tabs>
        <w:ind w:left="707" w:hanging="283"/>
        <w:rPr/>
      </w:pPr>
      <w:r>
        <w:rPr>
          <w:rStyle w:val="Style7"/>
        </w:rPr>
        <w:t>Appendix C</w:t>
      </w:r>
      <w:r>
        <w:rPr/>
        <w:t xml:space="preserve"> – Lottery (OPAP Joker): Mechanics &amp; Jackpot Frequency.</w:t>
      </w:r>
    </w:p>
    <w:p>
      <w:pPr>
        <w:pStyle w:val="Style11"/>
        <w:numPr>
          <w:ilvl w:val="0"/>
          <w:numId w:val="3"/>
        </w:numPr>
        <w:tabs>
          <w:tab w:val="clear" w:pos="720"/>
          <w:tab w:val="left" w:pos="0" w:leader="none"/>
        </w:tabs>
        <w:ind w:left="707" w:hanging="283"/>
        <w:rPr/>
      </w:pPr>
      <w:r>
        <w:rPr>
          <w:rStyle w:val="Style7"/>
        </w:rPr>
        <w:t>Appendix D</w:t>
      </w:r>
      <w:r>
        <w:rPr/>
        <w:t xml:space="preserve"> – Online Slots: Starburst (Low-Vol) vs Book of Dead (High-Vol).</w:t>
      </w:r>
    </w:p>
    <w:p>
      <w:pPr>
        <w:pStyle w:val="Style11"/>
        <w:numPr>
          <w:ilvl w:val="0"/>
          <w:numId w:val="3"/>
        </w:numPr>
        <w:tabs>
          <w:tab w:val="clear" w:pos="720"/>
          <w:tab w:val="left" w:pos="0" w:leader="none"/>
        </w:tabs>
        <w:ind w:left="707" w:hanging="283"/>
        <w:rPr/>
      </w:pPr>
      <w:r>
        <w:rPr>
          <w:rStyle w:val="Style7"/>
        </w:rPr>
        <w:t>Appendix E</w:t>
      </w:r>
      <w:r>
        <w:rPr/>
        <w:t xml:space="preserve"> – Roulette: Theory, La Partage / En Prison, Systems &amp; Variance.</w:t>
      </w:r>
    </w:p>
    <w:p>
      <w:pPr>
        <w:pStyle w:val="Style11"/>
        <w:numPr>
          <w:ilvl w:val="0"/>
          <w:numId w:val="3"/>
        </w:numPr>
        <w:tabs>
          <w:tab w:val="clear" w:pos="720"/>
          <w:tab w:val="left" w:pos="0" w:leader="none"/>
        </w:tabs>
        <w:ind w:left="707" w:hanging="283"/>
        <w:rPr/>
      </w:pPr>
      <w:r>
        <w:rPr>
          <w:rStyle w:val="Style7"/>
        </w:rPr>
        <w:t>Appendix F</w:t>
      </w:r>
      <w:r>
        <w:rPr/>
        <w:t xml:space="preserve"> – Football (Super League): Market-Implied PPP, Utility &amp; Luck.</w:t>
      </w:r>
    </w:p>
    <w:p>
      <w:pPr>
        <w:pStyle w:val="Style11"/>
        <w:numPr>
          <w:ilvl w:val="0"/>
          <w:numId w:val="3"/>
        </w:numPr>
        <w:tabs>
          <w:tab w:val="clear" w:pos="720"/>
          <w:tab w:val="left" w:pos="0" w:leader="none"/>
        </w:tabs>
        <w:ind w:left="707" w:hanging="283"/>
        <w:rPr/>
      </w:pPr>
      <w:r>
        <w:rPr>
          <w:rStyle w:val="Style7"/>
        </w:rPr>
        <w:t>Appendix G</w:t>
      </w:r>
      <w:r>
        <w:rPr/>
        <w:t xml:space="preserve"> – Equities: SPX (R&lt;−2%) &amp; AAPL (R&lt;−3%), Normal vs t vs EWMA.</w:t>
      </w:r>
    </w:p>
    <w:p>
      <w:pPr>
        <w:pStyle w:val="Normal"/>
        <w:spacing w:before="0" w:after="200"/>
        <w:rPr>
          <w:i/>
          <w:i/>
        </w:rPr>
      </w:pPr>
      <w:r>
        <w:rPr/>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1"/>
    <w:family w:val="roman"/>
    <w:pitch w:val="variable"/>
  </w:font>
  <w:font w:name="Cambria">
    <w:charset w:val="a1"/>
    <w:family w:val="roman"/>
    <w:pitch w:val="variable"/>
  </w:font>
  <w:font w:name="Calibri">
    <w:charset w:val="a1"/>
    <w:family w:val="roman"/>
    <w:pitch w:val="variable"/>
  </w:font>
  <w:font w:name="Consolas">
    <w:charset w:val="a1"/>
    <w:family w:val="roman"/>
    <w:pitch w:val="variable"/>
  </w:font>
  <w:font w:name="OpenSymbol">
    <w:altName w:val="Arial Unicode MS"/>
    <w:charset w:val="02"/>
    <w:family w:val="auto"/>
    <w:pitch w:val="default"/>
  </w:font>
  <w:font w:name="Liberation Sans">
    <w:altName w:val="Arial"/>
    <w:charset w:val="a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1">
    <w:name w:val="Heading 1"/>
    <w:basedOn w:val="Normal"/>
    <w:next w:val="Style11"/>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11"/>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11"/>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11"/>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11"/>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11"/>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11"/>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11"/>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11"/>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Αγκίστρωση υποσημείωσης"/>
    <w:rPr>
      <w:vertAlign w:val="superscript"/>
    </w:rPr>
  </w:style>
  <w:style w:type="character" w:styleId="FootnoteCharacters">
    <w:name w:val="Footnote Characters"/>
    <w:basedOn w:val="BodyTextChar"/>
    <w:qFormat/>
    <w:rPr>
      <w:vertAlign w:val="superscript"/>
    </w:rPr>
  </w:style>
  <w:style w:type="character" w:styleId="Style6">
    <w:name w:val="Σύνδεσμος διαδικτύου"/>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Style7">
    <w:name w:val="Έντονη έμφαση"/>
    <w:qFormat/>
    <w:rPr>
      <w:b/>
      <w:bCs/>
    </w:rPr>
  </w:style>
  <w:style w:type="character" w:styleId="Style8">
    <w:name w:val="Κουκκίδες"/>
    <w:qFormat/>
    <w:rPr>
      <w:rFonts w:ascii="OpenSymbol" w:hAnsi="OpenSymbol" w:eastAsia="OpenSymbol" w:cs="OpenSymbol"/>
    </w:rPr>
  </w:style>
  <w:style w:type="character" w:styleId="Style9">
    <w:name w:val="Έμφαση"/>
    <w:qFormat/>
    <w:rPr>
      <w:i/>
      <w:iCs/>
    </w:rPr>
  </w:style>
  <w:style w:type="paragraph" w:styleId="Style10">
    <w:name w:val="Επικεφαλίδα"/>
    <w:basedOn w:val="Normal"/>
    <w:next w:val="Style11"/>
    <w:qFormat/>
    <w:pPr>
      <w:keepNext w:val="true"/>
      <w:spacing w:before="240" w:after="120"/>
    </w:pPr>
    <w:rPr>
      <w:rFonts w:ascii="Liberation Sans" w:hAnsi="Liberation Sans" w:eastAsia="Microsoft YaHei" w:cs="Arial"/>
      <w:sz w:val="28"/>
      <w:szCs w:val="28"/>
    </w:rPr>
  </w:style>
  <w:style w:type="paragraph" w:styleId="Style11">
    <w:name w:val="Body Text"/>
    <w:basedOn w:val="Normal"/>
    <w:link w:val="BodyTextChar"/>
    <w:qFormat/>
    <w:pPr>
      <w:spacing w:before="180" w:after="180"/>
    </w:pPr>
    <w:rPr/>
  </w:style>
  <w:style w:type="paragraph" w:styleId="Style12">
    <w:name w:val="List"/>
    <w:basedOn w:val="Style11"/>
    <w:pPr/>
    <w:rPr>
      <w:rFonts w:cs="Arial"/>
    </w:rPr>
  </w:style>
  <w:style w:type="paragraph" w:styleId="Style13">
    <w:name w:val="Caption"/>
    <w:basedOn w:val="Normal"/>
    <w:link w:val="BodyTextChar"/>
    <w:qFormat/>
    <w:pPr>
      <w:spacing w:before="0" w:after="120"/>
    </w:pPr>
    <w:rPr>
      <w:i/>
    </w:rPr>
  </w:style>
  <w:style w:type="paragraph" w:styleId="Style14">
    <w:name w:val="Ευρετήριο"/>
    <w:basedOn w:val="Normal"/>
    <w:qFormat/>
    <w:pPr>
      <w:suppressLineNumbers/>
    </w:pPr>
    <w:rPr>
      <w:rFonts w:cs="Arial"/>
    </w:rPr>
  </w:style>
  <w:style w:type="paragraph" w:styleId="FirstParagraph" w:customStyle="1">
    <w:name w:val="First Paragraph"/>
    <w:basedOn w:val="Style11"/>
    <w:next w:val="Style11"/>
    <w:qFormat/>
    <w:pPr/>
    <w:rPr/>
  </w:style>
  <w:style w:type="paragraph" w:styleId="Compact" w:customStyle="1">
    <w:name w:val="Compact"/>
    <w:basedOn w:val="Style11"/>
    <w:qFormat/>
    <w:pPr>
      <w:spacing w:before="36" w:after="36"/>
    </w:pPr>
    <w:rPr/>
  </w:style>
  <w:style w:type="paragraph" w:styleId="Style15">
    <w:name w:val="Title"/>
    <w:basedOn w:val="Normal"/>
    <w:next w:val="Style11"/>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6">
    <w:name w:val="Subtitle"/>
    <w:basedOn w:val="Style15"/>
    <w:next w:val="Style11"/>
    <w:qFormat/>
    <w:pPr>
      <w:keepNext w:val="true"/>
      <w:keepLines/>
      <w:spacing w:before="240" w:after="240"/>
      <w:jc w:val="center"/>
    </w:pPr>
    <w:rPr>
      <w:sz w:val="30"/>
      <w:szCs w:val="30"/>
    </w:rPr>
  </w:style>
  <w:style w:type="paragraph" w:styleId="Author" w:customStyle="1">
    <w:name w:val="Author"/>
    <w:next w:val="Style11"/>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Style11"/>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Style11"/>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Style11"/>
    <w:next w:val="Style11"/>
    <w:uiPriority w:val="9"/>
    <w:unhideWhenUsed/>
    <w:qFormat/>
    <w:pPr>
      <w:spacing w:before="100" w:after="100"/>
      <w:ind w:left="480" w:right="480" w:hanging="0"/>
    </w:pPr>
    <w:rPr/>
  </w:style>
  <w:style w:type="paragraph" w:styleId="Style17">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3"/>
    <w:qFormat/>
    <w:pPr>
      <w:keepNext w:val="true"/>
    </w:pPr>
    <w:rPr/>
  </w:style>
  <w:style w:type="paragraph" w:styleId="ImageCaption" w:customStyle="1">
    <w:name w:val="Image Caption"/>
    <w:basedOn w:val="Style13"/>
    <w:qFormat/>
    <w:pPr/>
    <w:rPr/>
  </w:style>
  <w:style w:type="paragraph" w:styleId="Style18" w:customStyle="1">
    <w:name w:val="Σχήμα"/>
    <w:basedOn w:val="Normal"/>
    <w:qFormat/>
    <w:pPr/>
    <w:rPr/>
  </w:style>
  <w:style w:type="paragraph" w:styleId="CaptionedFigure" w:customStyle="1">
    <w:name w:val="Captioned Figure"/>
    <w:basedOn w:val="Style18"/>
    <w:qFormat/>
    <w:pPr>
      <w:keepNext w:val="true"/>
    </w:pPr>
    <w:rPr/>
  </w:style>
  <w:style w:type="paragraph" w:styleId="TOCHeading">
    <w:name w:val="TOC Heading"/>
    <w:basedOn w:val="1"/>
    <w:next w:val="Style1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LibreOffice/7.0.3.1$Windows_X86_64 LibreOffice_project/d7547858d014d4cf69878db179d326fc3483e082</Application>
  <Pages>32</Pages>
  <Words>2869</Words>
  <Characters>17914</Characters>
  <CharactersWithSpaces>20470</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2025-08-18T18:10:31Z</dcterms:created>
  <dc:creator>Draft Research Manuscript</dc:creator>
  <dc:description/>
  <dc:language>el-GR</dc:language>
  <cp:lastModifiedBy/>
  <dcterms:modified xsi:type="dcterms:W3CDTF">2025-08-19T04:15:49Z</dcterms:modified>
  <cp:revision>1</cp:revision>
  <dc:subject/>
  <dc:title>A Formal Measure of Luck: Theoretical Foundations, Convergence, and Empirical Validation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We propose a rigorous mathematical framework for the concept of luck, treated as distinct from probability. Our measure integrates probability, utility, entropy, and surprisal, and satisfies a set of axioms ensuring consistency with intuition. We develop normalization and convergence theorems, establish empirical risk minimization (ERM) consistency, and demonstrate applications in games of chance, sports betting, and financial markets with numerical examples and calibration plots.</vt:lpwstr>
  </property>
  <property fmtid="{D5CDD505-2E9C-101B-9397-08002B2CF9AE}" pid="9" name="date">
    <vt:lpwstr/>
  </property>
</Properties>
</file>