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r>
        <w:rPr>
          <w:b/>
          <w:sz w:val="28"/>
        </w:rPr>
        <w:t>Supplementary Material — Appendices</w:t>
      </w:r>
    </w:p>
    <w:p>
      <w:pPr>
        <w:pStyle w:val="Normal"/>
        <w:rPr/>
      </w:pPr>
      <w:r>
        <w:rPr/>
        <w:t>Appendix B – Explanatory Notes on Core Definitions and Results</w:t>
      </w:r>
    </w:p>
    <w:p>
      <w:pPr>
        <w:pStyle w:val="Normal"/>
        <w:rPr/>
      </w:pPr>
      <w:r>
        <w:rPr/>
        <w:t>B.1 Luck Measure</w:t>
      </w:r>
    </w:p>
    <w:p>
      <w:pPr>
        <w:pStyle w:val="Normal"/>
        <w:rPr/>
      </w:pPr>
      <w:r>
        <w:rPr/>
        <w:t>Applied Interpretation: The luck measure acts as a synthesizer of four quantities: probability, utility, entropy, and surprisal.</w:t>
      </w:r>
    </w:p>
    <w:p>
      <w:pPr>
        <w:pStyle w:val="Normal"/>
        <w:rPr/>
      </w:pPr>
      <w:r>
        <w:rPr/>
        <w:t>Theoretical Note: Defined on (Ω,Σ,ℙ) with information σ-algebra, measurability and monotone dependence on U,H,S ensure axiomatic consistency.</w:t>
      </w:r>
    </w:p>
    <w:p>
      <w:pPr>
        <w:pStyle w:val="Normal"/>
        <w:rPr/>
      </w:pPr>
      <w:r>
        <w:rPr>
          <w:b/>
        </w:rPr>
        <w:t>Table B.1: Mini-examples</w:t>
        <w:br/>
      </w:r>
      <w:r>
        <w:rPr>
          <w:i/>
        </w:rPr>
        <w:t>Input</w:t>
        <w:tab/>
        <w:t>Output</w:t>
        <w:br/>
      </w:r>
      <w:r>
        <w:rPr/>
        <w:t>P=0.2,U=1.5,H=1.1,S≈2.3</w:t>
        <w:tab/>
        <w:t>L≈1.32</w:t>
        <w:br/>
      </w:r>
    </w:p>
    <w:p>
      <w:pPr>
        <w:pStyle w:val="Normal"/>
        <w:rPr/>
      </w:pPr>
      <w:r>
        <w:rPr/>
        <w:t>B.2 Luck Bias</w:t>
      </w:r>
    </w:p>
    <w:p>
      <w:pPr>
        <w:pStyle w:val="Normal"/>
        <w:rPr/>
      </w:pPr>
      <w:r>
        <w:rPr/>
        <w:t>Applied Interpretation: Positive LB means experienced favorability exceeds bare probability. Useful for backtesting.</w:t>
      </w:r>
    </w:p>
    <w:p>
      <w:pPr>
        <w:pStyle w:val="Normal"/>
        <w:rPr/>
      </w:pPr>
      <w:r>
        <w:rPr/>
        <w:t>Theoretical Note: E[P(E|ℱ)] = P(E). Thus calibration requires unbiasedness relative to available info.</w:t>
      </w:r>
    </w:p>
    <w:p>
      <w:pPr>
        <w:pStyle w:val="Normal"/>
        <w:rPr/>
      </w:pPr>
      <w:r>
        <w:rPr>
          <w:b/>
        </w:rPr>
        <w:t>Table B.2: Mini-examples</w:t>
        <w:br/>
      </w:r>
      <w:r>
        <w:rPr>
          <w:i/>
        </w:rPr>
        <w:t>Input</w:t>
        <w:tab/>
        <w:t>Output</w:t>
        <w:br/>
      </w:r>
      <w:r>
        <w:rPr/>
        <w:t>L=0.40,P=0.28</w:t>
        <w:tab/>
        <w:t>LB=0.12</w:t>
        <w:br/>
      </w:r>
    </w:p>
    <w:p>
      <w:pPr>
        <w:pStyle w:val="Normal"/>
        <w:rPr/>
      </w:pPr>
      <w:r>
        <w:rPr/>
        <w:t>B.3 Normalization</w:t>
      </w:r>
    </w:p>
    <w:p>
      <w:pPr>
        <w:pStyle w:val="Normal"/>
        <w:rPr/>
      </w:pPr>
      <w:r>
        <w:rPr/>
        <w:t>Applied Interpretation: Normalization allows comparison across domains (lottery vs stocks).</w:t>
      </w:r>
    </w:p>
    <w:p>
      <w:pPr>
        <w:pStyle w:val="Normal"/>
        <w:rPr/>
      </w:pPr>
      <w:r>
        <w:rPr/>
        <w:t>Theoretical Note: Order-isomorphism preserved under any monotone transform with essential bounds.</w:t>
      </w:r>
    </w:p>
    <w:p>
      <w:pPr>
        <w:pStyle w:val="Normal"/>
        <w:rPr/>
      </w:pPr>
      <w:r>
        <w:rPr>
          <w:b/>
        </w:rPr>
        <w:t>Table B.3: Mini-examples</w:t>
        <w:br/>
      </w:r>
      <w:r>
        <w:rPr>
          <w:i/>
        </w:rPr>
        <w:t>Input</w:t>
        <w:tab/>
        <w:t>Output</w:t>
        <w:br/>
      </w:r>
      <w:r>
        <w:rPr/>
        <w:t>L∈{3.52,1.68,0.86}</w:t>
        <w:tab/>
        <w:t>Normalized={1.00,0.477,0.244}</w:t>
        <w:br/>
      </w:r>
    </w:p>
    <w:p>
      <w:pPr>
        <w:pStyle w:val="Normal"/>
        <w:rPr/>
      </w:pPr>
      <w:r>
        <w:rPr/>
        <w:t>B.4 Multiplicative Model</w:t>
      </w:r>
    </w:p>
    <w:p>
      <w:pPr>
        <w:pStyle w:val="Normal"/>
        <w:rPr/>
      </w:pPr>
      <w:r>
        <w:rPr/>
        <w:t>Applied Interpretation: Parameters tune sensitivity to gain (α), uncertainty (β), rarity (γ).</w:t>
      </w:r>
    </w:p>
    <w:p>
      <w:pPr>
        <w:pStyle w:val="Normal"/>
        <w:rPr/>
      </w:pPr>
      <w:r>
        <w:rPr/>
        <w:t>Theoretical Note: Positive parameters ensure monotonicity; log form ensures linearity in log-space.</w:t>
      </w:r>
    </w:p>
    <w:p>
      <w:pPr>
        <w:pStyle w:val="Normal"/>
        <w:rPr/>
      </w:pPr>
      <w:r>
        <w:rPr>
          <w:b/>
        </w:rPr>
        <w:t>Table B.4: Mini-examples</w:t>
        <w:br/>
      </w:r>
      <w:r>
        <w:rPr>
          <w:i/>
        </w:rPr>
        <w:t>Input</w:t>
        <w:tab/>
        <w:t>Output</w:t>
        <w:br/>
      </w:r>
      <w:r>
        <w:rPr/>
        <w:t>(α,β,γ)=(1,1,1),P=0.2,U=1.5,H=1.1</w:t>
        <w:tab/>
        <w:t>L≈1.32</w:t>
        <w:br/>
      </w:r>
    </w:p>
    <w:p>
      <w:pPr>
        <w:pStyle w:val="Normal"/>
        <w:rPr/>
      </w:pPr>
      <w:r>
        <w:rPr/>
        <w:t>B.5 Logistic Model</w:t>
      </w:r>
    </w:p>
    <w:p>
      <w:pPr>
        <w:pStyle w:val="Normal"/>
        <w:rPr/>
      </w:pPr>
      <w:r>
        <w:rPr/>
        <w:t>Applied Interpretation: Maps inputs to [0,1] with interpretable coefficients.</w:t>
      </w:r>
    </w:p>
    <w:p>
      <w:pPr>
        <w:pStyle w:val="Normal"/>
        <w:rPr/>
      </w:pPr>
      <w:r>
        <w:rPr/>
        <w:t>Theoretical Note: Bounded, differentiable; GC/ULLN yields ERM consistency.</w:t>
      </w:r>
    </w:p>
    <w:p>
      <w:pPr>
        <w:pStyle w:val="Normal"/>
        <w:rPr/>
      </w:pPr>
      <w:r>
        <w:rPr>
          <w:b/>
        </w:rPr>
        <w:t>Table B.5: Mini-examples</w:t>
        <w:br/>
      </w:r>
      <w:r>
        <w:rPr>
          <w:i/>
        </w:rPr>
        <w:t>Input</w:t>
        <w:tab/>
        <w:t>Output</w:t>
        <w:br/>
      </w:r>
      <w:r>
        <w:rPr/>
        <w:t>(a,b,c,d)=(1,0.5,0.2,0),U=0.8,H=1.39,S=1.386</w:t>
        <w:tab/>
        <w:t>L≈0.864</w:t>
        <w:br/>
      </w:r>
    </w:p>
    <w:p>
      <w:pPr>
        <w:pStyle w:val="Normal"/>
        <w:rPr/>
      </w:pPr>
      <w:r>
        <w:rPr/>
        <w:t>B.6 Bayesian-adjusted Model</w:t>
      </w:r>
    </w:p>
    <w:p>
      <w:pPr>
        <w:pStyle w:val="Normal"/>
        <w:rPr/>
      </w:pPr>
      <w:r>
        <w:rPr/>
        <w:t>Applied Interpretation: Combines surprisal and uncertainty, weighting unexpected events.</w:t>
      </w:r>
    </w:p>
    <w:p>
      <w:pPr>
        <w:pStyle w:val="Normal"/>
        <w:rPr/>
      </w:pPr>
      <w:r>
        <w:rPr/>
        <w:t>Theoretical Note: As P→1, both H,S→0 so L→0, satisfying axioms.</w:t>
      </w:r>
    </w:p>
    <w:p>
      <w:pPr>
        <w:pStyle w:val="Normal"/>
        <w:rPr/>
      </w:pPr>
      <w:r>
        <w:rPr>
          <w:b/>
        </w:rPr>
        <w:t>Table B.6: Mini-examples</w:t>
        <w:br/>
      </w:r>
      <w:r>
        <w:rPr>
          <w:i/>
        </w:rPr>
        <w:t>Input</w:t>
        <w:tab/>
        <w:t>Output</w:t>
        <w:br/>
      </w:r>
      <w:r>
        <w:rPr/>
        <w:t>(λ=0.7,P=0.2,U=1.5,H=1.1,S=1.609)</w:t>
        <w:tab/>
        <w:t>L≈1.68</w:t>
        <w:br/>
      </w:r>
    </w:p>
    <w:p>
      <w:pPr>
        <w:pStyle w:val="Normal"/>
        <w:rPr/>
      </w:pPr>
      <w:r>
        <w:rPr/>
        <w:t>B.7 Information Collapse</w:t>
      </w:r>
    </w:p>
    <w:p>
      <w:pPr>
        <w:pStyle w:val="Normal"/>
        <w:rPr/>
      </w:pPr>
      <w:r>
        <w:rPr/>
        <w:t>Applied Interpretation: After an event resolves, residual luck vanishes.</w:t>
      </w:r>
    </w:p>
    <w:p>
      <w:pPr>
        <w:pStyle w:val="Normal"/>
        <w:rPr/>
      </w:pPr>
      <w:r>
        <w:rPr/>
        <w:t>Theoretical Note: Doob martingale convergence ensures collapse of uncertainty as H_t,S_t→0.</w:t>
      </w:r>
    </w:p>
    <w:p>
      <w:pPr>
        <w:pStyle w:val="Normal"/>
        <w:rPr/>
      </w:pPr>
      <w:r>
        <w:rPr>
          <w:b/>
        </w:rPr>
        <w:t>Table B.7: Mini-examples</w:t>
        <w:br/>
      </w:r>
      <w:r>
        <w:rPr>
          <w:i/>
        </w:rPr>
        <w:t>Input</w:t>
        <w:tab/>
        <w:t>Output</w:t>
        <w:br/>
      </w:r>
      <w:r>
        <w:rPr/>
        <w:t>Event realized (1_E=1)</w:t>
        <w:tab/>
        <w:t>L_t→0</w:t>
        <w:br/>
      </w:r>
    </w:p>
    <w:p>
      <w:pPr>
        <w:pStyle w:val="Normal"/>
        <w:rPr/>
      </w:pPr>
      <w:r>
        <w:rPr/>
        <w:t>B.8 ERM/M-Estimation Consistency</w:t>
      </w:r>
    </w:p>
    <w:p>
      <w:pPr>
        <w:pStyle w:val="Normal"/>
        <w:rPr/>
      </w:pPr>
      <w:r>
        <w:rPr/>
        <w:t>Applied Interpretation: Train on rolling windows, expect stabilization.</w:t>
      </w:r>
    </w:p>
    <w:p>
      <w:pPr>
        <w:pStyle w:val="Normal"/>
        <w:rPr/>
      </w:pPr>
      <w:r>
        <w:rPr/>
        <w:t>Theoretical Note: Under GC/ULLN, argmin-consistency holds with identifiability.</w:t>
      </w:r>
    </w:p>
    <w:p>
      <w:pPr>
        <w:pStyle w:val="Normal"/>
        <w:rPr/>
      </w:pPr>
      <w:r>
        <w:rPr>
          <w:b/>
        </w:rPr>
        <w:t>Table B.8: Mini-examples</w:t>
        <w:br/>
      </w:r>
      <w:r>
        <w:rPr>
          <w:i/>
        </w:rPr>
        <w:t>Input</w:t>
        <w:tab/>
        <w:t>Output</w:t>
        <w:br/>
      </w:r>
      <w:r>
        <w:rPr/>
        <w:t>Fit (α,β,γ) on 10k games</w:t>
        <w:tab/>
        <w:t>Stable estimates</w:t>
        <w:br/>
      </w:r>
    </w:p>
    <w:p>
      <w:pPr>
        <w:pStyle w:val="Normal"/>
        <w:rPr/>
      </w:pPr>
      <w:r>
        <w:rPr/>
        <w:t>B.9 Lipschitz Stability</w:t>
      </w:r>
    </w:p>
    <w:p>
      <w:pPr>
        <w:pStyle w:val="Normal"/>
        <w:rPr/>
      </w:pPr>
      <w:r>
        <w:rPr/>
        <w:t>Applied Interpretation: Small probability changes shouldn’t cause big L jumps.</w:t>
      </w:r>
    </w:p>
    <w:p>
      <w:pPr>
        <w:pStyle w:val="Normal"/>
        <w:rPr/>
      </w:pPr>
      <w:r>
        <w:rPr/>
        <w:t>Theoretical Note: Ensures error bounds; required for GC/ULLN families.</w:t>
      </w:r>
    </w:p>
    <w:p>
      <w:pPr>
        <w:pStyle w:val="Normal"/>
        <w:rPr/>
      </w:pPr>
      <w:r>
        <w:rPr>
          <w:b/>
        </w:rPr>
        <w:t>Table B.9: Mini-examples</w:t>
        <w:br/>
      </w:r>
      <w:r>
        <w:rPr>
          <w:i/>
        </w:rPr>
        <w:t>Input</w:t>
        <w:tab/>
        <w:t>Output</w:t>
        <w:br/>
      </w:r>
      <w:r>
        <w:rPr/>
        <w:t>ΔP=0.02</w:t>
        <w:tab/>
        <w:t>ΔL ≤0.02·const</w:t>
        <w:br/>
      </w:r>
    </w:p>
    <w:p>
      <w:pPr>
        <w:pStyle w:val="Normal"/>
        <w:rPr/>
      </w:pPr>
      <w:r>
        <w:rPr/>
        <w:t>B.10 Chaotic Extension</w:t>
      </w:r>
    </w:p>
    <w:p>
      <w:pPr>
        <w:pStyle w:val="Normal"/>
        <w:rPr/>
      </w:pPr>
      <w:r>
        <w:rPr/>
        <w:t>Applied Interpretation: Captures sensitivity in chaotic domains (markets, weather).</w:t>
      </w:r>
    </w:p>
    <w:p>
      <w:pPr>
        <w:pStyle w:val="Normal"/>
        <w:rPr/>
      </w:pPr>
      <w:r>
        <w:rPr/>
        <w:t>Theoretical Note: Linked with Lyapunov exponents; sensitive dependence ⇒ derivative growth.</w:t>
      </w:r>
    </w:p>
    <w:p>
      <w:pPr>
        <w:pStyle w:val="Normal"/>
        <w:rPr/>
      </w:pPr>
      <w:r>
        <w:rPr>
          <w:b/>
        </w:rPr>
        <w:t>Table B.10: Mini-examples</w:t>
        <w:br/>
      </w:r>
      <w:r>
        <w:rPr>
          <w:i/>
        </w:rPr>
        <w:t>Input</w:t>
        <w:tab/>
        <w:t>Output</w:t>
        <w:br/>
      </w:r>
      <w:r>
        <w:rPr/>
        <w:t>Δx0 small</w:t>
        <w:tab/>
        <w:t>||∇E[U]|| increases ⇒ larger L_chaos</w:t>
      </w:r>
    </w:p>
    <w:p>
      <w:pPr>
        <w:pStyle w:val="Normal"/>
        <w:rPr/>
      </w:pPr>
      <w:r>
        <w:rPr>
          <w:b/>
          <w:bCs/>
        </w:rPr>
        <w:t xml:space="preserve">Appendix C — Lottery (OPAP Joker): Mechanics, Expected Jackpot Frequency, and Calibration Notes </w:t>
      </w:r>
      <w:r>
        <w:rPr/>
        <w:br/>
      </w:r>
    </w:p>
    <w:p>
      <w:pPr>
        <w:pStyle w:val="Normal"/>
        <w:rPr/>
      </w:pPr>
      <w:r>
        <w:rPr>
          <w:b/>
          <w:sz w:val="28"/>
        </w:rPr>
        <w:t>4.X Lottery (Joker) Case Study – Calibration and Luck Features</w:t>
      </w:r>
    </w:p>
    <w:p>
      <w:pPr>
        <w:pStyle w:val="Normal"/>
        <w:rPr/>
      </w:pPr>
      <w:r>
        <w:rPr/>
        <w:t>We integrate OPAP Joker draws (1997–2024). For 2015–2024 we extract sales per draw (columns_sold) and winners per tier directly from OPAP-format spreadsheets, enabling a ground-truth calibration of the probability that at least one jackpot (5+1) winner occurs.</w:t>
      </w:r>
    </w:p>
    <w:p>
      <w:pPr>
        <w:pStyle w:val="Normal"/>
        <w:rPr/>
      </w:pPr>
      <w:r>
        <w:rPr/>
        <w:t>Using the per-column jackpot probability p⋆=1/(C(45,5)·20) and total sales N, the predicted probability for ≥1 jackpot winner in a draw is  p̂(N)=1−(1−p⋆)^N. We compare p̂ to the observed jackpot frequency across sales deciles. Calibration is strong in the middle deciles; expected deviations at extremes reflect sparse data. These calibrated probabilities define P for the Luck measure; we derive H (Bernoulli entropy) and S (surprisal) per draw. Utility U can be set from tier payouts (e.g., jackpot amount).</w:t>
      </w:r>
    </w:p>
    <w:tbl>
      <w:tblPr>
        <w:tblW w:w="90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14"/>
        <w:gridCol w:w="4513"/>
      </w:tblGrid>
      <w:tr>
        <w:trPr/>
        <w:tc>
          <w:tcPr>
            <w:tcW w:w="4514" w:type="dxa"/>
            <w:tcBorders/>
          </w:tcPr>
          <w:p>
            <w:pPr>
              <w:pStyle w:val="Normal"/>
              <w:widowControl w:val="false"/>
              <w:spacing w:before="0" w:after="200"/>
              <w:rPr/>
            </w:pPr>
            <w:r>
              <w:rPr/>
              <w:t>Metric</w:t>
            </w:r>
          </w:p>
        </w:tc>
        <w:tc>
          <w:tcPr>
            <w:tcW w:w="4513" w:type="dxa"/>
            <w:tcBorders/>
          </w:tcPr>
          <w:p>
            <w:pPr>
              <w:pStyle w:val="Normal"/>
              <w:widowControl w:val="false"/>
              <w:spacing w:before="0" w:after="200"/>
              <w:rPr/>
            </w:pPr>
            <w:r>
              <w:rPr/>
              <w:t>Value</w:t>
            </w:r>
          </w:p>
        </w:tc>
      </w:tr>
      <w:tr>
        <w:trPr/>
        <w:tc>
          <w:tcPr>
            <w:tcW w:w="4514" w:type="dxa"/>
            <w:tcBorders/>
          </w:tcPr>
          <w:p>
            <w:pPr>
              <w:pStyle w:val="Normal"/>
              <w:widowControl w:val="false"/>
              <w:spacing w:before="0" w:after="200"/>
              <w:rPr/>
            </w:pPr>
            <w:r>
              <w:rPr/>
              <w:t>Sample (2015–2024) with sales+winners, N draws</w:t>
            </w:r>
          </w:p>
        </w:tc>
        <w:tc>
          <w:tcPr>
            <w:tcW w:w="4513" w:type="dxa"/>
            <w:tcBorders/>
          </w:tcPr>
          <w:p>
            <w:pPr>
              <w:pStyle w:val="Normal"/>
              <w:widowControl w:val="false"/>
              <w:spacing w:before="0" w:after="200"/>
              <w:rPr/>
            </w:pPr>
            <w:r>
              <w:rPr/>
              <w:t>1144</w:t>
            </w:r>
          </w:p>
        </w:tc>
      </w:tr>
      <w:tr>
        <w:trPr/>
        <w:tc>
          <w:tcPr>
            <w:tcW w:w="4514" w:type="dxa"/>
            <w:tcBorders/>
          </w:tcPr>
          <w:p>
            <w:pPr>
              <w:pStyle w:val="Normal"/>
              <w:widowControl w:val="false"/>
              <w:spacing w:before="0" w:after="200"/>
              <w:rPr/>
            </w:pPr>
            <w:r>
              <w:rPr/>
              <w:t>Brier score (jackpot occurrence)</w:t>
            </w:r>
          </w:p>
        </w:tc>
        <w:tc>
          <w:tcPr>
            <w:tcW w:w="4513" w:type="dxa"/>
            <w:tcBorders/>
          </w:tcPr>
          <w:p>
            <w:pPr>
              <w:pStyle w:val="Normal"/>
              <w:widowControl w:val="false"/>
              <w:spacing w:before="0" w:after="200"/>
              <w:rPr/>
            </w:pPr>
            <w:r>
              <w:rPr/>
              <w:t>0.1038</w:t>
            </w:r>
          </w:p>
        </w:tc>
      </w:tr>
      <w:tr>
        <w:trPr/>
        <w:tc>
          <w:tcPr>
            <w:tcW w:w="4514" w:type="dxa"/>
            <w:tcBorders/>
          </w:tcPr>
          <w:p>
            <w:pPr>
              <w:pStyle w:val="Normal"/>
              <w:widowControl w:val="false"/>
              <w:spacing w:before="0" w:after="200"/>
              <w:rPr/>
            </w:pPr>
            <w:r>
              <w:rPr/>
              <w:t>Log loss (jackpot occurrence)</w:t>
            </w:r>
          </w:p>
        </w:tc>
        <w:tc>
          <w:tcPr>
            <w:tcW w:w="4513" w:type="dxa"/>
            <w:tcBorders/>
          </w:tcPr>
          <w:p>
            <w:pPr>
              <w:pStyle w:val="Normal"/>
              <w:widowControl w:val="false"/>
              <w:spacing w:before="0" w:after="200"/>
              <w:rPr/>
            </w:pPr>
            <w:r>
              <w:rPr/>
              <w:t>0.3540</w:t>
            </w:r>
          </w:p>
        </w:tc>
      </w:tr>
    </w:tbl>
    <w:p>
      <w:pPr>
        <w:pStyle w:val="Normal"/>
        <w:rPr/>
      </w:pPr>
      <w:r>
        <w:rPr/>
      </w:r>
    </w:p>
    <w:p>
      <w:pPr>
        <w:pStyle w:val="Normal"/>
        <w:rPr/>
      </w:pPr>
      <w:r>
        <w:rPr/>
      </w:r>
    </w:p>
    <w:p>
      <w:pPr>
        <w:pStyle w:val="Normal"/>
        <w:rPr/>
      </w:pPr>
      <w:r>
        <w:rPr>
          <w:i/>
        </w:rPr>
        <w:t>Figure C.1 – Joker (5/45) main-number frequency (1997–2014).</w:t>
      </w:r>
    </w:p>
    <w:p>
      <w:pPr>
        <w:pStyle w:val="Normal"/>
        <w:rPr/>
      </w:pPr>
      <w:r>
        <w:rPr/>
      </w:r>
    </w:p>
    <w:p>
      <w:pPr>
        <w:pStyle w:val="Normal"/>
        <w:rPr/>
      </w:pPr>
      <w:r>
        <w:rPr/>
      </w:r>
    </w:p>
    <w:p>
      <w:pPr>
        <w:pStyle w:val="Normal"/>
        <w:rPr/>
      </w:pPr>
      <w:r>
        <w:rPr>
          <w:i/>
        </w:rPr>
        <w:t>Figure C.2 – Joker (1/20) bonus-number frequency (1997–2014).</w:t>
      </w:r>
    </w:p>
    <w:p>
      <w:pPr>
        <w:pStyle w:val="Normal"/>
        <w:rPr/>
      </w:pPr>
      <w:r>
        <w:rPr/>
      </w:r>
    </w:p>
    <w:p>
      <w:pPr>
        <w:pStyle w:val="Normal"/>
        <w:rPr/>
      </w:pPr>
      <w:r>
        <w:rPr/>
      </w:r>
    </w:p>
    <w:p>
      <w:pPr>
        <w:pStyle w:val="Normal"/>
        <w:rPr/>
      </w:pPr>
      <w:r>
        <w:rPr>
          <w:i/>
        </w:rPr>
        <w:t>Figure C.3 – Jackpot calibration vs sales deciles (2015–2024).</w:t>
      </w:r>
    </w:p>
    <w:p>
      <w:pPr>
        <w:pStyle w:val="Normal"/>
        <w:rPr/>
      </w:pPr>
      <w:r>
        <w:rPr/>
      </w:r>
    </w:p>
    <w:p>
      <w:pPr>
        <w:pStyle w:val="Normal"/>
        <w:rPr/>
      </w:pPr>
      <w:r>
        <w:rPr/>
      </w:r>
    </w:p>
    <w:p>
      <w:pPr>
        <w:pStyle w:val="Normal"/>
        <w:rPr/>
      </w:pPr>
      <w:r>
        <w:rPr>
          <w:i/>
        </w:rPr>
        <w:t>Figure C.4 – Distribution of rollover streaks (2015–2024).</w:t>
      </w:r>
    </w:p>
    <w:p>
      <w:pPr>
        <w:pStyle w:val="Normal"/>
        <w:rPr/>
      </w:pPr>
      <w:r>
        <w:rPr/>
        <w:t>These results certify a calibrated P for ≥1 jackpot winner. In Section 2 we proved that, under GC/ULLN and Lipschitz conditions, the ERM estimator for Lθ is consistent; here we instantiate P,H,S from lottery physics and set U from observed payouts, enabling out-of-sample evaluation of multiplicative and logistic Luck models with proper scores (Brier/log loss) and decision utility.</w:t>
      </w:r>
    </w:p>
    <w:p>
      <w:pPr>
        <w:pStyle w:val="Normal"/>
        <w:rPr/>
      </w:pPr>
      <w:r>
        <w:rPr>
          <w:b/>
        </w:rPr>
        <w:t>4.X.1 ERM with Tier Payouts (Utility U)</w:t>
      </w:r>
    </w:p>
    <w:p>
      <w:pPr>
        <w:pStyle w:val="Normal"/>
        <w:rPr/>
      </w:pPr>
      <w:r>
        <w:rPr/>
        <w:t>We enrich the feature set with per-tier dividents from OPAP spreadsheets (2015–2024). Utility is defined as the total euro payout across tiers per draw, U_total = Σ_t winners_t × divident_t. We transform U with log1p(·/1e6) for numerical stability. A logistic Lθ model using [U_tot_m, H, S, 1−P] is trained on 2015–2019 and evaluated on 2020–2024.</w:t>
      </w:r>
    </w:p>
    <w:tbl>
      <w:tblPr>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10"/>
        <w:gridCol w:w="3010"/>
        <w:gridCol w:w="3010"/>
      </w:tblGrid>
      <w:tr>
        <w:trPr/>
        <w:tc>
          <w:tcPr>
            <w:tcW w:w="3010" w:type="dxa"/>
            <w:tcBorders/>
          </w:tcPr>
          <w:p>
            <w:pPr>
              <w:pStyle w:val="Normal"/>
              <w:widowControl w:val="false"/>
              <w:spacing w:before="0" w:after="200"/>
              <w:rPr/>
            </w:pPr>
            <w:r>
              <w:rPr/>
              <w:t>Model</w:t>
            </w:r>
          </w:p>
        </w:tc>
        <w:tc>
          <w:tcPr>
            <w:tcW w:w="3010" w:type="dxa"/>
            <w:tcBorders/>
          </w:tcPr>
          <w:p>
            <w:pPr>
              <w:pStyle w:val="Normal"/>
              <w:widowControl w:val="false"/>
              <w:spacing w:before="0" w:after="200"/>
              <w:rPr/>
            </w:pPr>
            <w:r>
              <w:rPr/>
              <w:t>Brier (↓)</w:t>
            </w:r>
          </w:p>
        </w:tc>
        <w:tc>
          <w:tcPr>
            <w:tcW w:w="3010" w:type="dxa"/>
            <w:tcBorders/>
          </w:tcPr>
          <w:p>
            <w:pPr>
              <w:pStyle w:val="Normal"/>
              <w:widowControl w:val="false"/>
              <w:spacing w:before="0" w:after="200"/>
              <w:rPr/>
            </w:pPr>
            <w:r>
              <w:rPr/>
              <w:t>Log loss (↓)</w:t>
            </w:r>
          </w:p>
        </w:tc>
      </w:tr>
      <w:tr>
        <w:trPr/>
        <w:tc>
          <w:tcPr>
            <w:tcW w:w="3010" w:type="dxa"/>
            <w:tcBorders/>
          </w:tcPr>
          <w:p>
            <w:pPr>
              <w:pStyle w:val="Normal"/>
              <w:widowControl w:val="false"/>
              <w:spacing w:before="0" w:after="200"/>
              <w:rPr/>
            </w:pPr>
            <w:r>
              <w:rPr/>
              <w:t>Baseline p̂(N)</w:t>
            </w:r>
          </w:p>
        </w:tc>
        <w:tc>
          <w:tcPr>
            <w:tcW w:w="3010" w:type="dxa"/>
            <w:tcBorders/>
          </w:tcPr>
          <w:p>
            <w:pPr>
              <w:pStyle w:val="Normal"/>
              <w:widowControl w:val="false"/>
              <w:spacing w:before="0" w:after="200"/>
              <w:rPr/>
            </w:pPr>
            <w:r>
              <w:rPr/>
              <w:t>0.0859</w:t>
            </w:r>
          </w:p>
        </w:tc>
        <w:tc>
          <w:tcPr>
            <w:tcW w:w="3010" w:type="dxa"/>
            <w:tcBorders/>
          </w:tcPr>
          <w:p>
            <w:pPr>
              <w:pStyle w:val="Normal"/>
              <w:widowControl w:val="false"/>
              <w:spacing w:before="0" w:after="200"/>
              <w:rPr/>
            </w:pPr>
            <w:r>
              <w:rPr/>
              <w:t>0.3074</w:t>
            </w:r>
          </w:p>
        </w:tc>
      </w:tr>
      <w:tr>
        <w:trPr/>
        <w:tc>
          <w:tcPr>
            <w:tcW w:w="3010" w:type="dxa"/>
            <w:tcBorders/>
          </w:tcPr>
          <w:p>
            <w:pPr>
              <w:pStyle w:val="Normal"/>
              <w:widowControl w:val="false"/>
              <w:spacing w:before="0" w:after="200"/>
              <w:rPr/>
            </w:pPr>
            <w:r>
              <w:rPr/>
              <w:t>No-U (H,S,1−P)</w:t>
            </w:r>
          </w:p>
        </w:tc>
        <w:tc>
          <w:tcPr>
            <w:tcW w:w="3010" w:type="dxa"/>
            <w:tcBorders/>
          </w:tcPr>
          <w:p>
            <w:pPr>
              <w:pStyle w:val="Normal"/>
              <w:widowControl w:val="false"/>
              <w:spacing w:before="0" w:after="200"/>
              <w:rPr/>
            </w:pPr>
            <w:r>
              <w:rPr/>
              <w:t>0.0866</w:t>
            </w:r>
          </w:p>
        </w:tc>
        <w:tc>
          <w:tcPr>
            <w:tcW w:w="3010" w:type="dxa"/>
            <w:tcBorders/>
          </w:tcPr>
          <w:p>
            <w:pPr>
              <w:pStyle w:val="Normal"/>
              <w:widowControl w:val="false"/>
              <w:spacing w:before="0" w:after="200"/>
              <w:rPr/>
            </w:pPr>
            <w:r>
              <w:rPr/>
              <w:t>0.3088</w:t>
            </w:r>
          </w:p>
        </w:tc>
      </w:tr>
      <w:tr>
        <w:trPr/>
        <w:tc>
          <w:tcPr>
            <w:tcW w:w="3010" w:type="dxa"/>
            <w:tcBorders/>
          </w:tcPr>
          <w:p>
            <w:pPr>
              <w:pStyle w:val="Normal"/>
              <w:widowControl w:val="false"/>
              <w:spacing w:before="0" w:after="200"/>
              <w:rPr/>
            </w:pPr>
            <w:r>
              <w:rPr/>
              <w:t>Lθ (U,H,S,1−P)</w:t>
            </w:r>
          </w:p>
        </w:tc>
        <w:tc>
          <w:tcPr>
            <w:tcW w:w="3010" w:type="dxa"/>
            <w:tcBorders/>
          </w:tcPr>
          <w:p>
            <w:pPr>
              <w:pStyle w:val="Normal"/>
              <w:widowControl w:val="false"/>
              <w:spacing w:before="0" w:after="200"/>
              <w:rPr/>
            </w:pPr>
            <w:r>
              <w:rPr/>
              <w:t>0.0609</w:t>
            </w:r>
          </w:p>
        </w:tc>
        <w:tc>
          <w:tcPr>
            <w:tcW w:w="3010" w:type="dxa"/>
            <w:tcBorders/>
          </w:tcPr>
          <w:p>
            <w:pPr>
              <w:pStyle w:val="Normal"/>
              <w:widowControl w:val="false"/>
              <w:spacing w:before="0" w:after="200"/>
              <w:rPr/>
            </w:pPr>
            <w:r>
              <w:rPr/>
              <w:t>0.2136</w:t>
            </w:r>
          </w:p>
        </w:tc>
      </w:tr>
    </w:tbl>
    <w:p>
      <w:pPr>
        <w:pStyle w:val="Normal"/>
        <w:rPr/>
      </w:pPr>
      <w:r>
        <w:rPr/>
        <w:t>Estimated coefficients on the test configuration (signs match intuition): U_tot_m=6.55 (+), H=-0.80 (−), S=3.21 (+), 1−P=0.74 (+), intercept=-12.23.</w:t>
      </w:r>
    </w:p>
    <w:p>
      <w:pPr>
        <w:pStyle w:val="Normal"/>
        <w:rPr/>
      </w:pPr>
      <w:r>
        <w:rPr/>
      </w:r>
    </w:p>
    <w:p>
      <w:pPr>
        <w:pStyle w:val="Normal"/>
        <w:rPr/>
      </w:pPr>
      <w:r>
        <w:rPr/>
      </w:r>
    </w:p>
    <w:p>
      <w:pPr>
        <w:pStyle w:val="Normal"/>
        <w:rPr/>
      </w:pPr>
      <w:r>
        <w:rPr>
          <w:i/>
        </w:rPr>
        <w:t>Figure C.5 – Reliability: baseline vs No-U vs Lθ (2020–2024).</w:t>
      </w:r>
    </w:p>
    <w:p>
      <w:pPr>
        <w:pStyle w:val="Normal"/>
        <w:rPr/>
      </w:pPr>
      <w:r>
        <w:rPr/>
      </w:r>
    </w:p>
    <w:p>
      <w:pPr>
        <w:pStyle w:val="Normal"/>
        <w:rPr/>
      </w:pPr>
      <w:r>
        <w:rPr/>
      </w:r>
    </w:p>
    <w:p>
      <w:pPr>
        <w:pStyle w:val="Normal"/>
        <w:rPr/>
      </w:pPr>
      <w:r>
        <w:rPr>
          <w:i/>
        </w:rPr>
        <w:t>Figure C.6 – Brier scores (test 2020–2024).</w:t>
      </w:r>
    </w:p>
    <w:p>
      <w:pPr>
        <w:pStyle w:val="Normal"/>
        <w:rPr/>
      </w:pPr>
      <w:r>
        <w:rPr/>
      </w:r>
    </w:p>
    <w:p>
      <w:pPr>
        <w:pStyle w:val="Normal"/>
        <w:rPr/>
      </w:pPr>
      <w:r>
        <w:rPr/>
      </w:r>
    </w:p>
    <w:p>
      <w:pPr>
        <w:pStyle w:val="Normal"/>
        <w:rPr/>
      </w:pPr>
      <w:r>
        <w:rPr>
          <w:i/>
        </w:rPr>
        <w:t>Figure C.7 – Log loss (test 2020–2024).</w:t>
      </w:r>
    </w:p>
    <w:p>
      <w:pPr>
        <w:pStyle w:val="Normal"/>
        <w:rPr/>
      </w:pPr>
      <w:r>
        <w:rPr/>
        <w:t>Result: Lθ with U markedly improves proper scores versus probabilistic baseline p̂(N), and ablation confirms U’s contribution; without U, metrics revert to baseline. This supports the claim that utility-aware luck captures decision relevance beyond rarity/surprisal alone.</w:t>
      </w:r>
    </w:p>
    <w:p>
      <w:pPr>
        <w:pStyle w:val="Normal"/>
        <w:rPr/>
      </w:pPr>
      <w:r>
        <w:rPr>
          <w:b/>
          <w:sz w:val="24"/>
        </w:rPr>
        <w:t>4.X.2 Methods – OPAP Data Enrichment &amp; ERM Setup</w:t>
      </w:r>
    </w:p>
    <w:p>
      <w:pPr>
        <w:pStyle w:val="Normal"/>
        <w:rPr/>
      </w:pPr>
      <w:r>
        <w:rPr/>
        <w:t>Data sources: We parse OPAP Joker spreadsheets (2015–2024) using a robust two-row header layout that pairs winners and dividents (ΚΕΡΔΗ) for each tier. We extract per-draw sales (columns_sold), winners per tier, and per-winner dividents. For 1997–2014, we ingest draw IDs, dates, and numbers, and join them into a unified dataset.</w:t>
      </w:r>
    </w:p>
    <w:p>
      <w:pPr>
        <w:pStyle w:val="Normal"/>
        <w:rPr/>
      </w:pPr>
      <w:r>
        <w:rPr/>
        <w:t>Probability model: With Ω = C(45,5) × 20 outcomes per column and p⋆ = 1/Ω for the 5+1 hit, the predicted probability of ≥1 jackpot winner given N sold columns is p̂(N) = 1 − (1 − p⋆)^N. This provides the calibrated P per draw. We derive H(P) = −P log P − (1−P) log(1−P) and surprisal S = −log P.</w:t>
      </w:r>
    </w:p>
    <w:p>
      <w:pPr>
        <w:pStyle w:val="Normal"/>
        <w:rPr/>
      </w:pPr>
      <w:r>
        <w:rPr/>
        <w:t>Utility: We compute U_total = Σ_t winners_t × divident_t across tiers (per draw), and use U_tot_m = log1p(U_total / 10^6) as a stabilized feature. ERM: We fit a logistic Lθ on training years (2015–2019) over features [U_tot_m, H, S, 1−P] and evaluate on 2020–2024 with Brier/log-loss and reliability plots; ablations remove U to test contribution.</w:t>
      </w:r>
    </w:p>
    <w:p>
      <w:pPr>
        <w:pStyle w:val="Normal"/>
        <w:rPr/>
      </w:pPr>
      <w:r>
        <w:rPr>
          <w:b/>
        </w:rPr>
        <w:t>Data &amp; Reproducibility</w:t>
      </w:r>
    </w:p>
    <w:p>
      <w:pPr>
        <w:pStyle w:val="Normal"/>
        <w:rPr/>
      </w:pPr>
      <w:r>
        <w:rPr/>
        <w:t>We supply an enriched CSV (1997–2024) combining draws, sales, winners, and dividents, along with calibration and ERM evaluation plots. Results are reproducible by re-running the exact parsing and ERM steps.</w:t>
      </w:r>
    </w:p>
    <w:tbl>
      <w:tblPr>
        <w:tblW w:w="90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14"/>
        <w:gridCol w:w="4513"/>
      </w:tblGrid>
      <w:tr>
        <w:trPr/>
        <w:tc>
          <w:tcPr>
            <w:tcW w:w="4514" w:type="dxa"/>
            <w:tcBorders/>
          </w:tcPr>
          <w:p>
            <w:pPr>
              <w:pStyle w:val="Normal"/>
              <w:widowControl w:val="false"/>
              <w:spacing w:before="0" w:after="200"/>
              <w:rPr/>
            </w:pPr>
            <w:r>
              <w:rPr/>
              <w:t>Artifact</w:t>
            </w:r>
          </w:p>
        </w:tc>
        <w:tc>
          <w:tcPr>
            <w:tcW w:w="4513" w:type="dxa"/>
            <w:tcBorders/>
          </w:tcPr>
          <w:p>
            <w:pPr>
              <w:pStyle w:val="Normal"/>
              <w:widowControl w:val="false"/>
              <w:spacing w:before="0" w:after="200"/>
              <w:rPr/>
            </w:pPr>
            <w:r>
              <w:rPr/>
              <w:t>Path</w:t>
            </w:r>
          </w:p>
        </w:tc>
      </w:tr>
      <w:tr>
        <w:trPr/>
        <w:tc>
          <w:tcPr>
            <w:tcW w:w="4514" w:type="dxa"/>
            <w:tcBorders/>
          </w:tcPr>
          <w:p>
            <w:pPr>
              <w:pStyle w:val="Normal"/>
              <w:widowControl w:val="false"/>
              <w:spacing w:before="0" w:after="200"/>
              <w:rPr/>
            </w:pPr>
            <w:r>
              <w:rPr/>
              <w:t>Enriched dataset (1997–2024)</w:t>
            </w:r>
          </w:p>
        </w:tc>
        <w:tc>
          <w:tcPr>
            <w:tcW w:w="4513" w:type="dxa"/>
            <w:tcBorders/>
          </w:tcPr>
          <w:p>
            <w:pPr>
              <w:pStyle w:val="Normal"/>
              <w:widowControl w:val="false"/>
              <w:spacing w:before="0" w:after="200"/>
              <w:rPr/>
            </w:pPr>
            <w:r>
              <w:rPr/>
              <w:t>/mnt/data/joker_1997_2024_rich.csv</w:t>
            </w:r>
          </w:p>
        </w:tc>
      </w:tr>
      <w:tr>
        <w:trPr/>
        <w:tc>
          <w:tcPr>
            <w:tcW w:w="4514" w:type="dxa"/>
            <w:tcBorders/>
          </w:tcPr>
          <w:p>
            <w:pPr>
              <w:pStyle w:val="Normal"/>
              <w:widowControl w:val="false"/>
              <w:spacing w:before="0" w:after="200"/>
              <w:rPr/>
            </w:pPr>
            <w:r>
              <w:rPr/>
              <w:t>Reliability comparison (2020–2024)</w:t>
            </w:r>
          </w:p>
        </w:tc>
        <w:tc>
          <w:tcPr>
            <w:tcW w:w="4513" w:type="dxa"/>
            <w:tcBorders/>
          </w:tcPr>
          <w:p>
            <w:pPr>
              <w:pStyle w:val="Normal"/>
              <w:widowControl w:val="false"/>
              <w:spacing w:before="0" w:after="200"/>
              <w:rPr/>
            </w:pPr>
            <w:r>
              <w:rPr/>
              <w:t>/mnt/data/joker_reliability_comparison_2020_2024.png</w:t>
            </w:r>
          </w:p>
        </w:tc>
      </w:tr>
      <w:tr>
        <w:trPr/>
        <w:tc>
          <w:tcPr>
            <w:tcW w:w="4514" w:type="dxa"/>
            <w:tcBorders/>
          </w:tcPr>
          <w:p>
            <w:pPr>
              <w:pStyle w:val="Normal"/>
              <w:widowControl w:val="false"/>
              <w:spacing w:before="0" w:after="200"/>
              <w:rPr/>
            </w:pPr>
            <w:r>
              <w:rPr/>
              <w:t>Brier bars</w:t>
            </w:r>
          </w:p>
        </w:tc>
        <w:tc>
          <w:tcPr>
            <w:tcW w:w="4513" w:type="dxa"/>
            <w:tcBorders/>
          </w:tcPr>
          <w:p>
            <w:pPr>
              <w:pStyle w:val="Normal"/>
              <w:widowControl w:val="false"/>
              <w:spacing w:before="0" w:after="200"/>
              <w:rPr/>
            </w:pPr>
            <w:r>
              <w:rPr/>
              <w:t>/mnt/data/joker_brier_bars.png</w:t>
            </w:r>
          </w:p>
        </w:tc>
      </w:tr>
      <w:tr>
        <w:trPr/>
        <w:tc>
          <w:tcPr>
            <w:tcW w:w="4514" w:type="dxa"/>
            <w:tcBorders/>
          </w:tcPr>
          <w:p>
            <w:pPr>
              <w:pStyle w:val="Normal"/>
              <w:widowControl w:val="false"/>
              <w:spacing w:before="0" w:after="200"/>
              <w:rPr/>
            </w:pPr>
            <w:r>
              <w:rPr/>
              <w:t>Log-loss bars</w:t>
            </w:r>
          </w:p>
        </w:tc>
        <w:tc>
          <w:tcPr>
            <w:tcW w:w="4513" w:type="dxa"/>
            <w:tcBorders/>
          </w:tcPr>
          <w:p>
            <w:pPr>
              <w:pStyle w:val="Normal"/>
              <w:widowControl w:val="false"/>
              <w:spacing w:before="0" w:after="200"/>
              <w:rPr/>
            </w:pPr>
            <w:r>
              <w:rPr/>
              <w:t>/mnt/data/joker_logloss_bars.png</w:t>
            </w:r>
          </w:p>
        </w:tc>
      </w:tr>
    </w:tbl>
    <w:p>
      <w:pPr>
        <w:pStyle w:val="Normal"/>
        <w:rPr/>
      </w:pPr>
      <w:r>
        <w:rPr>
          <w:b/>
          <w:sz w:val="24"/>
        </w:rPr>
        <w:t>4.X.3 Limitations &amp; Future Work</w:t>
      </w:r>
    </w:p>
    <w:p>
      <w:pPr>
        <w:pStyle w:val="Normal"/>
        <w:rPr/>
      </w:pPr>
      <w:r>
        <w:rPr/>
        <w:t>Limitations — Our calibration relies on OPAP-reported sales per draw; missing values or reporting errors can bias the estimator p̂(N). Seasonal demand and jackpot-advertising shocks shift the distribution of columns_sold (covariate shift); decile-wise calibration mitigates but does not eliminate the effect. We assume a constant single-column jackpot probability p⋆ under fixed game rules (5/45, 1/20); rule changes would require updating. Utility U was instantiated as aggregate euro payout per draw; alternative U definitions (e.g., player-level expected utility with risk aversion, per-euro return, tier-weighted utilities, or inclusion of costs) may better reflect specific decision contexts. The logistic Lθ head is parametric and may underfit local nonlinearities; more flexible yet regularized classes (e.g., isotonic regression, monotone GBMs) are a natural extension. Finally, uncertainty on Brier/log-loss deltas was assessed out of sample; bootstrap or block-bootstrap over time could tighten confidence intervals and quantify drift.</w:t>
      </w:r>
    </w:p>
    <w:p>
      <w:pPr>
        <w:pStyle w:val="Normal"/>
        <w:rPr/>
      </w:pPr>
      <w:r>
        <w:rPr/>
        <w:t>Future Work — Extend to 2025+ via the live OPAP API; add covariates (advertising intensity, rollover size, day-of-week/seasonality) to explain sales-driven shifts; incorporate ROI-aware decision analysis with explicit costs; test alternative proper scores; and develop a Bayesian hierarchical formulation that links U,H,S and demand dynamics while enforcing the axioms (normalization, information collapse, Lipschitz stability).</w:t>
      </w:r>
    </w:p>
    <w:p>
      <w:pPr>
        <w:pStyle w:val="Normal"/>
        <w:rPr>
          <w:b/>
          <w:b/>
          <w:bCs/>
        </w:rPr>
      </w:pPr>
      <w:r>
        <w:rPr>
          <w:b/>
          <w:bCs/>
        </w:rPr>
        <w:t xml:space="preserve">Appendix D — Online Slots: Starburst (Low-Vol) vs Book of Dead (High-Vol) </w:t>
      </w:r>
    </w:p>
    <w:p>
      <w:pPr>
        <w:pStyle w:val="Normal"/>
        <w:rPr/>
      </w:pPr>
      <w:r>
        <w:rPr>
          <w:b/>
          <w:sz w:val="28"/>
        </w:rPr>
        <w:t>Online Slots – Low vs High Volatility: Starburst vs Book of Dead</w:t>
      </w:r>
    </w:p>
    <w:p>
      <w:pPr>
        <w:pStyle w:val="Normal"/>
        <w:rPr/>
      </w:pPr>
      <w:r>
        <w:rPr/>
        <w:t>We construct RTP- and hit-frequency–calibrated surrogates for two iconic titles: Starburst (NetEnt, low volatility) and Book of Dead (Play’n GO, high volatility). We then simulate ROI distributions, risk-of-ruin curves, and show payout mass functions.</w:t>
      </w:r>
    </w:p>
    <w:tbl>
      <w:tblPr>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val="false"/>
              <w:spacing w:before="0" w:after="200"/>
              <w:rPr/>
            </w:pPr>
            <w:r>
              <w:rPr/>
              <w:t>Metric</w:t>
            </w:r>
          </w:p>
        </w:tc>
        <w:tc>
          <w:tcPr>
            <w:tcW w:w="4319" w:type="dxa"/>
            <w:tcBorders/>
          </w:tcPr>
          <w:p>
            <w:pPr>
              <w:pStyle w:val="Normal"/>
              <w:widowControl w:val="false"/>
              <w:spacing w:before="0" w:after="200"/>
              <w:rPr/>
            </w:pPr>
            <w:r>
              <w:rPr/>
              <w:t>Value</w:t>
            </w:r>
          </w:p>
        </w:tc>
      </w:tr>
      <w:tr>
        <w:trPr/>
        <w:tc>
          <w:tcPr>
            <w:tcW w:w="4320" w:type="dxa"/>
            <w:tcBorders/>
          </w:tcPr>
          <w:p>
            <w:pPr>
              <w:pStyle w:val="Normal"/>
              <w:widowControl w:val="false"/>
              <w:spacing w:before="0" w:after="200"/>
              <w:rPr/>
            </w:pPr>
            <w:r>
              <w:rPr/>
              <w:t>Starburst-like RTP</w:t>
            </w:r>
          </w:p>
        </w:tc>
        <w:tc>
          <w:tcPr>
            <w:tcW w:w="4319" w:type="dxa"/>
            <w:tcBorders/>
          </w:tcPr>
          <w:p>
            <w:pPr>
              <w:pStyle w:val="Normal"/>
              <w:widowControl w:val="false"/>
              <w:spacing w:before="0" w:after="200"/>
              <w:rPr/>
            </w:pPr>
            <w:r>
              <w:rPr/>
              <w:t>0.9609</w:t>
            </w:r>
          </w:p>
        </w:tc>
      </w:tr>
      <w:tr>
        <w:trPr/>
        <w:tc>
          <w:tcPr>
            <w:tcW w:w="4320" w:type="dxa"/>
            <w:tcBorders/>
          </w:tcPr>
          <w:p>
            <w:pPr>
              <w:pStyle w:val="Normal"/>
              <w:widowControl w:val="false"/>
              <w:spacing w:before="0" w:after="200"/>
              <w:rPr/>
            </w:pPr>
            <w:r>
              <w:rPr/>
              <w:t>Starburst-like hit frequency</w:t>
            </w:r>
          </w:p>
        </w:tc>
        <w:tc>
          <w:tcPr>
            <w:tcW w:w="4319" w:type="dxa"/>
            <w:tcBorders/>
          </w:tcPr>
          <w:p>
            <w:pPr>
              <w:pStyle w:val="Normal"/>
              <w:widowControl w:val="false"/>
              <w:spacing w:before="0" w:after="200"/>
              <w:rPr/>
            </w:pPr>
            <w:r>
              <w:rPr/>
              <w:t>0.226</w:t>
            </w:r>
          </w:p>
        </w:tc>
      </w:tr>
      <w:tr>
        <w:trPr/>
        <w:tc>
          <w:tcPr>
            <w:tcW w:w="4320" w:type="dxa"/>
            <w:tcBorders/>
          </w:tcPr>
          <w:p>
            <w:pPr>
              <w:pStyle w:val="Normal"/>
              <w:widowControl w:val="false"/>
              <w:spacing w:before="0" w:after="200"/>
              <w:rPr/>
            </w:pPr>
            <w:r>
              <w:rPr/>
              <w:t>ROI median (20k spins)</w:t>
            </w:r>
          </w:p>
        </w:tc>
        <w:tc>
          <w:tcPr>
            <w:tcW w:w="4319" w:type="dxa"/>
            <w:tcBorders/>
          </w:tcPr>
          <w:p>
            <w:pPr>
              <w:pStyle w:val="Normal"/>
              <w:widowControl w:val="false"/>
              <w:spacing w:before="0" w:after="200"/>
              <w:rPr/>
            </w:pPr>
            <w:r>
              <w:rPr/>
              <w:t>-0.041</w:t>
            </w:r>
          </w:p>
        </w:tc>
      </w:tr>
      <w:tr>
        <w:trPr/>
        <w:tc>
          <w:tcPr>
            <w:tcW w:w="4320" w:type="dxa"/>
            <w:tcBorders/>
          </w:tcPr>
          <w:p>
            <w:pPr>
              <w:pStyle w:val="Normal"/>
              <w:widowControl w:val="false"/>
              <w:spacing w:before="0" w:after="200"/>
              <w:rPr/>
            </w:pPr>
            <w:r>
              <w:rPr/>
              <w:t>Ruin @10k spins (B=1000)</w:t>
            </w:r>
          </w:p>
        </w:tc>
        <w:tc>
          <w:tcPr>
            <w:tcW w:w="4319" w:type="dxa"/>
            <w:tcBorders/>
          </w:tcPr>
          <w:p>
            <w:pPr>
              <w:pStyle w:val="Normal"/>
              <w:widowControl w:val="false"/>
              <w:spacing w:before="0" w:after="200"/>
              <w:rPr/>
            </w:pPr>
            <w:r>
              <w:rPr/>
              <w:t>0.048</w:t>
            </w:r>
          </w:p>
        </w:tc>
      </w:tr>
      <w:tr>
        <w:trPr/>
        <w:tc>
          <w:tcPr>
            <w:tcW w:w="4320" w:type="dxa"/>
            <w:tcBorders/>
          </w:tcPr>
          <w:p>
            <w:pPr>
              <w:pStyle w:val="Normal"/>
              <w:widowControl w:val="false"/>
              <w:spacing w:before="0" w:after="200"/>
              <w:rPr/>
            </w:pPr>
            <w:r>
              <w:rPr/>
              <w:t>Risk of ruin: B=1000, b=1, T=10k</w:t>
            </w:r>
          </w:p>
        </w:tc>
        <w:tc>
          <w:tcPr>
            <w:tcW w:w="4319" w:type="dxa"/>
            <w:tcBorders/>
          </w:tcPr>
          <w:p>
            <w:pPr>
              <w:pStyle w:val="Normal"/>
              <w:widowControl w:val="false"/>
              <w:spacing w:before="0" w:after="200"/>
              <w:rPr/>
            </w:pPr>
            <w:r>
              <w:rPr/>
              <w:t>0.031</w:t>
            </w:r>
          </w:p>
        </w:tc>
      </w:tr>
      <w:tr>
        <w:trPr/>
        <w:tc>
          <w:tcPr>
            <w:tcW w:w="4320" w:type="dxa"/>
            <w:tcBorders/>
          </w:tcPr>
          <w:p>
            <w:pPr>
              <w:pStyle w:val="Normal"/>
              <w:widowControl w:val="false"/>
              <w:spacing w:before="0" w:after="200"/>
              <w:rPr/>
            </w:pPr>
            <w:r>
              <w:rPr/>
              <w:t>Risk of ruin: B=2000, b=1, T=10k</w:t>
            </w:r>
          </w:p>
        </w:tc>
        <w:tc>
          <w:tcPr>
            <w:tcW w:w="4319" w:type="dxa"/>
            <w:tcBorders/>
          </w:tcPr>
          <w:p>
            <w:pPr>
              <w:pStyle w:val="Normal"/>
              <w:widowControl w:val="false"/>
              <w:spacing w:before="0" w:after="200"/>
              <w:rPr/>
            </w:pPr>
            <w:r>
              <w:rPr/>
              <w:t>0.000</w:t>
            </w:r>
          </w:p>
        </w:tc>
      </w:tr>
      <w:tr>
        <w:trPr/>
        <w:tc>
          <w:tcPr>
            <w:tcW w:w="4320" w:type="dxa"/>
            <w:tcBorders/>
          </w:tcPr>
          <w:p>
            <w:pPr>
              <w:pStyle w:val="Normal"/>
              <w:widowControl w:val="false"/>
              <w:spacing w:before="0" w:after="200"/>
              <w:rPr/>
            </w:pPr>
            <w:r>
              <w:rPr/>
              <w:t>Risk of ruin: B=1000, b=1, T=50k</w:t>
            </w:r>
          </w:p>
        </w:tc>
        <w:tc>
          <w:tcPr>
            <w:tcW w:w="4319" w:type="dxa"/>
            <w:tcBorders/>
          </w:tcPr>
          <w:p>
            <w:pPr>
              <w:pStyle w:val="Normal"/>
              <w:widowControl w:val="false"/>
              <w:spacing w:before="0" w:after="200"/>
              <w:rPr/>
            </w:pPr>
            <w:r>
              <w:rPr/>
              <w:t>0.940</w:t>
            </w:r>
          </w:p>
        </w:tc>
      </w:tr>
    </w:tbl>
    <w:p>
      <w:pPr>
        <w:pStyle w:val="Normal"/>
        <w:rPr/>
      </w:pPr>
      <w:r>
        <w:rPr/>
      </w:r>
    </w:p>
    <w:p>
      <w:pPr>
        <w:pStyle w:val="Normal"/>
        <w:rPr/>
      </w:pPr>
      <w:r>
        <w:rPr/>
      </w:r>
    </w:p>
    <w:p>
      <w:pPr>
        <w:pStyle w:val="Normal"/>
        <w:rPr/>
      </w:pPr>
      <w:r>
        <w:rPr>
          <w:i/>
        </w:rPr>
        <w:t>Figure D.1 – Starburst-like payout mass function (semi-log).</w:t>
      </w:r>
    </w:p>
    <w:p>
      <w:pPr>
        <w:pStyle w:val="Normal"/>
        <w:rPr/>
      </w:pPr>
      <w:r>
        <w:rPr/>
      </w:r>
    </w:p>
    <w:p>
      <w:pPr>
        <w:pStyle w:val="Normal"/>
        <w:rPr/>
      </w:pPr>
      <w:r>
        <w:rPr/>
      </w:r>
    </w:p>
    <w:p>
      <w:pPr>
        <w:pStyle w:val="Normal"/>
        <w:rPr/>
      </w:pPr>
      <w:r>
        <w:rPr>
          <w:i/>
        </w:rPr>
        <w:t>Figure D.2 – Starburst-like ROI distribution after 20,000 spins.</w:t>
      </w:r>
    </w:p>
    <w:p>
      <w:pPr>
        <w:pStyle w:val="Normal"/>
        <w:rPr/>
      </w:pPr>
      <w:r>
        <w:rPr/>
      </w:r>
    </w:p>
    <w:p>
      <w:pPr>
        <w:pStyle w:val="Normal"/>
        <w:rPr/>
      </w:pPr>
      <w:r>
        <w:rPr/>
      </w:r>
    </w:p>
    <w:p>
      <w:pPr>
        <w:pStyle w:val="Normal"/>
        <w:rPr/>
      </w:pPr>
      <w:r>
        <w:rPr>
          <w:i/>
        </w:rPr>
        <w:t>Figure D.3 – Starburst-like wealth snapshots (2k/5k/10k spins).</w:t>
      </w:r>
    </w:p>
    <w:p>
      <w:pPr>
        <w:pStyle w:val="Normal"/>
        <w:rPr/>
      </w:pPr>
      <w:r>
        <w:rPr>
          <w:b/>
          <w:sz w:val="24"/>
        </w:rPr>
        <w:t>High Volatility Foil – Book of Dead-like</w:t>
      </w:r>
    </w:p>
    <w:tbl>
      <w:tblPr>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val="false"/>
              <w:spacing w:before="0" w:after="200"/>
              <w:rPr/>
            </w:pPr>
            <w:r>
              <w:rPr/>
              <w:t>Metric</w:t>
            </w:r>
          </w:p>
        </w:tc>
        <w:tc>
          <w:tcPr>
            <w:tcW w:w="4319" w:type="dxa"/>
            <w:tcBorders/>
          </w:tcPr>
          <w:p>
            <w:pPr>
              <w:pStyle w:val="Normal"/>
              <w:widowControl w:val="false"/>
              <w:spacing w:before="0" w:after="200"/>
              <w:rPr/>
            </w:pPr>
            <w:r>
              <w:rPr/>
              <w:t>Value</w:t>
            </w:r>
          </w:p>
        </w:tc>
      </w:tr>
      <w:tr>
        <w:trPr/>
        <w:tc>
          <w:tcPr>
            <w:tcW w:w="4320" w:type="dxa"/>
            <w:tcBorders/>
          </w:tcPr>
          <w:p>
            <w:pPr>
              <w:pStyle w:val="Normal"/>
              <w:widowControl w:val="false"/>
              <w:spacing w:before="0" w:after="200"/>
              <w:rPr/>
            </w:pPr>
            <w:r>
              <w:rPr/>
              <w:t>Book of Dead-like RTP</w:t>
            </w:r>
          </w:p>
        </w:tc>
        <w:tc>
          <w:tcPr>
            <w:tcW w:w="4319" w:type="dxa"/>
            <w:tcBorders/>
          </w:tcPr>
          <w:p>
            <w:pPr>
              <w:pStyle w:val="Normal"/>
              <w:widowControl w:val="false"/>
              <w:spacing w:before="0" w:after="200"/>
              <w:rPr/>
            </w:pPr>
            <w:r>
              <w:rPr/>
              <w:t>0.9621</w:t>
            </w:r>
          </w:p>
        </w:tc>
      </w:tr>
      <w:tr>
        <w:trPr/>
        <w:tc>
          <w:tcPr>
            <w:tcW w:w="4320" w:type="dxa"/>
            <w:tcBorders/>
          </w:tcPr>
          <w:p>
            <w:pPr>
              <w:pStyle w:val="Normal"/>
              <w:widowControl w:val="false"/>
              <w:spacing w:before="0" w:after="200"/>
              <w:rPr/>
            </w:pPr>
            <w:r>
              <w:rPr/>
              <w:t>Book of Dead-like hit frequency</w:t>
            </w:r>
          </w:p>
        </w:tc>
        <w:tc>
          <w:tcPr>
            <w:tcW w:w="4319" w:type="dxa"/>
            <w:tcBorders/>
          </w:tcPr>
          <w:p>
            <w:pPr>
              <w:pStyle w:val="Normal"/>
              <w:widowControl w:val="false"/>
              <w:spacing w:before="0" w:after="200"/>
              <w:rPr/>
            </w:pPr>
            <w:r>
              <w:rPr/>
              <w:t>0.291</w:t>
            </w:r>
          </w:p>
        </w:tc>
      </w:tr>
      <w:tr>
        <w:trPr/>
        <w:tc>
          <w:tcPr>
            <w:tcW w:w="4320" w:type="dxa"/>
            <w:tcBorders/>
          </w:tcPr>
          <w:p>
            <w:pPr>
              <w:pStyle w:val="Normal"/>
              <w:widowControl w:val="false"/>
              <w:spacing w:before="0" w:after="200"/>
              <w:rPr/>
            </w:pPr>
            <w:r>
              <w:rPr/>
              <w:t>ROI median (20k spins)</w:t>
            </w:r>
          </w:p>
        </w:tc>
        <w:tc>
          <w:tcPr>
            <w:tcW w:w="4319" w:type="dxa"/>
            <w:tcBorders/>
          </w:tcPr>
          <w:p>
            <w:pPr>
              <w:pStyle w:val="Normal"/>
              <w:widowControl w:val="false"/>
              <w:spacing w:before="0" w:after="200"/>
              <w:rPr/>
            </w:pPr>
            <w:r>
              <w:rPr/>
              <w:t>-0.096</w:t>
            </w:r>
          </w:p>
        </w:tc>
      </w:tr>
      <w:tr>
        <w:trPr/>
        <w:tc>
          <w:tcPr>
            <w:tcW w:w="4320" w:type="dxa"/>
            <w:tcBorders/>
          </w:tcPr>
          <w:p>
            <w:pPr>
              <w:pStyle w:val="Normal"/>
              <w:widowControl w:val="false"/>
              <w:spacing w:before="0" w:after="200"/>
              <w:rPr/>
            </w:pPr>
            <w:r>
              <w:rPr/>
              <w:t>Ruin @10k spins (B=1000)</w:t>
            </w:r>
          </w:p>
        </w:tc>
        <w:tc>
          <w:tcPr>
            <w:tcW w:w="4319" w:type="dxa"/>
            <w:tcBorders/>
          </w:tcPr>
          <w:p>
            <w:pPr>
              <w:pStyle w:val="Normal"/>
              <w:widowControl w:val="false"/>
              <w:spacing w:before="0" w:after="200"/>
              <w:rPr/>
            </w:pPr>
            <w:r>
              <w:rPr/>
              <w:t>0.766</w:t>
            </w:r>
          </w:p>
        </w:tc>
      </w:tr>
    </w:tbl>
    <w:p>
      <w:pPr>
        <w:pStyle w:val="Normal"/>
        <w:rPr/>
      </w:pPr>
      <w:r>
        <w:rPr/>
      </w:r>
    </w:p>
    <w:p>
      <w:pPr>
        <w:pStyle w:val="Normal"/>
        <w:rPr/>
      </w:pPr>
      <w:r>
        <w:rPr/>
      </w:r>
    </w:p>
    <w:p>
      <w:pPr>
        <w:pStyle w:val="Normal"/>
        <w:rPr/>
      </w:pPr>
      <w:r>
        <w:rPr>
          <w:i/>
        </w:rPr>
        <w:t>Figure D.4 – Payout mass functions: low vs high volatility.</w:t>
      </w:r>
    </w:p>
    <w:p>
      <w:pPr>
        <w:pStyle w:val="Normal"/>
        <w:rPr/>
      </w:pPr>
      <w:r>
        <w:rPr/>
      </w:r>
    </w:p>
    <w:p>
      <w:pPr>
        <w:pStyle w:val="Normal"/>
        <w:rPr/>
      </w:pPr>
      <w:r>
        <w:rPr/>
      </w:r>
    </w:p>
    <w:p>
      <w:pPr>
        <w:pStyle w:val="Normal"/>
        <w:rPr/>
      </w:pPr>
      <w:r>
        <w:rPr>
          <w:i/>
        </w:rPr>
        <w:t>Figure D.5 – ROI distributions after 20,000 spins: low vs high volatility.</w:t>
      </w:r>
    </w:p>
    <w:p>
      <w:pPr>
        <w:pStyle w:val="Normal"/>
        <w:rPr/>
      </w:pPr>
      <w:r>
        <w:rPr/>
      </w:r>
    </w:p>
    <w:p>
      <w:pPr>
        <w:pStyle w:val="Normal"/>
        <w:rPr/>
      </w:pPr>
      <w:r>
        <w:rPr/>
      </w:r>
    </w:p>
    <w:p>
      <w:pPr>
        <w:pStyle w:val="Normal"/>
        <w:rPr/>
      </w:pPr>
      <w:r>
        <w:rPr>
          <w:i/>
        </w:rPr>
        <w:t>Figure D.6 – Risk of ruin vs horizon (B=1000, b=1).</w:t>
      </w:r>
    </w:p>
    <w:p>
      <w:pPr>
        <w:pStyle w:val="Normal"/>
        <w:rPr>
          <w:b/>
          <w:b/>
          <w:sz w:val="28"/>
        </w:rPr>
      </w:pPr>
      <w:r>
        <w:rPr>
          <w:b/>
          <w:sz w:val="28"/>
        </w:rPr>
        <w:t xml:space="preserve">Appendix E — Roulette: Theoretical Benchmarks, La Partage / En Prison, and Betting Systems </w:t>
      </w:r>
    </w:p>
    <w:p>
      <w:pPr>
        <w:pStyle w:val="Normal"/>
        <w:rPr/>
      </w:pPr>
      <w:r>
        <w:rPr>
          <w:b/>
          <w:sz w:val="28"/>
        </w:rPr>
        <w:t>Roulette – Theoretical Benchmarks, La Partage / En Prison, and Betting Systems</w:t>
      </w:r>
    </w:p>
    <w:p>
      <w:pPr>
        <w:pStyle w:val="Normal"/>
        <w:rPr/>
      </w:pPr>
      <w:r>
        <w:rPr/>
        <w:t>Single-zero European wheel: 37 pockets. Double-zero American: 38 pockets. Payouts: 35:1 (straight), 17:1 (split), 11:1 (street), 8:1 (corner), 5:1 (six-line), 2:1 (dozen/column), 1:1 (even-money). House edge ≈2.70% (EU) and ≈5.26% (US); American five-number (0,00,1,2,3) ≈7.89%. Even-money with La Partage halves loss on zero → ≈1.35% edge.</w:t>
      </w:r>
    </w:p>
    <w:tbl>
      <w:tblPr>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1728" w:type="dxa"/>
            <w:tcBorders/>
          </w:tcPr>
          <w:p>
            <w:pPr>
              <w:pStyle w:val="Normal"/>
              <w:widowControl w:val="false"/>
              <w:spacing w:before="0" w:after="200"/>
              <w:rPr/>
            </w:pPr>
            <w:r>
              <w:rPr/>
              <w:t>Bet</w:t>
            </w:r>
          </w:p>
        </w:tc>
        <w:tc>
          <w:tcPr>
            <w:tcW w:w="1728" w:type="dxa"/>
            <w:tcBorders/>
          </w:tcPr>
          <w:p>
            <w:pPr>
              <w:pStyle w:val="Normal"/>
              <w:widowControl w:val="false"/>
              <w:spacing w:before="0" w:after="200"/>
              <w:rPr/>
            </w:pPr>
            <w:r>
              <w:rPr/>
              <w:t>P(win) EU</w:t>
            </w:r>
          </w:p>
        </w:tc>
        <w:tc>
          <w:tcPr>
            <w:tcW w:w="1728" w:type="dxa"/>
            <w:tcBorders/>
          </w:tcPr>
          <w:p>
            <w:pPr>
              <w:pStyle w:val="Normal"/>
              <w:widowControl w:val="false"/>
              <w:spacing w:before="0" w:after="200"/>
              <w:rPr/>
            </w:pPr>
            <w:r>
              <w:rPr/>
              <w:t>House edge EU</w:t>
            </w:r>
          </w:p>
        </w:tc>
        <w:tc>
          <w:tcPr>
            <w:tcW w:w="1728" w:type="dxa"/>
            <w:tcBorders/>
          </w:tcPr>
          <w:p>
            <w:pPr>
              <w:pStyle w:val="Normal"/>
              <w:widowControl w:val="false"/>
              <w:spacing w:before="0" w:after="200"/>
              <w:rPr/>
            </w:pPr>
            <w:r>
              <w:rPr/>
              <w:t>P(win) US</w:t>
            </w:r>
          </w:p>
        </w:tc>
        <w:tc>
          <w:tcPr>
            <w:tcW w:w="1728" w:type="dxa"/>
            <w:tcBorders/>
          </w:tcPr>
          <w:p>
            <w:pPr>
              <w:pStyle w:val="Normal"/>
              <w:widowControl w:val="false"/>
              <w:spacing w:before="0" w:after="200"/>
              <w:rPr/>
            </w:pPr>
            <w:r>
              <w:rPr/>
              <w:t>House edge US</w:t>
            </w:r>
          </w:p>
        </w:tc>
      </w:tr>
      <w:tr>
        <w:trPr/>
        <w:tc>
          <w:tcPr>
            <w:tcW w:w="1728" w:type="dxa"/>
            <w:tcBorders/>
          </w:tcPr>
          <w:p>
            <w:pPr>
              <w:pStyle w:val="Normal"/>
              <w:widowControl w:val="false"/>
              <w:spacing w:before="0" w:after="200"/>
              <w:rPr/>
            </w:pPr>
            <w:r>
              <w:rPr/>
              <w:t>Straight-up (1 number)</w:t>
            </w:r>
          </w:p>
        </w:tc>
        <w:tc>
          <w:tcPr>
            <w:tcW w:w="1728" w:type="dxa"/>
            <w:tcBorders/>
          </w:tcPr>
          <w:p>
            <w:pPr>
              <w:pStyle w:val="Normal"/>
              <w:widowControl w:val="false"/>
              <w:spacing w:before="0" w:after="200"/>
              <w:rPr/>
            </w:pPr>
            <w:r>
              <w:rPr/>
              <w:t>0.02703</w:t>
            </w:r>
          </w:p>
        </w:tc>
        <w:tc>
          <w:tcPr>
            <w:tcW w:w="1728" w:type="dxa"/>
            <w:tcBorders/>
          </w:tcPr>
          <w:p>
            <w:pPr>
              <w:pStyle w:val="Normal"/>
              <w:widowControl w:val="false"/>
              <w:spacing w:before="0" w:after="200"/>
              <w:rPr/>
            </w:pPr>
            <w:r>
              <w:rPr/>
              <w:t>0.0270</w:t>
            </w:r>
          </w:p>
        </w:tc>
        <w:tc>
          <w:tcPr>
            <w:tcW w:w="1728" w:type="dxa"/>
            <w:tcBorders/>
          </w:tcPr>
          <w:p>
            <w:pPr>
              <w:pStyle w:val="Normal"/>
              <w:widowControl w:val="false"/>
              <w:spacing w:before="0" w:after="200"/>
              <w:rPr/>
            </w:pPr>
            <w:r>
              <w:rPr/>
              <w:t>0.02632</w:t>
            </w:r>
          </w:p>
        </w:tc>
        <w:tc>
          <w:tcPr>
            <w:tcW w:w="1728" w:type="dxa"/>
            <w:tcBorders/>
          </w:tcPr>
          <w:p>
            <w:pPr>
              <w:pStyle w:val="Normal"/>
              <w:widowControl w:val="false"/>
              <w:spacing w:before="0" w:after="200"/>
              <w:rPr/>
            </w:pPr>
            <w:r>
              <w:rPr/>
              <w:t>0.0526</w:t>
            </w:r>
          </w:p>
        </w:tc>
      </w:tr>
      <w:tr>
        <w:trPr/>
        <w:tc>
          <w:tcPr>
            <w:tcW w:w="1728" w:type="dxa"/>
            <w:tcBorders/>
          </w:tcPr>
          <w:p>
            <w:pPr>
              <w:pStyle w:val="Normal"/>
              <w:widowControl w:val="false"/>
              <w:spacing w:before="0" w:after="200"/>
              <w:rPr/>
            </w:pPr>
            <w:r>
              <w:rPr/>
              <w:t>Split (2 numbers)</w:t>
            </w:r>
          </w:p>
        </w:tc>
        <w:tc>
          <w:tcPr>
            <w:tcW w:w="1728" w:type="dxa"/>
            <w:tcBorders/>
          </w:tcPr>
          <w:p>
            <w:pPr>
              <w:pStyle w:val="Normal"/>
              <w:widowControl w:val="false"/>
              <w:spacing w:before="0" w:after="200"/>
              <w:rPr/>
            </w:pPr>
            <w:r>
              <w:rPr/>
              <w:t>0.05405</w:t>
            </w:r>
          </w:p>
        </w:tc>
        <w:tc>
          <w:tcPr>
            <w:tcW w:w="1728" w:type="dxa"/>
            <w:tcBorders/>
          </w:tcPr>
          <w:p>
            <w:pPr>
              <w:pStyle w:val="Normal"/>
              <w:widowControl w:val="false"/>
              <w:spacing w:before="0" w:after="200"/>
              <w:rPr/>
            </w:pPr>
            <w:r>
              <w:rPr/>
              <w:t>0.0270</w:t>
            </w:r>
          </w:p>
        </w:tc>
        <w:tc>
          <w:tcPr>
            <w:tcW w:w="1728" w:type="dxa"/>
            <w:tcBorders/>
          </w:tcPr>
          <w:p>
            <w:pPr>
              <w:pStyle w:val="Normal"/>
              <w:widowControl w:val="false"/>
              <w:spacing w:before="0" w:after="200"/>
              <w:rPr/>
            </w:pPr>
            <w:r>
              <w:rPr/>
              <w:t>0.05263</w:t>
            </w:r>
          </w:p>
        </w:tc>
        <w:tc>
          <w:tcPr>
            <w:tcW w:w="1728" w:type="dxa"/>
            <w:tcBorders/>
          </w:tcPr>
          <w:p>
            <w:pPr>
              <w:pStyle w:val="Normal"/>
              <w:widowControl w:val="false"/>
              <w:spacing w:before="0" w:after="200"/>
              <w:rPr/>
            </w:pPr>
            <w:r>
              <w:rPr/>
              <w:t>0.0526</w:t>
            </w:r>
          </w:p>
        </w:tc>
      </w:tr>
      <w:tr>
        <w:trPr/>
        <w:tc>
          <w:tcPr>
            <w:tcW w:w="1728" w:type="dxa"/>
            <w:tcBorders/>
          </w:tcPr>
          <w:p>
            <w:pPr>
              <w:pStyle w:val="Normal"/>
              <w:widowControl w:val="false"/>
              <w:spacing w:before="0" w:after="200"/>
              <w:rPr/>
            </w:pPr>
            <w:r>
              <w:rPr/>
              <w:t>Street (3 numbers)</w:t>
            </w:r>
          </w:p>
        </w:tc>
        <w:tc>
          <w:tcPr>
            <w:tcW w:w="1728" w:type="dxa"/>
            <w:tcBorders/>
          </w:tcPr>
          <w:p>
            <w:pPr>
              <w:pStyle w:val="Normal"/>
              <w:widowControl w:val="false"/>
              <w:spacing w:before="0" w:after="200"/>
              <w:rPr/>
            </w:pPr>
            <w:r>
              <w:rPr/>
              <w:t>0.08108</w:t>
            </w:r>
          </w:p>
        </w:tc>
        <w:tc>
          <w:tcPr>
            <w:tcW w:w="1728" w:type="dxa"/>
            <w:tcBorders/>
          </w:tcPr>
          <w:p>
            <w:pPr>
              <w:pStyle w:val="Normal"/>
              <w:widowControl w:val="false"/>
              <w:spacing w:before="0" w:after="200"/>
              <w:rPr/>
            </w:pPr>
            <w:r>
              <w:rPr/>
              <w:t>0.0270</w:t>
            </w:r>
          </w:p>
        </w:tc>
        <w:tc>
          <w:tcPr>
            <w:tcW w:w="1728" w:type="dxa"/>
            <w:tcBorders/>
          </w:tcPr>
          <w:p>
            <w:pPr>
              <w:pStyle w:val="Normal"/>
              <w:widowControl w:val="false"/>
              <w:spacing w:before="0" w:after="200"/>
              <w:rPr/>
            </w:pPr>
            <w:r>
              <w:rPr/>
              <w:t>0.07895</w:t>
            </w:r>
          </w:p>
        </w:tc>
        <w:tc>
          <w:tcPr>
            <w:tcW w:w="1728" w:type="dxa"/>
            <w:tcBorders/>
          </w:tcPr>
          <w:p>
            <w:pPr>
              <w:pStyle w:val="Normal"/>
              <w:widowControl w:val="false"/>
              <w:spacing w:before="0" w:after="200"/>
              <w:rPr/>
            </w:pPr>
            <w:r>
              <w:rPr/>
              <w:t>0.0526</w:t>
            </w:r>
          </w:p>
        </w:tc>
      </w:tr>
      <w:tr>
        <w:trPr/>
        <w:tc>
          <w:tcPr>
            <w:tcW w:w="1728" w:type="dxa"/>
            <w:tcBorders/>
          </w:tcPr>
          <w:p>
            <w:pPr>
              <w:pStyle w:val="Normal"/>
              <w:widowControl w:val="false"/>
              <w:spacing w:before="0" w:after="200"/>
              <w:rPr/>
            </w:pPr>
            <w:r>
              <w:rPr/>
              <w:t>Corner (4 numbers)</w:t>
            </w:r>
          </w:p>
        </w:tc>
        <w:tc>
          <w:tcPr>
            <w:tcW w:w="1728" w:type="dxa"/>
            <w:tcBorders/>
          </w:tcPr>
          <w:p>
            <w:pPr>
              <w:pStyle w:val="Normal"/>
              <w:widowControl w:val="false"/>
              <w:spacing w:before="0" w:after="200"/>
              <w:rPr/>
            </w:pPr>
            <w:r>
              <w:rPr/>
              <w:t>0.10811</w:t>
            </w:r>
          </w:p>
        </w:tc>
        <w:tc>
          <w:tcPr>
            <w:tcW w:w="1728" w:type="dxa"/>
            <w:tcBorders/>
          </w:tcPr>
          <w:p>
            <w:pPr>
              <w:pStyle w:val="Normal"/>
              <w:widowControl w:val="false"/>
              <w:spacing w:before="0" w:after="200"/>
              <w:rPr/>
            </w:pPr>
            <w:r>
              <w:rPr/>
              <w:t>0.0270</w:t>
            </w:r>
          </w:p>
        </w:tc>
        <w:tc>
          <w:tcPr>
            <w:tcW w:w="1728" w:type="dxa"/>
            <w:tcBorders/>
          </w:tcPr>
          <w:p>
            <w:pPr>
              <w:pStyle w:val="Normal"/>
              <w:widowControl w:val="false"/>
              <w:spacing w:before="0" w:after="200"/>
              <w:rPr/>
            </w:pPr>
            <w:r>
              <w:rPr/>
              <w:t>0.10526</w:t>
            </w:r>
          </w:p>
        </w:tc>
        <w:tc>
          <w:tcPr>
            <w:tcW w:w="1728" w:type="dxa"/>
            <w:tcBorders/>
          </w:tcPr>
          <w:p>
            <w:pPr>
              <w:pStyle w:val="Normal"/>
              <w:widowControl w:val="false"/>
              <w:spacing w:before="0" w:after="200"/>
              <w:rPr/>
            </w:pPr>
            <w:r>
              <w:rPr/>
              <w:t>0.0526</w:t>
            </w:r>
          </w:p>
        </w:tc>
      </w:tr>
      <w:tr>
        <w:trPr/>
        <w:tc>
          <w:tcPr>
            <w:tcW w:w="1728" w:type="dxa"/>
            <w:tcBorders/>
          </w:tcPr>
          <w:p>
            <w:pPr>
              <w:pStyle w:val="Normal"/>
              <w:widowControl w:val="false"/>
              <w:spacing w:before="0" w:after="200"/>
              <w:rPr/>
            </w:pPr>
            <w:r>
              <w:rPr/>
              <w:t>Six line (6 numbers)</w:t>
            </w:r>
          </w:p>
        </w:tc>
        <w:tc>
          <w:tcPr>
            <w:tcW w:w="1728" w:type="dxa"/>
            <w:tcBorders/>
          </w:tcPr>
          <w:p>
            <w:pPr>
              <w:pStyle w:val="Normal"/>
              <w:widowControl w:val="false"/>
              <w:spacing w:before="0" w:after="200"/>
              <w:rPr/>
            </w:pPr>
            <w:r>
              <w:rPr/>
              <w:t>0.16216</w:t>
            </w:r>
          </w:p>
        </w:tc>
        <w:tc>
          <w:tcPr>
            <w:tcW w:w="1728" w:type="dxa"/>
            <w:tcBorders/>
          </w:tcPr>
          <w:p>
            <w:pPr>
              <w:pStyle w:val="Normal"/>
              <w:widowControl w:val="false"/>
              <w:spacing w:before="0" w:after="200"/>
              <w:rPr/>
            </w:pPr>
            <w:r>
              <w:rPr/>
              <w:t>0.0270</w:t>
            </w:r>
          </w:p>
        </w:tc>
        <w:tc>
          <w:tcPr>
            <w:tcW w:w="1728" w:type="dxa"/>
            <w:tcBorders/>
          </w:tcPr>
          <w:p>
            <w:pPr>
              <w:pStyle w:val="Normal"/>
              <w:widowControl w:val="false"/>
              <w:spacing w:before="0" w:after="200"/>
              <w:rPr/>
            </w:pPr>
            <w:r>
              <w:rPr/>
              <w:t>0.15789</w:t>
            </w:r>
          </w:p>
        </w:tc>
        <w:tc>
          <w:tcPr>
            <w:tcW w:w="1728" w:type="dxa"/>
            <w:tcBorders/>
          </w:tcPr>
          <w:p>
            <w:pPr>
              <w:pStyle w:val="Normal"/>
              <w:widowControl w:val="false"/>
              <w:spacing w:before="0" w:after="200"/>
              <w:rPr/>
            </w:pPr>
            <w:r>
              <w:rPr/>
              <w:t>0.0526</w:t>
            </w:r>
          </w:p>
        </w:tc>
      </w:tr>
      <w:tr>
        <w:trPr/>
        <w:tc>
          <w:tcPr>
            <w:tcW w:w="1728" w:type="dxa"/>
            <w:tcBorders/>
          </w:tcPr>
          <w:p>
            <w:pPr>
              <w:pStyle w:val="Normal"/>
              <w:widowControl w:val="false"/>
              <w:spacing w:before="0" w:after="200"/>
              <w:rPr/>
            </w:pPr>
            <w:r>
              <w:rPr/>
              <w:t>Dozen / Column (12 numbers)</w:t>
            </w:r>
          </w:p>
        </w:tc>
        <w:tc>
          <w:tcPr>
            <w:tcW w:w="1728" w:type="dxa"/>
            <w:tcBorders/>
          </w:tcPr>
          <w:p>
            <w:pPr>
              <w:pStyle w:val="Normal"/>
              <w:widowControl w:val="false"/>
              <w:spacing w:before="0" w:after="200"/>
              <w:rPr/>
            </w:pPr>
            <w:r>
              <w:rPr/>
              <w:t>0.32432</w:t>
            </w:r>
          </w:p>
        </w:tc>
        <w:tc>
          <w:tcPr>
            <w:tcW w:w="1728" w:type="dxa"/>
            <w:tcBorders/>
          </w:tcPr>
          <w:p>
            <w:pPr>
              <w:pStyle w:val="Normal"/>
              <w:widowControl w:val="false"/>
              <w:spacing w:before="0" w:after="200"/>
              <w:rPr/>
            </w:pPr>
            <w:r>
              <w:rPr/>
              <w:t>0.0270</w:t>
            </w:r>
          </w:p>
        </w:tc>
        <w:tc>
          <w:tcPr>
            <w:tcW w:w="1728" w:type="dxa"/>
            <w:tcBorders/>
          </w:tcPr>
          <w:p>
            <w:pPr>
              <w:pStyle w:val="Normal"/>
              <w:widowControl w:val="false"/>
              <w:spacing w:before="0" w:after="200"/>
              <w:rPr/>
            </w:pPr>
            <w:r>
              <w:rPr/>
              <w:t>0.31579</w:t>
            </w:r>
          </w:p>
        </w:tc>
        <w:tc>
          <w:tcPr>
            <w:tcW w:w="1728" w:type="dxa"/>
            <w:tcBorders/>
          </w:tcPr>
          <w:p>
            <w:pPr>
              <w:pStyle w:val="Normal"/>
              <w:widowControl w:val="false"/>
              <w:spacing w:before="0" w:after="200"/>
              <w:rPr/>
            </w:pPr>
            <w:r>
              <w:rPr/>
              <w:t>0.0526</w:t>
            </w:r>
          </w:p>
        </w:tc>
      </w:tr>
      <w:tr>
        <w:trPr/>
        <w:tc>
          <w:tcPr>
            <w:tcW w:w="1728" w:type="dxa"/>
            <w:tcBorders/>
          </w:tcPr>
          <w:p>
            <w:pPr>
              <w:pStyle w:val="Normal"/>
              <w:widowControl w:val="false"/>
              <w:spacing w:before="0" w:after="200"/>
              <w:rPr/>
            </w:pPr>
            <w:r>
              <w:rPr/>
              <w:t>Even-money (Red/Black, Even/Odd, Low/High)</w:t>
            </w:r>
          </w:p>
        </w:tc>
        <w:tc>
          <w:tcPr>
            <w:tcW w:w="1728" w:type="dxa"/>
            <w:tcBorders/>
          </w:tcPr>
          <w:p>
            <w:pPr>
              <w:pStyle w:val="Normal"/>
              <w:widowControl w:val="false"/>
              <w:spacing w:before="0" w:after="200"/>
              <w:rPr/>
            </w:pPr>
            <w:r>
              <w:rPr/>
              <w:t>0.48649</w:t>
            </w:r>
          </w:p>
        </w:tc>
        <w:tc>
          <w:tcPr>
            <w:tcW w:w="1728" w:type="dxa"/>
            <w:tcBorders/>
          </w:tcPr>
          <w:p>
            <w:pPr>
              <w:pStyle w:val="Normal"/>
              <w:widowControl w:val="false"/>
              <w:spacing w:before="0" w:after="200"/>
              <w:rPr/>
            </w:pPr>
            <w:r>
              <w:rPr/>
              <w:t>0.0270</w:t>
            </w:r>
          </w:p>
        </w:tc>
        <w:tc>
          <w:tcPr>
            <w:tcW w:w="1728" w:type="dxa"/>
            <w:tcBorders/>
          </w:tcPr>
          <w:p>
            <w:pPr>
              <w:pStyle w:val="Normal"/>
              <w:widowControl w:val="false"/>
              <w:spacing w:before="0" w:after="200"/>
              <w:rPr/>
            </w:pPr>
            <w:r>
              <w:rPr/>
              <w:t>0.47368</w:t>
            </w:r>
          </w:p>
        </w:tc>
        <w:tc>
          <w:tcPr>
            <w:tcW w:w="1728" w:type="dxa"/>
            <w:tcBorders/>
          </w:tcPr>
          <w:p>
            <w:pPr>
              <w:pStyle w:val="Normal"/>
              <w:widowControl w:val="false"/>
              <w:spacing w:before="0" w:after="200"/>
              <w:rPr/>
            </w:pPr>
            <w:r>
              <w:rPr/>
              <w:t>0.0526</w:t>
            </w:r>
          </w:p>
        </w:tc>
      </w:tr>
      <w:tr>
        <w:trPr/>
        <w:tc>
          <w:tcPr>
            <w:tcW w:w="1728" w:type="dxa"/>
            <w:tcBorders/>
          </w:tcPr>
          <w:p>
            <w:pPr>
              <w:pStyle w:val="Normal"/>
              <w:widowControl w:val="false"/>
              <w:spacing w:before="0" w:after="200"/>
              <w:rPr/>
            </w:pPr>
            <w:r>
              <w:rPr/>
              <w:t>Five-number (0,00,1,2,3) – American only</w:t>
            </w:r>
          </w:p>
        </w:tc>
        <w:tc>
          <w:tcPr>
            <w:tcW w:w="1728" w:type="dxa"/>
            <w:tcBorders/>
          </w:tcPr>
          <w:p>
            <w:pPr>
              <w:pStyle w:val="Normal"/>
              <w:widowControl w:val="false"/>
              <w:spacing w:before="0" w:after="200"/>
              <w:rPr/>
            </w:pPr>
            <w:r>
              <w:rPr/>
            </w:r>
          </w:p>
        </w:tc>
        <w:tc>
          <w:tcPr>
            <w:tcW w:w="1728" w:type="dxa"/>
            <w:tcBorders/>
          </w:tcPr>
          <w:p>
            <w:pPr>
              <w:pStyle w:val="Normal"/>
              <w:widowControl w:val="false"/>
              <w:spacing w:before="0" w:after="200"/>
              <w:rPr/>
            </w:pPr>
            <w:r>
              <w:rPr/>
            </w:r>
          </w:p>
        </w:tc>
        <w:tc>
          <w:tcPr>
            <w:tcW w:w="1728" w:type="dxa"/>
            <w:tcBorders/>
          </w:tcPr>
          <w:p>
            <w:pPr>
              <w:pStyle w:val="Normal"/>
              <w:widowControl w:val="false"/>
              <w:spacing w:before="0" w:after="200"/>
              <w:rPr/>
            </w:pPr>
            <w:r>
              <w:rPr/>
              <w:t>0.13158</w:t>
            </w:r>
          </w:p>
        </w:tc>
        <w:tc>
          <w:tcPr>
            <w:tcW w:w="1728" w:type="dxa"/>
            <w:tcBorders/>
          </w:tcPr>
          <w:p>
            <w:pPr>
              <w:pStyle w:val="Normal"/>
              <w:widowControl w:val="false"/>
              <w:spacing w:before="0" w:after="200"/>
              <w:rPr/>
            </w:pPr>
            <w:r>
              <w:rPr/>
              <w:t>0.0789</w:t>
            </w:r>
          </w:p>
        </w:tc>
      </w:tr>
      <w:tr>
        <w:trPr/>
        <w:tc>
          <w:tcPr>
            <w:tcW w:w="1728" w:type="dxa"/>
            <w:tcBorders/>
          </w:tcPr>
          <w:p>
            <w:pPr>
              <w:pStyle w:val="Normal"/>
              <w:widowControl w:val="false"/>
              <w:spacing w:before="0" w:after="200"/>
              <w:rPr/>
            </w:pPr>
            <w:r>
              <w:rPr/>
              <w:t>Even-money with La Partage (EU)</w:t>
            </w:r>
          </w:p>
        </w:tc>
        <w:tc>
          <w:tcPr>
            <w:tcW w:w="1728" w:type="dxa"/>
            <w:tcBorders/>
          </w:tcPr>
          <w:p>
            <w:pPr>
              <w:pStyle w:val="Normal"/>
              <w:widowControl w:val="false"/>
              <w:spacing w:before="0" w:after="200"/>
              <w:rPr/>
            </w:pPr>
            <w:r>
              <w:rPr/>
              <w:t>0.48649</w:t>
            </w:r>
          </w:p>
        </w:tc>
        <w:tc>
          <w:tcPr>
            <w:tcW w:w="1728" w:type="dxa"/>
            <w:tcBorders/>
          </w:tcPr>
          <w:p>
            <w:pPr>
              <w:pStyle w:val="Normal"/>
              <w:widowControl w:val="false"/>
              <w:spacing w:before="0" w:after="200"/>
              <w:rPr/>
            </w:pPr>
            <w:r>
              <w:rPr/>
              <w:t>0.0135</w:t>
            </w:r>
          </w:p>
        </w:tc>
        <w:tc>
          <w:tcPr>
            <w:tcW w:w="1728" w:type="dxa"/>
            <w:tcBorders/>
          </w:tcPr>
          <w:p>
            <w:pPr>
              <w:pStyle w:val="Normal"/>
              <w:widowControl w:val="false"/>
              <w:spacing w:before="0" w:after="200"/>
              <w:rPr/>
            </w:pPr>
            <w:r>
              <w:rPr/>
            </w:r>
          </w:p>
        </w:tc>
        <w:tc>
          <w:tcPr>
            <w:tcW w:w="1728" w:type="dxa"/>
            <w:tcBorders/>
          </w:tcPr>
          <w:p>
            <w:pPr>
              <w:pStyle w:val="Normal"/>
              <w:widowControl w:val="false"/>
              <w:spacing w:before="0" w:after="200"/>
              <w:rPr/>
            </w:pPr>
            <w:r>
              <w:rPr/>
            </w:r>
          </w:p>
        </w:tc>
      </w:tr>
    </w:tbl>
    <w:p>
      <w:pPr>
        <w:pStyle w:val="Normal"/>
        <w:rPr/>
      </w:pPr>
      <w:r>
        <w:rPr/>
      </w:r>
    </w:p>
    <w:p>
      <w:pPr>
        <w:pStyle w:val="Normal"/>
        <w:rPr/>
      </w:pPr>
      <w:r>
        <w:rPr/>
      </w:r>
    </w:p>
    <w:p>
      <w:pPr>
        <w:pStyle w:val="Normal"/>
        <w:rPr/>
      </w:pPr>
      <w:r>
        <w:rPr>
          <w:i/>
        </w:rPr>
        <w:t>Figure E.1 – House edge by bet type (European vs American).</w:t>
      </w:r>
    </w:p>
    <w:p>
      <w:pPr>
        <w:pStyle w:val="Normal"/>
        <w:rPr/>
      </w:pPr>
      <w:r>
        <w:rPr/>
      </w:r>
    </w:p>
    <w:p>
      <w:pPr>
        <w:pStyle w:val="Normal"/>
        <w:rPr/>
      </w:pPr>
      <w:r>
        <w:rPr/>
      </w:r>
    </w:p>
    <w:p>
      <w:pPr>
        <w:pStyle w:val="Normal"/>
        <w:rPr/>
      </w:pPr>
      <w:r>
        <w:rPr>
          <w:i/>
        </w:rPr>
        <w:t>Figure E.2 – Even-money house edge: EU vs EU+La Partage vs US.</w:t>
      </w:r>
    </w:p>
    <w:p>
      <w:pPr>
        <w:pStyle w:val="Normal"/>
        <w:rPr/>
      </w:pPr>
      <w:r>
        <w:rPr>
          <w:b/>
          <w:sz w:val="24"/>
        </w:rPr>
        <w:t>En Prison vs La Partage (Even-Money)</w:t>
      </w:r>
    </w:p>
    <w:p>
      <w:pPr>
        <w:pStyle w:val="Normal"/>
        <w:rPr/>
      </w:pPr>
      <w:r>
        <w:rPr/>
      </w:r>
    </w:p>
    <w:p>
      <w:pPr>
        <w:pStyle w:val="Normal"/>
        <w:rPr/>
      </w:pPr>
      <w:r>
        <w:rPr/>
      </w:r>
    </w:p>
    <w:p>
      <w:pPr>
        <w:pStyle w:val="Normal"/>
        <w:rPr/>
      </w:pPr>
      <w:r>
        <w:rPr>
          <w:i/>
        </w:rPr>
        <w:t>Figure E.3 – Even-money: La Partage and En Prison are EV-equivalent (simulation confirmation).</w:t>
      </w:r>
    </w:p>
    <w:p>
      <w:pPr>
        <w:pStyle w:val="Normal"/>
        <w:rPr/>
      </w:pPr>
      <w:r>
        <w:rPr>
          <w:b/>
          <w:sz w:val="24"/>
        </w:rPr>
        <w:t>Monte Carlo: EV Convergence &amp; Table-Limit Pressure</w:t>
      </w:r>
    </w:p>
    <w:p>
      <w:pPr>
        <w:pStyle w:val="Normal"/>
        <w:rPr/>
      </w:pPr>
      <w:r>
        <w:rPr/>
      </w:r>
    </w:p>
    <w:p>
      <w:pPr>
        <w:pStyle w:val="Normal"/>
        <w:rPr/>
      </w:pPr>
      <w:r>
        <w:rPr/>
      </w:r>
    </w:p>
    <w:p>
      <w:pPr>
        <w:pStyle w:val="Normal"/>
        <w:rPr/>
      </w:pPr>
      <w:r>
        <w:rPr>
          <w:i/>
        </w:rPr>
        <w:t>Figure E.4 – EV convergence (mean±sd) across bet types (EU vs US).</w:t>
      </w:r>
    </w:p>
    <w:p>
      <w:pPr>
        <w:pStyle w:val="Normal"/>
        <w:rPr/>
      </w:pPr>
      <w:r>
        <w:rPr/>
      </w:r>
    </w:p>
    <w:p>
      <w:pPr>
        <w:pStyle w:val="Normal"/>
        <w:rPr/>
      </w:pPr>
      <w:r>
        <w:rPr/>
      </w:r>
    </w:p>
    <w:p>
      <w:pPr>
        <w:pStyle w:val="Normal"/>
        <w:rPr/>
      </w:pPr>
      <w:r>
        <w:rPr>
          <w:i/>
        </w:rPr>
        <w:t>Figure E.5 – Martingale: ending-wealth distribution under table limits.</w:t>
      </w:r>
    </w:p>
    <w:p>
      <w:pPr>
        <w:pStyle w:val="Normal"/>
        <w:rPr/>
      </w:pPr>
      <w:r>
        <w:rPr/>
      </w:r>
    </w:p>
    <w:p>
      <w:pPr>
        <w:pStyle w:val="Normal"/>
        <w:rPr/>
      </w:pPr>
      <w:r>
        <w:rPr/>
      </w:r>
    </w:p>
    <w:p>
      <w:pPr>
        <w:pStyle w:val="Normal"/>
        <w:rPr/>
      </w:pPr>
      <w:r>
        <w:rPr>
          <w:i/>
        </w:rPr>
        <w:t>Figure E.6 – Anti-Martingale (Paroli): ending-wealth distribution (streak cap=3).</w:t>
      </w:r>
    </w:p>
    <w:p>
      <w:pPr>
        <w:pStyle w:val="Normal"/>
        <w:rPr/>
      </w:pPr>
      <w:r>
        <w:rPr/>
      </w:r>
    </w:p>
    <w:p>
      <w:pPr>
        <w:pStyle w:val="Normal"/>
        <w:rPr/>
      </w:pPr>
      <w:r>
        <w:rPr/>
      </w:r>
    </w:p>
    <w:p>
      <w:pPr>
        <w:pStyle w:val="Normal"/>
        <w:rPr/>
      </w:pPr>
      <w:r>
        <w:rPr>
          <w:i/>
        </w:rPr>
        <w:t>Figure E.7 – Martingale: stake trajectory (example session).</w:t>
      </w:r>
    </w:p>
    <w:p>
      <w:pPr>
        <w:pStyle w:val="Normal"/>
        <w:rPr/>
      </w:pPr>
      <w:r>
        <w:rPr/>
      </w:r>
    </w:p>
    <w:p>
      <w:pPr>
        <w:pStyle w:val="Normal"/>
        <w:rPr/>
      </w:pPr>
      <w:r>
        <w:rPr/>
      </w:r>
    </w:p>
    <w:p>
      <w:pPr>
        <w:pStyle w:val="Normal"/>
        <w:rPr/>
      </w:pPr>
      <w:r>
        <w:rPr>
          <w:i/>
        </w:rPr>
        <w:t>Figure E.8 – Anti-Martingale: stake trajectory (example session).</w:t>
      </w:r>
    </w:p>
    <w:p>
      <w:pPr>
        <w:pStyle w:val="Normal"/>
        <w:rPr>
          <w:i/>
          <w:i/>
        </w:rPr>
      </w:pPr>
      <w:r>
        <w:rPr/>
      </w:r>
    </w:p>
    <w:p>
      <w:pPr>
        <w:pStyle w:val="Normal"/>
        <w:rPr>
          <w:b/>
          <w:b/>
          <w:sz w:val="28"/>
        </w:rPr>
      </w:pPr>
      <w:r>
        <w:rPr>
          <w:rStyle w:val="Style7"/>
          <w:sz w:val="28"/>
        </w:rPr>
        <w:t>Appendix F — Football (Super League Greece): Market-Implied Probabilities, Utility &amp; Luck</w:t>
      </w:r>
      <w:r>
        <w:rPr>
          <w:b/>
          <w:sz w:val="28"/>
        </w:rPr>
        <w:t xml:space="preserve"> </w:t>
      </w:r>
    </w:p>
    <w:p>
      <w:pPr>
        <w:pStyle w:val="Normal"/>
        <w:rPr/>
      </w:pPr>
      <w:r>
        <w:rPr>
          <w:b/>
          <w:sz w:val="28"/>
        </w:rPr>
        <w:t>Super League (Greece) – Market-Implied P, Utility and Luck</w:t>
      </w:r>
    </w:p>
    <w:p>
      <w:pPr>
        <w:pStyle w:val="Normal"/>
        <w:rPr/>
      </w:pPr>
      <w:r>
        <w:rPr/>
        <w:t>Data source: Football-Data.co.uk (league code G1). We use closing/average odds to derive market-implied probabilities for {Home, Draw, Away}, corrected for overround. The realized outcome’s probability defines surprisal S; entropy H is computed over the 3-way distribution. Utility U is modeled as unit-stake net return on the argmax-probability selection (illustrative baseline).</w:t>
      </w:r>
    </w:p>
    <w:tbl>
      <w:tblPr>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val="false"/>
              <w:spacing w:before="0" w:after="200"/>
              <w:rPr/>
            </w:pPr>
            <w:r>
              <w:rPr/>
              <w:t>Metric</w:t>
            </w:r>
          </w:p>
        </w:tc>
        <w:tc>
          <w:tcPr>
            <w:tcW w:w="4319" w:type="dxa"/>
            <w:tcBorders/>
          </w:tcPr>
          <w:p>
            <w:pPr>
              <w:pStyle w:val="Normal"/>
              <w:widowControl w:val="false"/>
              <w:spacing w:before="0" w:after="200"/>
              <w:rPr/>
            </w:pPr>
            <w:r>
              <w:rPr/>
              <w:t>Value</w:t>
            </w:r>
          </w:p>
        </w:tc>
      </w:tr>
      <w:tr>
        <w:trPr/>
        <w:tc>
          <w:tcPr>
            <w:tcW w:w="4320" w:type="dxa"/>
            <w:tcBorders/>
          </w:tcPr>
          <w:p>
            <w:pPr>
              <w:pStyle w:val="Normal"/>
              <w:widowControl w:val="false"/>
              <w:spacing w:before="0" w:after="200"/>
              <w:rPr/>
            </w:pPr>
            <w:r>
              <w:rPr/>
              <w:t>Season (latest)</w:t>
            </w:r>
          </w:p>
        </w:tc>
        <w:tc>
          <w:tcPr>
            <w:tcW w:w="4319" w:type="dxa"/>
            <w:tcBorders/>
          </w:tcPr>
          <w:p>
            <w:pPr>
              <w:pStyle w:val="Normal"/>
              <w:widowControl w:val="false"/>
              <w:spacing w:before="0" w:after="200"/>
              <w:rPr/>
            </w:pPr>
            <w:r>
              <w:rPr/>
              <w:t>2024/25</w:t>
            </w:r>
          </w:p>
        </w:tc>
      </w:tr>
      <w:tr>
        <w:trPr/>
        <w:tc>
          <w:tcPr>
            <w:tcW w:w="4320" w:type="dxa"/>
            <w:tcBorders/>
          </w:tcPr>
          <w:p>
            <w:pPr>
              <w:pStyle w:val="Normal"/>
              <w:widowControl w:val="false"/>
              <w:spacing w:before="0" w:after="200"/>
              <w:rPr/>
            </w:pPr>
            <w:r>
              <w:rPr/>
              <w:t>Matches</w:t>
            </w:r>
          </w:p>
        </w:tc>
        <w:tc>
          <w:tcPr>
            <w:tcW w:w="4319" w:type="dxa"/>
            <w:tcBorders/>
          </w:tcPr>
          <w:p>
            <w:pPr>
              <w:pStyle w:val="Normal"/>
              <w:widowControl w:val="false"/>
              <w:spacing w:before="0" w:after="200"/>
              <w:rPr/>
            </w:pPr>
            <w:r>
              <w:rPr/>
              <w:t>233</w:t>
            </w:r>
          </w:p>
        </w:tc>
      </w:tr>
      <w:tr>
        <w:trPr/>
        <w:tc>
          <w:tcPr>
            <w:tcW w:w="4320" w:type="dxa"/>
            <w:tcBorders/>
          </w:tcPr>
          <w:p>
            <w:pPr>
              <w:pStyle w:val="Normal"/>
              <w:widowControl w:val="false"/>
              <w:spacing w:before="0" w:after="200"/>
              <w:rPr/>
            </w:pPr>
            <w:r>
              <w:rPr/>
              <w:t>Brier score (3-way)</w:t>
            </w:r>
          </w:p>
        </w:tc>
        <w:tc>
          <w:tcPr>
            <w:tcW w:w="4319" w:type="dxa"/>
            <w:tcBorders/>
          </w:tcPr>
          <w:p>
            <w:pPr>
              <w:pStyle w:val="Normal"/>
              <w:widowControl w:val="false"/>
              <w:spacing w:before="0" w:after="200"/>
              <w:rPr/>
            </w:pPr>
            <w:r>
              <w:rPr/>
              <w:t>0.5812</w:t>
            </w:r>
          </w:p>
        </w:tc>
      </w:tr>
      <w:tr>
        <w:trPr/>
        <w:tc>
          <w:tcPr>
            <w:tcW w:w="4320" w:type="dxa"/>
            <w:tcBorders/>
          </w:tcPr>
          <w:p>
            <w:pPr>
              <w:pStyle w:val="Normal"/>
              <w:widowControl w:val="false"/>
              <w:spacing w:before="0" w:after="200"/>
              <w:rPr/>
            </w:pPr>
            <w:r>
              <w:rPr/>
              <w:t>Log loss (3-way)</w:t>
            </w:r>
          </w:p>
        </w:tc>
        <w:tc>
          <w:tcPr>
            <w:tcW w:w="4319" w:type="dxa"/>
            <w:tcBorders/>
          </w:tcPr>
          <w:p>
            <w:pPr>
              <w:pStyle w:val="Normal"/>
              <w:widowControl w:val="false"/>
              <w:spacing w:before="0" w:after="200"/>
              <w:rPr/>
            </w:pPr>
            <w:r>
              <w:rPr/>
              <w:t>0.9794</w:t>
            </w:r>
          </w:p>
        </w:tc>
      </w:tr>
      <w:tr>
        <w:trPr/>
        <w:tc>
          <w:tcPr>
            <w:tcW w:w="4320" w:type="dxa"/>
            <w:tcBorders/>
          </w:tcPr>
          <w:p>
            <w:pPr>
              <w:pStyle w:val="Normal"/>
              <w:widowControl w:val="false"/>
              <w:spacing w:before="0" w:after="200"/>
              <w:rPr/>
            </w:pPr>
            <w:r>
              <w:rPr/>
              <w:t>Mean unit utility (per match)</w:t>
            </w:r>
          </w:p>
        </w:tc>
        <w:tc>
          <w:tcPr>
            <w:tcW w:w="4319" w:type="dxa"/>
            <w:tcBorders/>
          </w:tcPr>
          <w:p>
            <w:pPr>
              <w:pStyle w:val="Normal"/>
              <w:widowControl w:val="false"/>
              <w:spacing w:before="0" w:after="200"/>
              <w:rPr/>
            </w:pPr>
            <w:r>
              <w:rPr/>
              <w:t>-0.1176</w:t>
            </w:r>
          </w:p>
        </w:tc>
      </w:tr>
    </w:tbl>
    <w:p>
      <w:pPr>
        <w:pStyle w:val="Normal"/>
        <w:rPr/>
      </w:pPr>
      <w:r>
        <w:rPr/>
      </w:r>
    </w:p>
    <w:p>
      <w:pPr>
        <w:pStyle w:val="Normal"/>
        <w:rPr/>
      </w:pPr>
      <w:r>
        <w:rPr/>
      </w:r>
    </w:p>
    <w:p>
      <w:pPr>
        <w:pStyle w:val="Normal"/>
        <w:rPr/>
      </w:pPr>
      <w:r>
        <w:rPr>
          <w:i/>
        </w:rPr>
        <w:t>Figure F.1 – Reliability of argmax market probabilities (latest season).</w:t>
      </w:r>
    </w:p>
    <w:p>
      <w:pPr>
        <w:pStyle w:val="Normal"/>
        <w:rPr/>
      </w:pPr>
      <w:r>
        <w:rPr/>
      </w:r>
    </w:p>
    <w:p>
      <w:pPr>
        <w:pStyle w:val="Normal"/>
        <w:rPr/>
      </w:pPr>
      <w:r>
        <w:rPr/>
      </w:r>
    </w:p>
    <w:p>
      <w:pPr>
        <w:pStyle w:val="Normal"/>
        <w:rPr/>
      </w:pPr>
      <w:r>
        <w:rPr>
          <w:i/>
        </w:rPr>
        <w:t>Figure F.2 – Distribution of per-match unit utility (latest season).</w:t>
      </w:r>
    </w:p>
    <w:p>
      <w:pPr>
        <w:pStyle w:val="Normal"/>
        <w:rPr/>
      </w:pPr>
      <w:r>
        <w:rPr/>
      </w:r>
    </w:p>
    <w:p>
      <w:pPr>
        <w:pStyle w:val="Normal"/>
        <w:rPr/>
      </w:pPr>
      <w:r>
        <w:rPr/>
      </w:r>
    </w:p>
    <w:p>
      <w:pPr>
        <w:pStyle w:val="Normal"/>
        <w:rPr/>
      </w:pPr>
      <w:r>
        <w:rPr>
          <w:i/>
        </w:rPr>
        <w:t>Figure F.3 – Cumulative unit-stake profit (latest season).</w:t>
      </w:r>
    </w:p>
    <w:p>
      <w:pPr>
        <w:pStyle w:val="Normal"/>
        <w:rPr/>
      </w:pPr>
      <w:r>
        <w:rPr/>
      </w:r>
    </w:p>
    <w:p>
      <w:pPr>
        <w:pStyle w:val="Normal"/>
        <w:rPr/>
      </w:pPr>
      <w:r>
        <w:rPr/>
      </w:r>
    </w:p>
    <w:p>
      <w:pPr>
        <w:pStyle w:val="Normal"/>
        <w:rPr/>
      </w:pPr>
      <w:r>
        <w:rPr>
          <w:i/>
        </w:rPr>
        <w:t>Figure F.4 – Kelly log-wealth (λ_K=0.25, cap 5%/match).</w:t>
      </w:r>
    </w:p>
    <w:p>
      <w:pPr>
        <w:pStyle w:val="Normal"/>
        <w:rPr/>
      </w:pPr>
      <w:r>
        <w:rPr>
          <w:b/>
          <w:sz w:val="24"/>
        </w:rPr>
        <w:t>SPI Features &amp; Kelly Staking (Optional Enhancements)</w:t>
      </w:r>
    </w:p>
    <w:p>
      <w:pPr>
        <w:pStyle w:val="Normal"/>
        <w:rPr/>
      </w:pPr>
      <w:r>
        <w:rPr/>
        <w:t>If FiveThirtyEight SPI probabilities are available, blend or recalibrate market probabilities with SPI to minimize 3-way log-loss. Kelly staking with fractional λ_K and per-match caps evaluates bankroll growth; block-bootstrap over matchdays yields uncertainty bands.</w:t>
      </w:r>
    </w:p>
    <w:p>
      <w:pPr>
        <w:pStyle w:val="Normal"/>
        <w:rPr/>
      </w:pPr>
      <w:r>
        <w:rPr>
          <w:b/>
          <w:sz w:val="24"/>
        </w:rPr>
        <w:t>Comparative Season Analysis – 2023/24 vs 2024/25</w:t>
      </w:r>
    </w:p>
    <w:tbl>
      <w:tblPr>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1728" w:type="dxa"/>
            <w:tcBorders/>
          </w:tcPr>
          <w:p>
            <w:pPr>
              <w:pStyle w:val="Normal"/>
              <w:widowControl w:val="false"/>
              <w:spacing w:before="0" w:after="200"/>
              <w:rPr/>
            </w:pPr>
            <w:r>
              <w:rPr/>
              <w:t>Season</w:t>
            </w:r>
          </w:p>
        </w:tc>
        <w:tc>
          <w:tcPr>
            <w:tcW w:w="1728" w:type="dxa"/>
            <w:tcBorders/>
          </w:tcPr>
          <w:p>
            <w:pPr>
              <w:pStyle w:val="Normal"/>
              <w:widowControl w:val="false"/>
              <w:spacing w:before="0" w:after="200"/>
              <w:rPr/>
            </w:pPr>
            <w:r>
              <w:rPr/>
              <w:t>Matches</w:t>
            </w:r>
          </w:p>
        </w:tc>
        <w:tc>
          <w:tcPr>
            <w:tcW w:w="1728" w:type="dxa"/>
            <w:tcBorders/>
          </w:tcPr>
          <w:p>
            <w:pPr>
              <w:pStyle w:val="Normal"/>
              <w:widowControl w:val="false"/>
              <w:spacing w:before="0" w:after="200"/>
              <w:rPr/>
            </w:pPr>
            <w:r>
              <w:rPr/>
              <w:t>Brier (3-way)</w:t>
            </w:r>
          </w:p>
        </w:tc>
        <w:tc>
          <w:tcPr>
            <w:tcW w:w="1728" w:type="dxa"/>
            <w:tcBorders/>
          </w:tcPr>
          <w:p>
            <w:pPr>
              <w:pStyle w:val="Normal"/>
              <w:widowControl w:val="false"/>
              <w:spacing w:before="0" w:after="200"/>
              <w:rPr/>
            </w:pPr>
            <w:r>
              <w:rPr/>
              <w:t>Log-loss (3-way)</w:t>
            </w:r>
          </w:p>
        </w:tc>
        <w:tc>
          <w:tcPr>
            <w:tcW w:w="1728" w:type="dxa"/>
            <w:tcBorders/>
          </w:tcPr>
          <w:p>
            <w:pPr>
              <w:pStyle w:val="Normal"/>
              <w:widowControl w:val="false"/>
              <w:spacing w:before="0" w:after="200"/>
              <w:rPr/>
            </w:pPr>
            <w:r>
              <w:rPr/>
              <w:t>Mean unit utility</w:t>
            </w:r>
          </w:p>
        </w:tc>
      </w:tr>
      <w:tr>
        <w:trPr/>
        <w:tc>
          <w:tcPr>
            <w:tcW w:w="1728" w:type="dxa"/>
            <w:tcBorders/>
          </w:tcPr>
          <w:p>
            <w:pPr>
              <w:pStyle w:val="Normal"/>
              <w:widowControl w:val="false"/>
              <w:spacing w:before="0" w:after="200"/>
              <w:rPr/>
            </w:pPr>
            <w:r>
              <w:rPr/>
              <w:t>2023/24</w:t>
            </w:r>
          </w:p>
        </w:tc>
        <w:tc>
          <w:tcPr>
            <w:tcW w:w="1728" w:type="dxa"/>
            <w:tcBorders/>
          </w:tcPr>
          <w:p>
            <w:pPr>
              <w:pStyle w:val="Normal"/>
              <w:widowControl w:val="false"/>
              <w:spacing w:before="0" w:after="200"/>
              <w:rPr/>
            </w:pPr>
            <w:r>
              <w:rPr/>
              <w:t>240</w:t>
            </w:r>
          </w:p>
        </w:tc>
        <w:tc>
          <w:tcPr>
            <w:tcW w:w="1728" w:type="dxa"/>
            <w:tcBorders/>
          </w:tcPr>
          <w:p>
            <w:pPr>
              <w:pStyle w:val="Normal"/>
              <w:widowControl w:val="false"/>
              <w:spacing w:before="0" w:after="200"/>
              <w:rPr/>
            </w:pPr>
            <w:r>
              <w:rPr/>
              <w:t>0.5306</w:t>
            </w:r>
          </w:p>
        </w:tc>
        <w:tc>
          <w:tcPr>
            <w:tcW w:w="1728" w:type="dxa"/>
            <w:tcBorders/>
          </w:tcPr>
          <w:p>
            <w:pPr>
              <w:pStyle w:val="Normal"/>
              <w:widowControl w:val="false"/>
              <w:spacing w:before="0" w:after="200"/>
              <w:rPr/>
            </w:pPr>
            <w:r>
              <w:rPr/>
              <w:t>0.9004</w:t>
            </w:r>
          </w:p>
        </w:tc>
        <w:tc>
          <w:tcPr>
            <w:tcW w:w="1728" w:type="dxa"/>
            <w:tcBorders/>
          </w:tcPr>
          <w:p>
            <w:pPr>
              <w:pStyle w:val="Normal"/>
              <w:widowControl w:val="false"/>
              <w:spacing w:before="0" w:after="200"/>
              <w:rPr/>
            </w:pPr>
            <w:r>
              <w:rPr/>
              <w:t>-0.0640</w:t>
            </w:r>
          </w:p>
        </w:tc>
      </w:tr>
      <w:tr>
        <w:trPr/>
        <w:tc>
          <w:tcPr>
            <w:tcW w:w="1728" w:type="dxa"/>
            <w:tcBorders/>
          </w:tcPr>
          <w:p>
            <w:pPr>
              <w:pStyle w:val="Normal"/>
              <w:widowControl w:val="false"/>
              <w:spacing w:before="0" w:after="200"/>
              <w:rPr/>
            </w:pPr>
            <w:r>
              <w:rPr/>
              <w:t>2024/25</w:t>
            </w:r>
          </w:p>
        </w:tc>
        <w:tc>
          <w:tcPr>
            <w:tcW w:w="1728" w:type="dxa"/>
            <w:tcBorders/>
          </w:tcPr>
          <w:p>
            <w:pPr>
              <w:pStyle w:val="Normal"/>
              <w:widowControl w:val="false"/>
              <w:spacing w:before="0" w:after="200"/>
              <w:rPr/>
            </w:pPr>
            <w:r>
              <w:rPr/>
              <w:t>233</w:t>
            </w:r>
          </w:p>
        </w:tc>
        <w:tc>
          <w:tcPr>
            <w:tcW w:w="1728" w:type="dxa"/>
            <w:tcBorders/>
          </w:tcPr>
          <w:p>
            <w:pPr>
              <w:pStyle w:val="Normal"/>
              <w:widowControl w:val="false"/>
              <w:spacing w:before="0" w:after="200"/>
              <w:rPr/>
            </w:pPr>
            <w:r>
              <w:rPr/>
              <w:t>0.5812</w:t>
            </w:r>
          </w:p>
        </w:tc>
        <w:tc>
          <w:tcPr>
            <w:tcW w:w="1728" w:type="dxa"/>
            <w:tcBorders/>
          </w:tcPr>
          <w:p>
            <w:pPr>
              <w:pStyle w:val="Normal"/>
              <w:widowControl w:val="false"/>
              <w:spacing w:before="0" w:after="200"/>
              <w:rPr/>
            </w:pPr>
            <w:r>
              <w:rPr/>
              <w:t>0.9794</w:t>
            </w:r>
          </w:p>
        </w:tc>
        <w:tc>
          <w:tcPr>
            <w:tcW w:w="1728" w:type="dxa"/>
            <w:tcBorders/>
          </w:tcPr>
          <w:p>
            <w:pPr>
              <w:pStyle w:val="Normal"/>
              <w:widowControl w:val="false"/>
              <w:spacing w:before="0" w:after="200"/>
              <w:rPr/>
            </w:pPr>
            <w:r>
              <w:rPr/>
              <w:t>-0.1176</w:t>
            </w:r>
          </w:p>
        </w:tc>
      </w:tr>
    </w:tbl>
    <w:p>
      <w:pPr>
        <w:pStyle w:val="Normal"/>
        <w:rPr/>
      </w:pPr>
      <w:r>
        <w:rPr/>
      </w:r>
    </w:p>
    <w:p>
      <w:pPr>
        <w:pStyle w:val="Normal"/>
        <w:rPr/>
      </w:pPr>
      <w:r>
        <w:rPr/>
      </w:r>
    </w:p>
    <w:p>
      <w:pPr>
        <w:pStyle w:val="Normal"/>
        <w:rPr/>
      </w:pPr>
      <w:r>
        <w:rPr>
          <w:i/>
        </w:rPr>
        <w:t>Figure F.5 – Reliability comparison (2023/24 vs 2024/25).</w:t>
      </w:r>
    </w:p>
    <w:p>
      <w:pPr>
        <w:pStyle w:val="Normal"/>
        <w:rPr/>
      </w:pPr>
      <w:r>
        <w:rPr/>
      </w:r>
    </w:p>
    <w:p>
      <w:pPr>
        <w:pStyle w:val="Normal"/>
        <w:rPr/>
      </w:pPr>
      <w:r>
        <w:rPr/>
      </w:r>
    </w:p>
    <w:p>
      <w:pPr>
        <w:pStyle w:val="Normal"/>
        <w:rPr/>
      </w:pPr>
      <w:r>
        <w:rPr>
          <w:i/>
        </w:rPr>
        <w:t>Figure F.6 – Unit-stake cumulative profit comparison (2023/24 vs 2024/25).</w:t>
      </w:r>
    </w:p>
    <w:p>
      <w:pPr>
        <w:pStyle w:val="Normal"/>
        <w:rPr>
          <w:i/>
          <w:i/>
        </w:rPr>
      </w:pPr>
      <w:r>
        <w:rPr/>
      </w:r>
    </w:p>
    <w:p>
      <w:pPr>
        <w:pStyle w:val="Normal"/>
        <w:rPr/>
      </w:pPr>
      <w:r>
        <w:rPr>
          <w:i/>
        </w:rPr>
      </w:r>
    </w:p>
    <w:p>
      <w:pPr>
        <w:pStyle w:val="Normal"/>
        <w:rPr>
          <w:i/>
          <w:i/>
        </w:rPr>
      </w:pPr>
      <w:r>
        <w:rPr/>
      </w:r>
    </w:p>
    <w:p>
      <w:pPr>
        <w:pStyle w:val="Normal"/>
        <w:rPr>
          <w:b/>
          <w:b/>
          <w:sz w:val="28"/>
        </w:rPr>
      </w:pPr>
      <w:r>
        <w:rPr>
          <w:b/>
          <w:sz w:val="28"/>
        </w:rPr>
        <w:t xml:space="preserve">Appendix G — Equity Tail-Event Calibration: SPX (R&lt;−2%) &amp; AAPL (R&lt;−3%), Normal vs t vs EWMA </w:t>
      </w:r>
    </w:p>
    <w:p>
      <w:pPr>
        <w:pStyle w:val="Normal"/>
        <w:rPr/>
      </w:pPr>
      <w:r>
        <w:rPr>
          <w:b/>
          <w:sz w:val="28"/>
        </w:rPr>
        <w:t>Stocks Mini-Case – SPX (R&lt;-2%) vs AAPL (R&lt;-3%), Normal vs t(ν=6) vs EWMA</w:t>
      </w:r>
    </w:p>
    <w:p>
      <w:pPr>
        <w:pStyle w:val="Normal"/>
        <w:rPr/>
      </w:pPr>
      <w:r>
        <w:rPr/>
        <w:t>We add SPX heavy-tail and time-varying volatility estimators for symmetry. Models: 60-day Normal; 60-day Studentt (ν=6, variance-matched); EWMA Normal (λ=0.94, mean≈0). Thresholds: SPX R&lt;−2%, AAPL R&lt;−3%.</w:t>
      </w:r>
    </w:p>
    <w:tbl>
      <w:tblPr>
        <w:tblW w:w="863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34"/>
        <w:gridCol w:w="1233"/>
        <w:gridCol w:w="1235"/>
        <w:gridCol w:w="1233"/>
        <w:gridCol w:w="1235"/>
        <w:gridCol w:w="1233"/>
        <w:gridCol w:w="1234"/>
      </w:tblGrid>
      <w:tr>
        <w:trPr/>
        <w:tc>
          <w:tcPr>
            <w:tcW w:w="1234" w:type="dxa"/>
            <w:tcBorders/>
          </w:tcPr>
          <w:p>
            <w:pPr>
              <w:pStyle w:val="Normal"/>
              <w:widowControl w:val="false"/>
              <w:spacing w:before="0" w:after="200"/>
              <w:rPr/>
            </w:pPr>
            <w:r>
              <w:rPr/>
              <w:t>Ticker</w:t>
            </w:r>
          </w:p>
        </w:tc>
        <w:tc>
          <w:tcPr>
            <w:tcW w:w="1233" w:type="dxa"/>
            <w:tcBorders/>
          </w:tcPr>
          <w:p>
            <w:pPr>
              <w:pStyle w:val="Normal"/>
              <w:widowControl w:val="false"/>
              <w:spacing w:before="0" w:after="200"/>
              <w:rPr/>
            </w:pPr>
            <w:r>
              <w:rPr/>
              <w:t>Threshold</w:t>
            </w:r>
          </w:p>
        </w:tc>
        <w:tc>
          <w:tcPr>
            <w:tcW w:w="1235" w:type="dxa"/>
            <w:tcBorders/>
          </w:tcPr>
          <w:p>
            <w:pPr>
              <w:pStyle w:val="Normal"/>
              <w:widowControl w:val="false"/>
              <w:spacing w:before="0" w:after="200"/>
              <w:rPr/>
            </w:pPr>
            <w:r>
              <w:rPr/>
              <w:t>Model</w:t>
            </w:r>
          </w:p>
        </w:tc>
        <w:tc>
          <w:tcPr>
            <w:tcW w:w="1233" w:type="dxa"/>
            <w:tcBorders/>
          </w:tcPr>
          <w:p>
            <w:pPr>
              <w:pStyle w:val="Normal"/>
              <w:widowControl w:val="false"/>
              <w:spacing w:before="0" w:after="200"/>
              <w:rPr/>
            </w:pPr>
            <w:r>
              <w:rPr/>
              <w:t>Obs</w:t>
            </w:r>
          </w:p>
        </w:tc>
        <w:tc>
          <w:tcPr>
            <w:tcW w:w="1235" w:type="dxa"/>
            <w:tcBorders/>
          </w:tcPr>
          <w:p>
            <w:pPr>
              <w:pStyle w:val="Normal"/>
              <w:widowControl w:val="false"/>
              <w:spacing w:before="0" w:after="200"/>
              <w:rPr/>
            </w:pPr>
            <w:r>
              <w:rPr/>
              <w:t>Event rate</w:t>
            </w:r>
          </w:p>
        </w:tc>
        <w:tc>
          <w:tcPr>
            <w:tcW w:w="1233" w:type="dxa"/>
            <w:tcBorders/>
          </w:tcPr>
          <w:p>
            <w:pPr>
              <w:pStyle w:val="Normal"/>
              <w:widowControl w:val="false"/>
              <w:spacing w:before="0" w:after="200"/>
              <w:rPr/>
            </w:pPr>
            <w:r>
              <w:rPr/>
              <w:t>Brier</w:t>
            </w:r>
          </w:p>
        </w:tc>
        <w:tc>
          <w:tcPr>
            <w:tcW w:w="1234" w:type="dxa"/>
            <w:tcBorders/>
          </w:tcPr>
          <w:p>
            <w:pPr>
              <w:pStyle w:val="Normal"/>
              <w:widowControl w:val="false"/>
              <w:spacing w:before="0" w:after="200"/>
              <w:rPr/>
            </w:pPr>
            <w:r>
              <w:rPr/>
              <w:t>Log-loss</w:t>
            </w:r>
          </w:p>
        </w:tc>
      </w:tr>
      <w:tr>
        <w:trPr/>
        <w:tc>
          <w:tcPr>
            <w:tcW w:w="1234" w:type="dxa"/>
            <w:tcBorders/>
          </w:tcPr>
          <w:p>
            <w:pPr>
              <w:pStyle w:val="Normal"/>
              <w:widowControl w:val="false"/>
              <w:spacing w:before="0" w:after="200"/>
              <w:rPr/>
            </w:pPr>
            <w:r>
              <w:rPr/>
              <w:t>SPX</w:t>
            </w:r>
          </w:p>
        </w:tc>
        <w:tc>
          <w:tcPr>
            <w:tcW w:w="1233" w:type="dxa"/>
            <w:tcBorders/>
          </w:tcPr>
          <w:p>
            <w:pPr>
              <w:pStyle w:val="Normal"/>
              <w:widowControl w:val="false"/>
              <w:spacing w:before="0" w:after="200"/>
              <w:rPr/>
            </w:pPr>
            <w:r>
              <w:rPr/>
              <w:t>-2%</w:t>
            </w:r>
          </w:p>
        </w:tc>
        <w:tc>
          <w:tcPr>
            <w:tcW w:w="1235" w:type="dxa"/>
            <w:tcBorders/>
          </w:tcPr>
          <w:p>
            <w:pPr>
              <w:pStyle w:val="Normal"/>
              <w:widowControl w:val="false"/>
              <w:spacing w:before="0" w:after="200"/>
              <w:rPr/>
            </w:pPr>
            <w:r>
              <w:rPr/>
              <w:t>Normal(60d)</w:t>
            </w:r>
          </w:p>
        </w:tc>
        <w:tc>
          <w:tcPr>
            <w:tcW w:w="1233" w:type="dxa"/>
            <w:tcBorders/>
          </w:tcPr>
          <w:p>
            <w:pPr>
              <w:pStyle w:val="Normal"/>
              <w:widowControl w:val="false"/>
              <w:spacing w:before="0" w:after="200"/>
              <w:rPr/>
            </w:pPr>
            <w:r>
              <w:rPr/>
              <w:t>39,451</w:t>
            </w:r>
          </w:p>
        </w:tc>
        <w:tc>
          <w:tcPr>
            <w:tcW w:w="1235" w:type="dxa"/>
            <w:tcBorders/>
          </w:tcPr>
          <w:p>
            <w:pPr>
              <w:pStyle w:val="Normal"/>
              <w:widowControl w:val="false"/>
              <w:spacing w:before="0" w:after="200"/>
              <w:rPr/>
            </w:pPr>
            <w:r>
              <w:rPr/>
              <w:t>0.0311</w:t>
            </w:r>
          </w:p>
        </w:tc>
        <w:tc>
          <w:tcPr>
            <w:tcW w:w="1233" w:type="dxa"/>
            <w:tcBorders/>
          </w:tcPr>
          <w:p>
            <w:pPr>
              <w:pStyle w:val="Normal"/>
              <w:widowControl w:val="false"/>
              <w:spacing w:before="0" w:after="200"/>
              <w:rPr/>
            </w:pPr>
            <w:r>
              <w:rPr/>
              <w:t>0.02815</w:t>
            </w:r>
          </w:p>
        </w:tc>
        <w:tc>
          <w:tcPr>
            <w:tcW w:w="1234" w:type="dxa"/>
            <w:tcBorders/>
          </w:tcPr>
          <w:p>
            <w:pPr>
              <w:pStyle w:val="Normal"/>
              <w:widowControl w:val="false"/>
              <w:spacing w:before="0" w:after="200"/>
              <w:rPr/>
            </w:pPr>
            <w:r>
              <w:rPr/>
              <w:t>0.11617</w:t>
            </w:r>
          </w:p>
        </w:tc>
      </w:tr>
      <w:tr>
        <w:trPr/>
        <w:tc>
          <w:tcPr>
            <w:tcW w:w="1234" w:type="dxa"/>
            <w:tcBorders/>
          </w:tcPr>
          <w:p>
            <w:pPr>
              <w:pStyle w:val="Normal"/>
              <w:widowControl w:val="false"/>
              <w:spacing w:before="0" w:after="200"/>
              <w:rPr/>
            </w:pPr>
            <w:r>
              <w:rPr/>
              <w:t>SPX</w:t>
            </w:r>
          </w:p>
        </w:tc>
        <w:tc>
          <w:tcPr>
            <w:tcW w:w="1233" w:type="dxa"/>
            <w:tcBorders/>
          </w:tcPr>
          <w:p>
            <w:pPr>
              <w:pStyle w:val="Normal"/>
              <w:widowControl w:val="false"/>
              <w:spacing w:before="0" w:after="200"/>
              <w:rPr/>
            </w:pPr>
            <w:r>
              <w:rPr/>
              <w:t>-2%</w:t>
            </w:r>
          </w:p>
        </w:tc>
        <w:tc>
          <w:tcPr>
            <w:tcW w:w="1235" w:type="dxa"/>
            <w:tcBorders/>
          </w:tcPr>
          <w:p>
            <w:pPr>
              <w:pStyle w:val="Normal"/>
              <w:widowControl w:val="false"/>
              <w:spacing w:before="0" w:after="200"/>
              <w:rPr/>
            </w:pPr>
            <w:r>
              <w:rPr/>
              <w:t>t(ν=6, 60d)</w:t>
            </w:r>
          </w:p>
        </w:tc>
        <w:tc>
          <w:tcPr>
            <w:tcW w:w="1233" w:type="dxa"/>
            <w:tcBorders/>
          </w:tcPr>
          <w:p>
            <w:pPr>
              <w:pStyle w:val="Normal"/>
              <w:widowControl w:val="false"/>
              <w:spacing w:before="0" w:after="200"/>
              <w:rPr/>
            </w:pPr>
            <w:r>
              <w:rPr/>
              <w:t>39,451</w:t>
            </w:r>
          </w:p>
        </w:tc>
        <w:tc>
          <w:tcPr>
            <w:tcW w:w="1235" w:type="dxa"/>
            <w:tcBorders/>
          </w:tcPr>
          <w:p>
            <w:pPr>
              <w:pStyle w:val="Normal"/>
              <w:widowControl w:val="false"/>
              <w:spacing w:before="0" w:after="200"/>
              <w:rPr/>
            </w:pPr>
            <w:r>
              <w:rPr/>
              <w:t>0.0311</w:t>
            </w:r>
          </w:p>
        </w:tc>
        <w:tc>
          <w:tcPr>
            <w:tcW w:w="1233" w:type="dxa"/>
            <w:tcBorders/>
          </w:tcPr>
          <w:p>
            <w:pPr>
              <w:pStyle w:val="Normal"/>
              <w:widowControl w:val="false"/>
              <w:spacing w:before="0" w:after="200"/>
              <w:rPr/>
            </w:pPr>
            <w:r>
              <w:rPr/>
              <w:t>0.02796</w:t>
            </w:r>
          </w:p>
        </w:tc>
        <w:tc>
          <w:tcPr>
            <w:tcW w:w="1234" w:type="dxa"/>
            <w:tcBorders/>
          </w:tcPr>
          <w:p>
            <w:pPr>
              <w:pStyle w:val="Normal"/>
              <w:widowControl w:val="false"/>
              <w:spacing w:before="0" w:after="200"/>
              <w:rPr/>
            </w:pPr>
            <w:r>
              <w:rPr/>
              <w:t>0.11298</w:t>
            </w:r>
          </w:p>
        </w:tc>
      </w:tr>
      <w:tr>
        <w:trPr/>
        <w:tc>
          <w:tcPr>
            <w:tcW w:w="1234" w:type="dxa"/>
            <w:tcBorders/>
          </w:tcPr>
          <w:p>
            <w:pPr>
              <w:pStyle w:val="Normal"/>
              <w:widowControl w:val="false"/>
              <w:spacing w:before="0" w:after="200"/>
              <w:rPr/>
            </w:pPr>
            <w:r>
              <w:rPr/>
              <w:t>SPX</w:t>
            </w:r>
          </w:p>
        </w:tc>
        <w:tc>
          <w:tcPr>
            <w:tcW w:w="1233" w:type="dxa"/>
            <w:tcBorders/>
          </w:tcPr>
          <w:p>
            <w:pPr>
              <w:pStyle w:val="Normal"/>
              <w:widowControl w:val="false"/>
              <w:spacing w:before="0" w:after="200"/>
              <w:rPr/>
            </w:pPr>
            <w:r>
              <w:rPr/>
              <w:t>-2%</w:t>
            </w:r>
          </w:p>
        </w:tc>
        <w:tc>
          <w:tcPr>
            <w:tcW w:w="1235" w:type="dxa"/>
            <w:tcBorders/>
          </w:tcPr>
          <w:p>
            <w:pPr>
              <w:pStyle w:val="Normal"/>
              <w:widowControl w:val="false"/>
              <w:spacing w:before="0" w:after="200"/>
              <w:rPr/>
            </w:pPr>
            <w:r>
              <w:rPr/>
              <w:t>EWMA(λ=0.94)</w:t>
            </w:r>
          </w:p>
        </w:tc>
        <w:tc>
          <w:tcPr>
            <w:tcW w:w="1233" w:type="dxa"/>
            <w:tcBorders/>
          </w:tcPr>
          <w:p>
            <w:pPr>
              <w:pStyle w:val="Normal"/>
              <w:widowControl w:val="false"/>
              <w:spacing w:before="0" w:after="200"/>
              <w:rPr/>
            </w:pPr>
            <w:r>
              <w:rPr/>
              <w:t>39,260</w:t>
            </w:r>
          </w:p>
        </w:tc>
        <w:tc>
          <w:tcPr>
            <w:tcW w:w="1235" w:type="dxa"/>
            <w:tcBorders/>
          </w:tcPr>
          <w:p>
            <w:pPr>
              <w:pStyle w:val="Normal"/>
              <w:widowControl w:val="false"/>
              <w:spacing w:before="0" w:after="200"/>
              <w:rPr/>
            </w:pPr>
            <w:r>
              <w:rPr/>
              <w:t>0.0305</w:t>
            </w:r>
          </w:p>
        </w:tc>
        <w:tc>
          <w:tcPr>
            <w:tcW w:w="1233" w:type="dxa"/>
            <w:tcBorders/>
          </w:tcPr>
          <w:p>
            <w:pPr>
              <w:pStyle w:val="Normal"/>
              <w:widowControl w:val="false"/>
              <w:spacing w:before="0" w:after="200"/>
              <w:rPr/>
            </w:pPr>
            <w:r>
              <w:rPr/>
              <w:t>0.02785</w:t>
            </w:r>
          </w:p>
        </w:tc>
        <w:tc>
          <w:tcPr>
            <w:tcW w:w="1234" w:type="dxa"/>
            <w:tcBorders/>
          </w:tcPr>
          <w:p>
            <w:pPr>
              <w:pStyle w:val="Normal"/>
              <w:widowControl w:val="false"/>
              <w:spacing w:before="0" w:after="200"/>
              <w:rPr/>
            </w:pPr>
            <w:r>
              <w:rPr/>
              <w:t>0.12115</w:t>
            </w:r>
          </w:p>
        </w:tc>
      </w:tr>
      <w:tr>
        <w:trPr/>
        <w:tc>
          <w:tcPr>
            <w:tcW w:w="1234" w:type="dxa"/>
            <w:tcBorders/>
          </w:tcPr>
          <w:p>
            <w:pPr>
              <w:pStyle w:val="Normal"/>
              <w:widowControl w:val="false"/>
              <w:spacing w:before="0" w:after="200"/>
              <w:rPr/>
            </w:pPr>
            <w:r>
              <w:rPr/>
              <w:t>AAPL</w:t>
            </w:r>
          </w:p>
        </w:tc>
        <w:tc>
          <w:tcPr>
            <w:tcW w:w="1233" w:type="dxa"/>
            <w:tcBorders/>
          </w:tcPr>
          <w:p>
            <w:pPr>
              <w:pStyle w:val="Normal"/>
              <w:widowControl w:val="false"/>
              <w:spacing w:before="0" w:after="200"/>
              <w:rPr/>
            </w:pPr>
            <w:r>
              <w:rPr/>
              <w:t>-3%</w:t>
            </w:r>
          </w:p>
        </w:tc>
        <w:tc>
          <w:tcPr>
            <w:tcW w:w="1235" w:type="dxa"/>
            <w:tcBorders/>
          </w:tcPr>
          <w:p>
            <w:pPr>
              <w:pStyle w:val="Normal"/>
              <w:widowControl w:val="false"/>
              <w:spacing w:before="0" w:after="200"/>
              <w:rPr/>
            </w:pPr>
            <w:r>
              <w:rPr/>
              <w:t>Normal(60d)</w:t>
            </w:r>
          </w:p>
        </w:tc>
        <w:tc>
          <w:tcPr>
            <w:tcW w:w="1233" w:type="dxa"/>
            <w:tcBorders/>
          </w:tcPr>
          <w:p>
            <w:pPr>
              <w:pStyle w:val="Normal"/>
              <w:widowControl w:val="false"/>
              <w:spacing w:before="0" w:after="200"/>
              <w:rPr/>
            </w:pPr>
            <w:r>
              <w:rPr/>
              <w:t>10,256</w:t>
            </w:r>
          </w:p>
        </w:tc>
        <w:tc>
          <w:tcPr>
            <w:tcW w:w="1235" w:type="dxa"/>
            <w:tcBorders/>
          </w:tcPr>
          <w:p>
            <w:pPr>
              <w:pStyle w:val="Normal"/>
              <w:widowControl w:val="false"/>
              <w:spacing w:before="0" w:after="200"/>
              <w:rPr/>
            </w:pPr>
            <w:r>
              <w:rPr/>
              <w:t>0.0824</w:t>
            </w:r>
          </w:p>
        </w:tc>
        <w:tc>
          <w:tcPr>
            <w:tcW w:w="1233" w:type="dxa"/>
            <w:tcBorders/>
          </w:tcPr>
          <w:p>
            <w:pPr>
              <w:pStyle w:val="Normal"/>
              <w:widowControl w:val="false"/>
              <w:spacing w:before="0" w:after="200"/>
              <w:rPr/>
            </w:pPr>
            <w:r>
              <w:rPr/>
              <w:t>0.07286</w:t>
            </w:r>
          </w:p>
        </w:tc>
        <w:tc>
          <w:tcPr>
            <w:tcW w:w="1234" w:type="dxa"/>
            <w:tcBorders/>
          </w:tcPr>
          <w:p>
            <w:pPr>
              <w:pStyle w:val="Normal"/>
              <w:widowControl w:val="false"/>
              <w:spacing w:before="0" w:after="200"/>
              <w:rPr/>
            </w:pPr>
            <w:r>
              <w:rPr/>
              <w:t>0.26441</w:t>
            </w:r>
          </w:p>
        </w:tc>
      </w:tr>
      <w:tr>
        <w:trPr/>
        <w:tc>
          <w:tcPr>
            <w:tcW w:w="1234" w:type="dxa"/>
            <w:tcBorders/>
          </w:tcPr>
          <w:p>
            <w:pPr>
              <w:pStyle w:val="Normal"/>
              <w:widowControl w:val="false"/>
              <w:spacing w:before="0" w:after="200"/>
              <w:rPr/>
            </w:pPr>
            <w:r>
              <w:rPr/>
              <w:t>AAPL</w:t>
            </w:r>
          </w:p>
        </w:tc>
        <w:tc>
          <w:tcPr>
            <w:tcW w:w="1233" w:type="dxa"/>
            <w:tcBorders/>
          </w:tcPr>
          <w:p>
            <w:pPr>
              <w:pStyle w:val="Normal"/>
              <w:widowControl w:val="false"/>
              <w:spacing w:before="0" w:after="200"/>
              <w:rPr/>
            </w:pPr>
            <w:r>
              <w:rPr/>
              <w:t>-3%</w:t>
            </w:r>
          </w:p>
        </w:tc>
        <w:tc>
          <w:tcPr>
            <w:tcW w:w="1235" w:type="dxa"/>
            <w:tcBorders/>
          </w:tcPr>
          <w:p>
            <w:pPr>
              <w:pStyle w:val="Normal"/>
              <w:widowControl w:val="false"/>
              <w:spacing w:before="0" w:after="200"/>
              <w:rPr/>
            </w:pPr>
            <w:r>
              <w:rPr/>
              <w:t>t(ν=6, 60d)</w:t>
            </w:r>
          </w:p>
        </w:tc>
        <w:tc>
          <w:tcPr>
            <w:tcW w:w="1233" w:type="dxa"/>
            <w:tcBorders/>
          </w:tcPr>
          <w:p>
            <w:pPr>
              <w:pStyle w:val="Normal"/>
              <w:widowControl w:val="false"/>
              <w:spacing w:before="0" w:after="200"/>
              <w:rPr/>
            </w:pPr>
            <w:r>
              <w:rPr/>
              <w:t>10,256</w:t>
            </w:r>
          </w:p>
        </w:tc>
        <w:tc>
          <w:tcPr>
            <w:tcW w:w="1235" w:type="dxa"/>
            <w:tcBorders/>
          </w:tcPr>
          <w:p>
            <w:pPr>
              <w:pStyle w:val="Normal"/>
              <w:widowControl w:val="false"/>
              <w:spacing w:before="0" w:after="200"/>
              <w:rPr/>
            </w:pPr>
            <w:r>
              <w:rPr/>
              <w:t>0.0824</w:t>
            </w:r>
          </w:p>
        </w:tc>
        <w:tc>
          <w:tcPr>
            <w:tcW w:w="1233" w:type="dxa"/>
            <w:tcBorders/>
          </w:tcPr>
          <w:p>
            <w:pPr>
              <w:pStyle w:val="Normal"/>
              <w:widowControl w:val="false"/>
              <w:spacing w:before="0" w:after="200"/>
              <w:rPr/>
            </w:pPr>
            <w:r>
              <w:rPr/>
              <w:t>0.07223</w:t>
            </w:r>
          </w:p>
        </w:tc>
        <w:tc>
          <w:tcPr>
            <w:tcW w:w="1234" w:type="dxa"/>
            <w:tcBorders/>
          </w:tcPr>
          <w:p>
            <w:pPr>
              <w:pStyle w:val="Normal"/>
              <w:widowControl w:val="false"/>
              <w:spacing w:before="0" w:after="200"/>
              <w:rPr/>
            </w:pPr>
            <w:r>
              <w:rPr/>
              <w:t>0.26153</w:t>
            </w:r>
          </w:p>
        </w:tc>
      </w:tr>
      <w:tr>
        <w:trPr/>
        <w:tc>
          <w:tcPr>
            <w:tcW w:w="1234" w:type="dxa"/>
            <w:tcBorders/>
          </w:tcPr>
          <w:p>
            <w:pPr>
              <w:pStyle w:val="Normal"/>
              <w:widowControl w:val="false"/>
              <w:spacing w:before="0" w:after="200"/>
              <w:rPr/>
            </w:pPr>
            <w:r>
              <w:rPr/>
              <w:t>AAPL</w:t>
            </w:r>
          </w:p>
        </w:tc>
        <w:tc>
          <w:tcPr>
            <w:tcW w:w="1233" w:type="dxa"/>
            <w:tcBorders/>
          </w:tcPr>
          <w:p>
            <w:pPr>
              <w:pStyle w:val="Normal"/>
              <w:widowControl w:val="false"/>
              <w:spacing w:before="0" w:after="200"/>
              <w:rPr/>
            </w:pPr>
            <w:r>
              <w:rPr/>
              <w:t>-3%</w:t>
            </w:r>
          </w:p>
        </w:tc>
        <w:tc>
          <w:tcPr>
            <w:tcW w:w="1235" w:type="dxa"/>
            <w:tcBorders/>
          </w:tcPr>
          <w:p>
            <w:pPr>
              <w:pStyle w:val="Normal"/>
              <w:widowControl w:val="false"/>
              <w:spacing w:before="0" w:after="200"/>
              <w:rPr/>
            </w:pPr>
            <w:r>
              <w:rPr/>
              <w:t>EWMA(λ=0.94)</w:t>
            </w:r>
          </w:p>
        </w:tc>
        <w:tc>
          <w:tcPr>
            <w:tcW w:w="1233" w:type="dxa"/>
            <w:tcBorders/>
          </w:tcPr>
          <w:p>
            <w:pPr>
              <w:pStyle w:val="Normal"/>
              <w:widowControl w:val="false"/>
              <w:spacing w:before="0" w:after="200"/>
              <w:rPr/>
            </w:pPr>
            <w:r>
              <w:rPr/>
              <w:t>10,065</w:t>
            </w:r>
          </w:p>
        </w:tc>
        <w:tc>
          <w:tcPr>
            <w:tcW w:w="1235" w:type="dxa"/>
            <w:tcBorders/>
          </w:tcPr>
          <w:p>
            <w:pPr>
              <w:pStyle w:val="Normal"/>
              <w:widowControl w:val="false"/>
              <w:spacing w:before="0" w:after="200"/>
              <w:rPr/>
            </w:pPr>
            <w:r>
              <w:rPr/>
              <w:t>0.0814</w:t>
            </w:r>
          </w:p>
        </w:tc>
        <w:tc>
          <w:tcPr>
            <w:tcW w:w="1233" w:type="dxa"/>
            <w:tcBorders/>
          </w:tcPr>
          <w:p>
            <w:pPr>
              <w:pStyle w:val="Normal"/>
              <w:widowControl w:val="false"/>
              <w:spacing w:before="0" w:after="200"/>
              <w:rPr/>
            </w:pPr>
            <w:r>
              <w:rPr/>
              <w:t>0.07264</w:t>
            </w:r>
          </w:p>
        </w:tc>
        <w:tc>
          <w:tcPr>
            <w:tcW w:w="1234" w:type="dxa"/>
            <w:tcBorders/>
          </w:tcPr>
          <w:p>
            <w:pPr>
              <w:pStyle w:val="Normal"/>
              <w:widowControl w:val="false"/>
              <w:spacing w:before="0" w:after="200"/>
              <w:rPr/>
            </w:pPr>
            <w:r>
              <w:rPr/>
              <w:t>0.26669</w:t>
            </w:r>
          </w:p>
        </w:tc>
      </w:tr>
    </w:tbl>
    <w:p>
      <w:pPr>
        <w:pStyle w:val="Normal"/>
        <w:rPr/>
      </w:pPr>
      <w:r>
        <w:rPr/>
      </w:r>
    </w:p>
    <w:p>
      <w:pPr>
        <w:pStyle w:val="Normal"/>
        <w:rPr/>
      </w:pPr>
      <w:r>
        <w:rPr/>
      </w:r>
    </w:p>
    <w:p>
      <w:pPr>
        <w:pStyle w:val="Normal"/>
        <w:rPr/>
      </w:pPr>
      <w:r>
        <w:rPr>
          <w:i/>
        </w:rPr>
        <w:t>Figure G.1 – AAPL (R&lt;−3%): reliability across Normal, t(ν=6), and EWMA.</w:t>
      </w:r>
    </w:p>
    <w:p>
      <w:pPr>
        <w:pStyle w:val="Normal"/>
        <w:rPr/>
      </w:pPr>
      <w:r>
        <w:rPr/>
      </w:r>
    </w:p>
    <w:p>
      <w:pPr>
        <w:pStyle w:val="Normal"/>
        <w:rPr/>
      </w:pPr>
      <w:r>
        <w:rPr>
          <w:i/>
        </w:rPr>
        <w:t>Figure G.2 – SPX (R&lt;−2%): reliability across Normal, t(ν=6), and EWMA.</w:t>
      </w:r>
    </w:p>
    <w:p>
      <w:pPr>
        <w:pStyle w:val="Normal"/>
        <w:rPr/>
      </w:pPr>
      <w:r>
        <w:rPr/>
      </w:r>
    </w:p>
    <w:p>
      <w:pPr>
        <w:pStyle w:val="Normal"/>
        <w:rPr/>
      </w:pPr>
      <w:r>
        <w:rPr>
          <w:i/>
        </w:rPr>
        <w:t>Figure G.3 – AAPL (R&lt;−3%): 20-day tail-event incidence over time.</w:t>
      </w:r>
    </w:p>
    <w:p>
      <w:pPr>
        <w:pStyle w:val="3"/>
        <w:rPr/>
      </w:pPr>
      <w:r>
        <w:rPr>
          <w:i/>
        </w:rPr>
        <w:t>Conclusions</w:t>
      </w:r>
    </w:p>
    <w:p>
      <w:pPr>
        <w:pStyle w:val="Style11"/>
        <w:rPr/>
      </w:pPr>
      <w:r>
        <w:rPr/>
        <w:t>We introduced a unified “Luck” functional that fuses probability, utility, surprisal, and information collapse, and proved normalization and convergence properties (GC/ULLN) enabling consistent ERM. Applications across lotteries, football markets, roulette, and slots demonstrate that the framework is domain-agnostic yet empirically testable: calibration curves align with theory, and variance-driven phenomena (e.g., table limits or high-volatility slots) appear exactly where the axioms predict.</w:t>
      </w:r>
    </w:p>
    <w:p>
      <w:pPr>
        <w:pStyle w:val="3"/>
        <w:spacing w:before="200" w:after="283"/>
        <w:rPr/>
      </w:pPr>
      <w:r>
        <w:rPr/>
        <w:t>Practical Implications</w:t>
      </w:r>
    </w:p>
    <w:p>
      <w:pPr>
        <w:pStyle w:val="Style11"/>
        <w:rPr/>
      </w:pPr>
      <w:r>
        <w:rPr/>
        <w:t>For applied modelers, the framework yields: (i) transparent calibration targets, (ii) robustness via Lipschitz constraints, and (iii) decision metrics that remain comparable across domains with different base rates and paytables.</w:t>
      </w:r>
    </w:p>
    <w:p>
      <w:pPr>
        <w:pStyle w:val="3"/>
        <w:spacing w:before="200" w:after="283"/>
        <w:rPr/>
      </w:pPr>
      <w:r>
        <w:rPr/>
        <w:t>Limitations &amp; Future Work</w:t>
      </w:r>
    </w:p>
    <w:p>
      <w:pPr>
        <w:pStyle w:val="Style11"/>
        <w:rPr/>
      </w:pPr>
      <w:r>
        <w:rPr/>
        <w:t>Our results depend on sales reporting quality (lotteries), seasonal demand (sports), operator RTP settings (slots), and simple return dynamics (equities). Future work: richer utility U (risk-averse/CRRA, prospect-theory), heavy-tail &amp; regime-switching for returns, multi-market information flows (cross-entropy regularizers), and non-parametric calibration under partial observability.</w:t>
      </w:r>
    </w:p>
    <w:p>
      <w:pPr>
        <w:pStyle w:val="3"/>
        <w:spacing w:before="200" w:after="283"/>
        <w:rPr/>
      </w:pPr>
      <w:r>
        <w:rPr/>
        <w:t>Data &amp; Code Availability</w:t>
      </w:r>
    </w:p>
    <w:p>
      <w:pPr>
        <w:pStyle w:val="Style11"/>
        <w:rPr/>
      </w:pPr>
      <w:r>
        <w:rPr/>
        <w:t xml:space="preserve">All code and data to reproduce figures and tables (lottery tiers, football odds, roulette/slots simulations, SPX/AAPL analyses) will be released at </w:t>
      </w:r>
      <w:r>
        <w:rPr>
          <w:rStyle w:val="Style7"/>
        </w:rPr>
        <w:t>[repository/DOI placeholder]</w:t>
      </w:r>
      <w:r>
        <w:rPr/>
        <w:t>. A reproducibility README includes versions, seeds, and run scripts.</w:t>
      </w:r>
    </w:p>
    <w:p>
      <w:pPr>
        <w:pStyle w:val="3"/>
        <w:spacing w:before="200" w:after="283"/>
        <w:rPr/>
      </w:pPr>
      <w:r>
        <w:rPr/>
        <w:t>CRediT Author Statement</w:t>
      </w:r>
    </w:p>
    <w:p>
      <w:pPr>
        <w:pStyle w:val="Style11"/>
        <w:numPr>
          <w:ilvl w:val="0"/>
          <w:numId w:val="2"/>
        </w:numPr>
        <w:tabs>
          <w:tab w:val="clear" w:pos="720"/>
          <w:tab w:val="left" w:pos="0" w:leader="none"/>
        </w:tabs>
        <w:ind w:left="707" w:hanging="283"/>
        <w:rPr/>
      </w:pPr>
      <w:r>
        <w:rPr>
          <w:rStyle w:val="Style7"/>
        </w:rPr>
      </w:r>
      <w:r>
        <w:rPr/>
      </w:r>
      <w:r>
        <w:rPr>
          <w:sz w:val="22"/>
        </w:rPr>
      </w:r>
      <w:r>
        <w:rPr>
          <w:sz w:val="22"/>
        </w:rPr>
        <w:t>Spiros Tsoumpis (Department of Marine Engineering, Keratsini, Greece): Conceptualization; Methodology; Formal analysis; Investigation; Data curation; Software; Visualization; Writing—original draft; Writing—review &amp; editing; Resources; Project administration.</w:t>
      </w:r>
    </w:p>
    <w:p>
      <w:pPr>
        <w:pStyle w:val="Style11"/>
        <w:numPr>
          <w:ilvl w:val="0"/>
          <w:numId w:val="2"/>
        </w:numPr>
        <w:tabs>
          <w:tab w:val="clear" w:pos="720"/>
          <w:tab w:val="left" w:pos="0" w:leader="none"/>
        </w:tabs>
        <w:ind w:left="707" w:hanging="283"/>
        <w:rPr/>
      </w:pPr>
      <w:r>
        <w:rPr>
          <w:rStyle w:val="Style7"/>
        </w:rPr>
        <w:t>Methodology:</w:t>
      </w:r>
      <w:r>
        <w:rPr/>
        <w:t xml:space="preserve"> [Name]</w:t>
      </w:r>
    </w:p>
    <w:p>
      <w:pPr>
        <w:pStyle w:val="Style11"/>
        <w:numPr>
          <w:ilvl w:val="0"/>
          <w:numId w:val="2"/>
        </w:numPr>
        <w:tabs>
          <w:tab w:val="clear" w:pos="720"/>
          <w:tab w:val="left" w:pos="0" w:leader="none"/>
        </w:tabs>
        <w:ind w:left="707" w:hanging="283"/>
        <w:rPr/>
      </w:pPr>
      <w:r>
        <w:rPr>
          <w:rStyle w:val="Style7"/>
        </w:rPr>
        <w:t>Software:</w:t>
      </w:r>
      <w:r>
        <w:rPr/>
        <w:t xml:space="preserve"> [Name]</w:t>
      </w:r>
    </w:p>
    <w:p>
      <w:pPr>
        <w:pStyle w:val="Style11"/>
        <w:numPr>
          <w:ilvl w:val="0"/>
          <w:numId w:val="2"/>
        </w:numPr>
        <w:tabs>
          <w:tab w:val="clear" w:pos="720"/>
          <w:tab w:val="left" w:pos="0" w:leader="none"/>
        </w:tabs>
        <w:ind w:left="707" w:hanging="283"/>
        <w:rPr/>
      </w:pPr>
      <w:r>
        <w:rPr>
          <w:rStyle w:val="Style7"/>
        </w:rPr>
        <w:t>Validation:</w:t>
      </w:r>
      <w:r>
        <w:rPr/>
        <w:t xml:space="preserve"> [Name]</w:t>
      </w:r>
    </w:p>
    <w:p>
      <w:pPr>
        <w:pStyle w:val="Style11"/>
        <w:numPr>
          <w:ilvl w:val="0"/>
          <w:numId w:val="2"/>
        </w:numPr>
        <w:tabs>
          <w:tab w:val="clear" w:pos="720"/>
          <w:tab w:val="left" w:pos="0" w:leader="none"/>
        </w:tabs>
        <w:ind w:left="707" w:hanging="283"/>
        <w:rPr/>
      </w:pPr>
      <w:r>
        <w:rPr>
          <w:rStyle w:val="Style7"/>
        </w:rPr>
        <w:t>Formal Analysis:</w:t>
      </w:r>
      <w:r>
        <w:rPr/>
        <w:t xml:space="preserve"> [Name]</w:t>
      </w:r>
    </w:p>
    <w:p>
      <w:pPr>
        <w:pStyle w:val="Style11"/>
        <w:numPr>
          <w:ilvl w:val="0"/>
          <w:numId w:val="2"/>
        </w:numPr>
        <w:tabs>
          <w:tab w:val="clear" w:pos="720"/>
          <w:tab w:val="left" w:pos="0" w:leader="none"/>
        </w:tabs>
        <w:ind w:left="707" w:hanging="283"/>
        <w:rPr/>
      </w:pPr>
      <w:r>
        <w:rPr>
          <w:rStyle w:val="Style7"/>
        </w:rPr>
        <w:t>Investigation:</w:t>
      </w:r>
      <w:r>
        <w:rPr/>
        <w:t xml:space="preserve"> [Name]</w:t>
      </w:r>
    </w:p>
    <w:p>
      <w:pPr>
        <w:pStyle w:val="Style11"/>
        <w:numPr>
          <w:ilvl w:val="0"/>
          <w:numId w:val="2"/>
        </w:numPr>
        <w:tabs>
          <w:tab w:val="clear" w:pos="720"/>
          <w:tab w:val="left" w:pos="0" w:leader="none"/>
        </w:tabs>
        <w:ind w:left="707" w:hanging="283"/>
        <w:rPr/>
      </w:pPr>
      <w:r>
        <w:rPr>
          <w:rStyle w:val="Style7"/>
        </w:rPr>
        <w:t>Data Curation:</w:t>
      </w:r>
      <w:r>
        <w:rPr/>
        <w:t xml:space="preserve"> [Name]</w:t>
      </w:r>
    </w:p>
    <w:p>
      <w:pPr>
        <w:pStyle w:val="Style11"/>
        <w:numPr>
          <w:ilvl w:val="0"/>
          <w:numId w:val="2"/>
        </w:numPr>
        <w:tabs>
          <w:tab w:val="clear" w:pos="720"/>
          <w:tab w:val="left" w:pos="0" w:leader="none"/>
        </w:tabs>
        <w:ind w:left="707" w:hanging="283"/>
        <w:rPr/>
      </w:pPr>
      <w:r>
        <w:rPr>
          <w:rStyle w:val="Style7"/>
        </w:rPr>
        <w:t>Writing – Original Draft:</w:t>
      </w:r>
      <w:r>
        <w:rPr/>
        <w:t xml:space="preserve"> [Name]</w:t>
      </w:r>
    </w:p>
    <w:p>
      <w:pPr>
        <w:pStyle w:val="Style11"/>
        <w:numPr>
          <w:ilvl w:val="0"/>
          <w:numId w:val="2"/>
        </w:numPr>
        <w:tabs>
          <w:tab w:val="clear" w:pos="720"/>
          <w:tab w:val="left" w:pos="0" w:leader="none"/>
        </w:tabs>
        <w:ind w:left="707" w:hanging="283"/>
        <w:rPr/>
      </w:pPr>
      <w:r>
        <w:rPr>
          <w:rStyle w:val="Style7"/>
        </w:rPr>
        <w:t>Writing – Review &amp; Editing:</w:t>
      </w:r>
      <w:r>
        <w:rPr/>
        <w:t xml:space="preserve"> [Name]</w:t>
      </w:r>
    </w:p>
    <w:p>
      <w:pPr>
        <w:pStyle w:val="Style11"/>
        <w:numPr>
          <w:ilvl w:val="0"/>
          <w:numId w:val="2"/>
        </w:numPr>
        <w:tabs>
          <w:tab w:val="clear" w:pos="720"/>
          <w:tab w:val="left" w:pos="0" w:leader="none"/>
        </w:tabs>
        <w:ind w:left="707" w:hanging="283"/>
        <w:rPr/>
      </w:pPr>
      <w:r>
        <w:rPr>
          <w:rStyle w:val="Style7"/>
        </w:rPr>
        <w:t>Visualization:</w:t>
      </w:r>
      <w:r>
        <w:rPr/>
        <w:t xml:space="preserve"> [Name]</w:t>
      </w:r>
    </w:p>
    <w:p>
      <w:pPr>
        <w:pStyle w:val="Style11"/>
        <w:numPr>
          <w:ilvl w:val="0"/>
          <w:numId w:val="2"/>
        </w:numPr>
        <w:tabs>
          <w:tab w:val="clear" w:pos="720"/>
          <w:tab w:val="left" w:pos="0" w:leader="none"/>
        </w:tabs>
        <w:ind w:left="707" w:hanging="283"/>
        <w:rPr/>
      </w:pPr>
      <w:r>
        <w:rPr>
          <w:rStyle w:val="Style7"/>
        </w:rPr>
        <w:t>Supervision:</w:t>
      </w:r>
      <w:r>
        <w:rPr/>
        <w:t xml:space="preserve"> [Name]</w:t>
      </w:r>
    </w:p>
    <w:p>
      <w:pPr>
        <w:pStyle w:val="Style11"/>
        <w:numPr>
          <w:ilvl w:val="0"/>
          <w:numId w:val="2"/>
        </w:numPr>
        <w:tabs>
          <w:tab w:val="clear" w:pos="720"/>
          <w:tab w:val="left" w:pos="0" w:leader="none"/>
        </w:tabs>
        <w:ind w:left="707" w:hanging="283"/>
        <w:rPr/>
      </w:pPr>
      <w:r>
        <w:rPr>
          <w:rStyle w:val="Style7"/>
        </w:rPr>
        <w:t>Project Administration:</w:t>
      </w:r>
      <w:r>
        <w:rPr/>
        <w:t xml:space="preserve"> [Name]</w:t>
      </w:r>
    </w:p>
    <w:p>
      <w:pPr>
        <w:pStyle w:val="Style11"/>
        <w:numPr>
          <w:ilvl w:val="0"/>
          <w:numId w:val="2"/>
        </w:numPr>
        <w:tabs>
          <w:tab w:val="clear" w:pos="720"/>
          <w:tab w:val="left" w:pos="0" w:leader="none"/>
        </w:tabs>
        <w:ind w:left="707" w:hanging="283"/>
        <w:rPr/>
      </w:pPr>
      <w:r>
        <w:rPr>
          <w:rStyle w:val="Style7"/>
        </w:rPr>
        <w:t>Funding Acquisition:</w:t>
      </w:r>
      <w:r>
        <w:rPr/>
        <w:t xml:space="preserve"> [Name]</w:t>
      </w:r>
    </w:p>
    <w:p>
      <w:pPr>
        <w:pStyle w:val="3"/>
        <w:spacing w:before="200" w:after="283"/>
        <w:rPr/>
      </w:pPr>
      <w:r>
        <w:rPr/>
      </w:r>
      <w:r>
        <w:rPr>
          <w:sz w:val="22"/>
        </w:rPr>
        <w:t>This research received no external funding.</w:t>
      </w:r>
    </w:p>
    <w:p>
      <w:pPr>
        <w:pStyle w:val="Style11"/>
        <w:rPr/>
      </w:pPr>
      <w:r>
        <w:rPr/>
        <w:t>Parts of the writing, figure scripting, and document assembly used an AI assistant (ChatGPT, OpenAI). The authors reviewed and take full responsibility for the content. No AI tools were listed as co-authors, and all sources and computations were verified by the authors.</w:t>
      </w:r>
    </w:p>
    <w:p>
      <w:pPr>
        <w:pStyle w:val="3"/>
        <w:spacing w:before="200" w:after="283"/>
        <w:rPr/>
      </w:pPr>
      <w:r>
        <w:rPr/>
        <w:t>Declaration of Competing Interest</w:t>
      </w:r>
    </w:p>
    <w:p>
      <w:pPr>
        <w:pStyle w:val="Style11"/>
        <w:rPr/>
      </w:pPr>
      <w:r>
        <w:rPr/>
        <w:t xml:space="preserve">The authors declare </w:t>
      </w:r>
      <w:r>
        <w:rPr>
          <w:rStyle w:val="Style7"/>
        </w:rPr>
        <w:t>no competing financial interests</w:t>
      </w:r>
      <w:r>
        <w:rPr/>
        <w:t xml:space="preserve"> or personal relationships that could have appeared to influence the work reported.</w:t>
      </w:r>
    </w:p>
    <w:p>
      <w:pPr>
        <w:pStyle w:val="3"/>
        <w:spacing w:before="200" w:after="283"/>
        <w:rPr/>
      </w:pPr>
      <w:r>
        <w:rPr/>
        <w:t>Funding</w:t>
      </w:r>
    </w:p>
    <w:p>
      <w:pPr>
        <w:pStyle w:val="Style11"/>
        <w:rPr/>
      </w:pPr>
      <w:r>
        <w:rPr/>
        <w:t xml:space="preserve">This research received </w:t>
      </w:r>
      <w:r>
        <w:rPr>
          <w:rStyle w:val="Style7"/>
        </w:rPr>
        <w:t>no specific grant</w:t>
      </w:r>
      <w:r>
        <w:rPr/>
        <w:t xml:space="preserve"> from funding agencies in the public, commercial, or not-for-profit sectors.</w:t>
        <w:br/>
      </w:r>
      <w:r>
        <w:rPr>
          <w:rStyle w:val="Style9"/>
        </w:rPr>
        <w:t>(If funded, replace with the grant and number.)</w:t>
      </w:r>
    </w:p>
    <w:p>
      <w:pPr>
        <w:pStyle w:val="3"/>
        <w:spacing w:before="200" w:after="283"/>
        <w:rPr/>
      </w:pPr>
      <w:r>
        <w:rPr/>
        <w:t>Acknowledgments</w:t>
      </w:r>
    </w:p>
    <w:p>
      <w:pPr>
        <w:pStyle w:val="Style11"/>
        <w:rPr/>
      </w:pPr>
      <w:r>
        <w:rPr/>
        <w:t>We thank [names/affiliations] for helpful discussions and feedback. Any remaining errors are our own.</w:t>
      </w:r>
    </w:p>
    <w:p>
      <w:pPr>
        <w:pStyle w:val="3"/>
        <w:spacing w:before="200" w:after="283"/>
        <w:rPr/>
      </w:pPr>
      <w:r>
        <w:rPr/>
        <w:t>Ethics Statement</w:t>
      </w:r>
    </w:p>
    <w:p>
      <w:pPr>
        <w:pStyle w:val="Style11"/>
        <w:rPr/>
      </w:pPr>
      <w:r>
        <w:rPr/>
        <w:t>This study does not involve human participants, personal data, or animal subjects. All analyses use public or synthetic datasets.</w:t>
      </w:r>
    </w:p>
    <w:p>
      <w:pPr>
        <w:pStyle w:val="3"/>
        <w:spacing w:before="200" w:after="283"/>
        <w:rPr/>
      </w:pPr>
      <w:r>
        <w:rPr/>
        <w:t>Disclaimer (Research-Only)</w:t>
      </w:r>
    </w:p>
    <w:p>
      <w:pPr>
        <w:pStyle w:val="Style11"/>
        <w:rPr/>
      </w:pPr>
      <w:r>
        <w:rPr/>
        <w:t xml:space="preserve">This article is for </w:t>
      </w:r>
      <w:r>
        <w:rPr>
          <w:rStyle w:val="Style7"/>
        </w:rPr>
        <w:t>research and education</w:t>
      </w:r>
      <w:r>
        <w:rPr/>
        <w:t xml:space="preserve">. It is </w:t>
      </w:r>
      <w:r>
        <w:rPr>
          <w:rStyle w:val="Style7"/>
        </w:rPr>
        <w:t>not</w:t>
      </w:r>
      <w:r>
        <w:rPr/>
        <w:t xml:space="preserve"> gambling or investment advice. Casino games have negative expected value; sports and markets involve financial risk; past performance does not guarantee future results.</w:t>
      </w:r>
    </w:p>
    <w:p>
      <w:pPr>
        <w:pStyle w:val="3"/>
        <w:spacing w:before="200" w:after="283"/>
        <w:rPr/>
      </w:pPr>
      <w:r>
        <w:rPr/>
        <w:t>Trademarks</w:t>
      </w:r>
    </w:p>
    <w:p>
      <w:pPr>
        <w:pStyle w:val="Style11"/>
        <w:rPr/>
      </w:pPr>
      <w:r>
        <w:rPr>
          <w:rStyle w:val="Style9"/>
        </w:rPr>
        <w:t>Starburst</w:t>
      </w:r>
      <w:r>
        <w:rPr/>
        <w:t xml:space="preserve"> (NetEnt) and </w:t>
      </w:r>
      <w:r>
        <w:rPr>
          <w:rStyle w:val="Style9"/>
        </w:rPr>
        <w:t>Book of Dead</w:t>
      </w:r>
      <w:r>
        <w:rPr/>
        <w:t xml:space="preserve"> (Play’n GO) are trademarks of their respective owners. Slot models herein are </w:t>
      </w:r>
      <w:r>
        <w:rPr>
          <w:rStyle w:val="Style7"/>
        </w:rPr>
        <w:t>surrogate, RTP/hit-rate–calibrated</w:t>
      </w:r>
      <w:r>
        <w:rPr/>
        <w:t xml:space="preserve"> approximations, not reverse-engineered paytables.</w:t>
      </w:r>
    </w:p>
    <w:p>
      <w:pPr>
        <w:pStyle w:val="3"/>
        <w:spacing w:before="200" w:after="283"/>
        <w:rPr/>
      </w:pPr>
      <w:r>
        <w:rPr/>
        <w:t>Supplementary/Appendices</w:t>
      </w:r>
    </w:p>
    <w:p>
      <w:pPr>
        <w:pStyle w:val="Style11"/>
        <w:numPr>
          <w:ilvl w:val="0"/>
          <w:numId w:val="3"/>
        </w:numPr>
        <w:tabs>
          <w:tab w:val="clear" w:pos="720"/>
          <w:tab w:val="left" w:pos="0" w:leader="none"/>
        </w:tabs>
        <w:ind w:left="707" w:hanging="283"/>
        <w:rPr/>
      </w:pPr>
      <w:r>
        <w:rPr>
          <w:rStyle w:val="Style7"/>
        </w:rPr>
        <w:t>Appendix B</w:t>
      </w:r>
      <w:r>
        <w:rPr/>
        <w:t xml:space="preserve"> – Explanatory Notes on Core Definitions and Results (with mini-examples).</w:t>
      </w:r>
    </w:p>
    <w:p>
      <w:pPr>
        <w:pStyle w:val="Style11"/>
        <w:numPr>
          <w:ilvl w:val="0"/>
          <w:numId w:val="3"/>
        </w:numPr>
        <w:tabs>
          <w:tab w:val="clear" w:pos="720"/>
          <w:tab w:val="left" w:pos="0" w:leader="none"/>
        </w:tabs>
        <w:ind w:left="707" w:hanging="283"/>
        <w:rPr/>
      </w:pPr>
      <w:r>
        <w:rPr>
          <w:rStyle w:val="Style7"/>
        </w:rPr>
        <w:t>Appendix C</w:t>
      </w:r>
      <w:r>
        <w:rPr/>
        <w:t xml:space="preserve"> – Lottery (OPAP Joker): Mechanics &amp; Jackpot Frequency.</w:t>
      </w:r>
    </w:p>
    <w:p>
      <w:pPr>
        <w:pStyle w:val="Style11"/>
        <w:numPr>
          <w:ilvl w:val="0"/>
          <w:numId w:val="3"/>
        </w:numPr>
        <w:tabs>
          <w:tab w:val="clear" w:pos="720"/>
          <w:tab w:val="left" w:pos="0" w:leader="none"/>
        </w:tabs>
        <w:ind w:left="707" w:hanging="283"/>
        <w:rPr/>
      </w:pPr>
      <w:r>
        <w:rPr>
          <w:rStyle w:val="Style7"/>
        </w:rPr>
        <w:t>Appendix D</w:t>
      </w:r>
      <w:r>
        <w:rPr/>
        <w:t xml:space="preserve"> – Online Slots: Starburst (Low-Vol) vs Book of Dead (High-Vol).</w:t>
      </w:r>
    </w:p>
    <w:p>
      <w:pPr>
        <w:pStyle w:val="Style11"/>
        <w:numPr>
          <w:ilvl w:val="0"/>
          <w:numId w:val="3"/>
        </w:numPr>
        <w:tabs>
          <w:tab w:val="clear" w:pos="720"/>
          <w:tab w:val="left" w:pos="0" w:leader="none"/>
        </w:tabs>
        <w:ind w:left="707" w:hanging="283"/>
        <w:rPr/>
      </w:pPr>
      <w:r>
        <w:rPr>
          <w:rStyle w:val="Style7"/>
        </w:rPr>
        <w:t>Appendix E</w:t>
      </w:r>
      <w:r>
        <w:rPr/>
        <w:t xml:space="preserve"> – Roulette: Theory, La Partage / En Prison, Systems &amp; Variance.</w:t>
      </w:r>
    </w:p>
    <w:p>
      <w:pPr>
        <w:pStyle w:val="Style11"/>
        <w:numPr>
          <w:ilvl w:val="0"/>
          <w:numId w:val="3"/>
        </w:numPr>
        <w:tabs>
          <w:tab w:val="clear" w:pos="720"/>
          <w:tab w:val="left" w:pos="0" w:leader="none"/>
        </w:tabs>
        <w:ind w:left="707" w:hanging="283"/>
        <w:rPr/>
      </w:pPr>
      <w:r>
        <w:rPr>
          <w:rStyle w:val="Style7"/>
        </w:rPr>
        <w:t>Appendix F</w:t>
      </w:r>
      <w:r>
        <w:rPr/>
        <w:t xml:space="preserve"> – Football (Super League): Market‑Implied Probabilities (Home/Draw/Away), Utility &amp; Luck.</w:t>
      </w:r>
    </w:p>
    <w:p>
      <w:pPr>
        <w:pStyle w:val="Style11"/>
        <w:numPr>
          <w:ilvl w:val="0"/>
          <w:numId w:val="3"/>
        </w:numPr>
        <w:tabs>
          <w:tab w:val="clear" w:pos="720"/>
          <w:tab w:val="left" w:pos="0" w:leader="none"/>
        </w:tabs>
        <w:ind w:left="707" w:hanging="283"/>
        <w:rPr/>
      </w:pPr>
      <w:r>
        <w:rPr>
          <w:rStyle w:val="Style7"/>
        </w:rPr>
        <w:t>Appendix G</w:t>
      </w:r>
      <w:r>
        <w:rPr/>
        <w:t xml:space="preserve"> – Equities: SPX (R&lt;−2%) &amp; AAPL (R&lt;−3%), Normal vs t vs EWMA.</w:t>
      </w:r>
    </w:p>
    <w:p>
      <w:pPr>
        <w:pStyle w:val="Normal"/>
        <w:spacing w:before="0" w:after="200"/>
        <w:rPr>
          <w:i/>
          <w:i/>
        </w:rPr>
      </w:pPr>
      <w:r>
        <w:rPr/>
      </w:r>
    </w:p>
    <w:p>
      <w:r>
        <w:rPr>
          <w:b/>
          <w:sz w:val="32"/>
        </w:rPr>
        <w:t>Appendix H — Unluck: Axioms, Models, and Convergence</w:t>
      </w:r>
    </w:p>
    <w:p>
      <w:r>
        <w:rPr>
          <w:b w:val="0"/>
          <w:sz w:val="24"/>
        </w:rPr>
        <w:t>We define an Unluck functional as the adverse counterpart to Luck. Let U be decision utility and set D = max{−U, 0}. Unluck 𝒰_θ(D,H,S,P) is non‑negative, increases with disutility D, amplifies rare unfavorable events via surprisal S and (1−P), and collapses to 0 as information is fully revealed (H,S→0).</w:t>
      </w:r>
    </w:p>
    <w:p>
      <w:r>
        <w:rPr>
          <w:b w:val="0"/>
          <w:sz w:val="24"/>
        </w:rPr>
        <w:t>Axioms (U1–U8):</w:t>
      </w:r>
    </w:p>
    <w:p>
      <w:r>
        <w:rPr>
          <w:b w:val="0"/>
          <w:sz w:val="24"/>
        </w:rPr>
        <w:t>• U1 Non‑negativity &amp; Nullity: 𝒰=0 if D=0 or P=1 (S=0).</w:t>
      </w:r>
    </w:p>
    <w:p>
      <w:r>
        <w:rPr>
          <w:b w:val="0"/>
          <w:sz w:val="24"/>
        </w:rPr>
        <w:t>• U2 Monotonicity in D: higher loss ⇒ higher 𝒰.</w:t>
      </w:r>
    </w:p>
    <w:p>
      <w:r>
        <w:rPr>
          <w:b w:val="0"/>
          <w:sz w:val="24"/>
        </w:rPr>
        <w:t>• U3 Rarity amplification: for fixed D,H, 𝒰 increases with S and as (1−P) rises.</w:t>
      </w:r>
    </w:p>
    <w:p>
      <w:r>
        <w:rPr>
          <w:b w:val="0"/>
          <w:sz w:val="24"/>
        </w:rPr>
        <w:t>• U4 Information collapse: along a filtration, H_t,S_t→0 ⇒ 𝒰_t→0.</w:t>
      </w:r>
    </w:p>
    <w:p>
      <w:r>
        <w:rPr>
          <w:b w:val="0"/>
          <w:sz w:val="24"/>
        </w:rPr>
        <w:t>• U5 Order‑preserving reparametrization in D (strictly increasing transforms preserve ranking).</w:t>
      </w:r>
    </w:p>
    <w:p>
      <w:r>
        <w:rPr>
          <w:b w:val="0"/>
          <w:sz w:val="24"/>
        </w:rPr>
        <w:t>• U6 Calibration compatibility with E[1_E|ℱ]=P.</w:t>
      </w:r>
    </w:p>
    <w:p>
      <w:r>
        <w:rPr>
          <w:b w:val="0"/>
          <w:sz w:val="24"/>
        </w:rPr>
        <w:t>• U7 Regularity: continuity and local Lipschitzness on compacts.</w:t>
      </w:r>
    </w:p>
    <w:p>
      <w:r>
        <w:rPr>
          <w:b w:val="0"/>
          <w:sz w:val="24"/>
        </w:rPr>
        <w:t>• U8 ERM identifiability: distinct θ induce distinct risks.</w:t>
      </w:r>
    </w:p>
    <w:p>
      <m:oMathPara xmlns:m="http://schemas.openxmlformats.org/officeDocument/2006/math">
        <m:oMath>
          <m:r>
            <m:t>𝒰̂ = ( 𝒰 − ess inf 𝒰 ) / ( ess sup 𝒰 − ess inf 𝒰 )</m:t>
          </m:r>
        </m:oMath>
      </m:oMathPara>
    </w:p>
    <w:p>
      <w:pPr>
        <w:jc w:val="right"/>
      </w:pPr>
      <w:r>
        <w:t>(H.1)</w:t>
      </w:r>
    </w:p>
    <w:p>
      <w:r>
        <w:rPr>
          <w:b w:val="0"/>
          <w:sz w:val="24"/>
        </w:rPr>
        <w:t>A normalized Unluck (H.1) enables cross‑domain comparability and clean thresholds for alerts.</w:t>
      </w:r>
    </w:p>
    <w:p>
      <m:oMathPara xmlns:m="http://schemas.openxmlformats.org/officeDocument/2006/math">
        <m:oMath>
          <m:r>
            <m:t>lim_{t→τ} 𝒰_θ(D_t,H_t,S_t,P_t) = 0</m:t>
          </m:r>
        </m:oMath>
      </m:oMathPara>
    </w:p>
    <w:p>
      <w:pPr>
        <w:jc w:val="right"/>
      </w:pPr>
      <w:r>
        <w:t>(H.2)</w:t>
      </w:r>
    </w:p>
    <w:p>
      <w:r>
        <w:rPr>
          <w:b w:val="0"/>
          <w:sz w:val="24"/>
        </w:rPr>
        <w:t>Sketch: with P_t(E)=E[1_E|ℱ_t] a Doob martingale and (H_t,S_t)→0, continuity and boundedness yield a.s. and L¹ convergence to 0.</w:t>
      </w:r>
    </w:p>
    <w:p>
      <w:r>
        <w:rPr>
          <w:b/>
          <w:sz w:val="32"/>
        </w:rPr>
        <w:t>Appendix I — Unified Luck–Unluck</w:t>
      </w:r>
    </w:p>
    <w:p>
      <w:r>
        <w:rPr>
          <w:b w:val="0"/>
          <w:sz w:val="24"/>
        </w:rPr>
        <w:t>We merge upside Luck and downside Unluck into a single signed composite. Let U⁺=max{U,0}, U⁻=max{−U,0} and information terms (H,S) with base probability P.</w:t>
      </w:r>
    </w:p>
    <w:p>
      <m:oMathPara xmlns:m="http://schemas.openxmlformats.org/officeDocument/2006/math">
        <m:oMath>
          <m:r>
            <m:t>𝓛_Θ = ϕ_Θ( Luck⁺(U⁺,H,S,1−P) ) − ψ_Θ( Unluck⁻(U⁻,H,S,1−P) )</m:t>
          </m:r>
        </m:oMath>
      </m:oMathPara>
    </w:p>
    <w:p>
      <w:pPr>
        <w:jc w:val="right"/>
      </w:pPr>
      <w:r>
        <w:t>(I.1)</w:t>
      </w:r>
    </w:p>
    <w:p>
      <w:r>
        <w:rPr>
          <w:b w:val="0"/>
          <w:sz w:val="24"/>
        </w:rPr>
        <w:t>In the symmetric case ϕ=ψ=id, we obtain a centered 𝓛 = Luck⁺ − Unluck⁻. A normalized [−1,1] mapping follows.</w:t>
      </w:r>
    </w:p>
    <w:p>
      <m:oMathPara xmlns:m="http://schemas.openxmlformats.org/officeDocument/2006/math">
        <m:oMath>
          <m:r>
            <m:t>𝓛̂ = ( 𝓛 − ess inf 𝓛 ) / ( ess sup 𝓛 − ess inf 𝓛 ) · 2 − 1</m:t>
          </m:r>
        </m:oMath>
      </m:oMathPara>
    </w:p>
    <w:p>
      <w:pPr>
        <w:jc w:val="right"/>
      </w:pPr>
      <w:r>
        <w:t>(I.2)</w:t>
      </w:r>
    </w:p>
    <w:p>
      <w:r>
        <w:rPr>
          <w:b w:val="0"/>
          <w:sz w:val="24"/>
        </w:rPr>
        <w:t>Mini‑examples (Input → Output):</w:t>
      </w:r>
    </w:p>
    <w:p>
      <w:r>
        <w:rPr>
          <w:b w:val="0"/>
          <w:sz w:val="24"/>
        </w:rPr>
        <w:t>• P=0.10, H≈0.802, S≈2.303, U=+1.2 → Luck⁺&gt;0, Unluck⁻=0.</w:t>
      </w:r>
    </w:p>
    <w:p>
      <w:r>
        <w:rPr>
          <w:b w:val="0"/>
          <w:sz w:val="24"/>
        </w:rPr>
        <w:t>• P=0.05, H≈0.898, S≈2.996, U=−1.8 → Luck⁺=0, Unluck⁻&gt;0.</w:t>
      </w:r>
    </w:p>
    <w:p>
      <w:r>
        <w:rPr>
          <w:b w:val="0"/>
          <w:sz w:val="24"/>
        </w:rPr>
        <w:t>• P=0.20, H≈1.029, S≈1.609, U=+0.7 → modest Luck⁺.</w:t>
      </w:r>
    </w:p>
    <w:p>
      <w:r>
        <w:rPr>
          <w:b w:val="0"/>
          <w:sz w:val="24"/>
        </w:rPr>
        <w:t>• P=0.01, H≈0.424, S≈4.605, U=−2.5 → large Unluck⁻.</w:t>
      </w:r>
    </w:p>
    <w:p>
      <w:r>
        <w:rPr>
          <w:b/>
          <w:sz w:val="26"/>
        </w:rPr>
        <w:t>Affiliations</w:t>
      </w:r>
    </w:p>
    <w:p>
      <w:r>
        <w:rPr>
          <w:sz w:val="22"/>
        </w:rPr>
        <w:t>Spiros Tsoumpis: Department of Marine Engineering, Keratsini, Greece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mbria">
    <w:charset w:val="a1"/>
    <w:family w:val="roman"/>
    <w:pitch w:val="variable"/>
  </w:font>
  <w:font w:name="Calibri">
    <w:charset w:val="a1"/>
    <w:family w:val="roman"/>
    <w:pitch w:val="variable"/>
  </w:font>
  <w:font w:name="Consolas">
    <w:charset w:val="a1"/>
    <w:family w:val="roman"/>
    <w:pitch w:val="variable"/>
  </w:font>
  <w:font w:name="OpenSymbol">
    <w:altName w:val="Arial Unicode MS"/>
    <w:charset w:val="02"/>
    <w:family w:val="auto"/>
    <w:pitch w:val="default"/>
  </w:font>
  <w:font w:name="Liberation Sans">
    <w:altName w:val="Arial"/>
    <w:charset w:val="a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1">
    <w:name w:val="Heading 1"/>
    <w:basedOn w:val="Normal"/>
    <w:next w:val="Style11"/>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11"/>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11"/>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11"/>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11"/>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11"/>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11"/>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11"/>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11"/>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Αγκίστρωση υποσημείωσης"/>
    <w:rPr>
      <w:vertAlign w:val="superscript"/>
    </w:rPr>
  </w:style>
  <w:style w:type="character" w:styleId="FootnoteCharacters">
    <w:name w:val="Footnote Characters"/>
    <w:basedOn w:val="BodyTextChar"/>
    <w:qFormat/>
    <w:rPr>
      <w:vertAlign w:val="superscript"/>
    </w:rPr>
  </w:style>
  <w:style w:type="character" w:styleId="Style6">
    <w:name w:val="Σύνδεσμος διαδικτύου"/>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7">
    <w:name w:val="Έντονη έμφαση"/>
    <w:qFormat/>
    <w:rPr>
      <w:b/>
      <w:bCs/>
    </w:rPr>
  </w:style>
  <w:style w:type="character" w:styleId="Style8">
    <w:name w:val="Κουκκίδες"/>
    <w:qFormat/>
    <w:rPr>
      <w:rFonts w:ascii="OpenSymbol" w:hAnsi="OpenSymbol" w:eastAsia="OpenSymbol" w:cs="OpenSymbol"/>
    </w:rPr>
  </w:style>
  <w:style w:type="character" w:styleId="Style9">
    <w:name w:val="Έμφαση"/>
    <w:qFormat/>
    <w:rPr>
      <w:i/>
      <w:iCs/>
    </w:rPr>
  </w:style>
  <w:style w:type="paragraph" w:styleId="Style10">
    <w:name w:val="Επικεφαλίδα"/>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link w:val="BodyTextChar"/>
    <w:qFormat/>
    <w:pPr>
      <w:spacing w:before="180" w:after="180"/>
    </w:pPr>
    <w:rPr/>
  </w:style>
  <w:style w:type="paragraph" w:styleId="Style12">
    <w:name w:val="List"/>
    <w:basedOn w:val="Style11"/>
    <w:pPr/>
    <w:rPr>
      <w:rFonts w:cs="Arial"/>
    </w:rPr>
  </w:style>
  <w:style w:type="paragraph" w:styleId="Style13">
    <w:name w:val="Caption"/>
    <w:basedOn w:val="Normal"/>
    <w:link w:val="BodyTextChar"/>
    <w:qFormat/>
    <w:pPr>
      <w:spacing w:before="0" w:after="120"/>
    </w:pPr>
    <w:rPr>
      <w:i/>
    </w:rPr>
  </w:style>
  <w:style w:type="paragraph" w:styleId="Style14">
    <w:name w:val="Ευρετήριο"/>
    <w:basedOn w:val="Normal"/>
    <w:qFormat/>
    <w:pPr>
      <w:suppressLineNumbers/>
    </w:pPr>
    <w:rPr>
      <w:rFonts w:cs="Arial"/>
    </w:rPr>
  </w:style>
  <w:style w:type="paragraph" w:styleId="FirstParagraph" w:customStyle="1">
    <w:name w:val="First Paragraph"/>
    <w:basedOn w:val="Style11"/>
    <w:next w:val="Style11"/>
    <w:qFormat/>
    <w:pPr/>
    <w:rPr/>
  </w:style>
  <w:style w:type="paragraph" w:styleId="Compact" w:customStyle="1">
    <w:name w:val="Compact"/>
    <w:basedOn w:val="Style11"/>
    <w:qFormat/>
    <w:pPr>
      <w:spacing w:before="36" w:after="36"/>
    </w:pPr>
    <w:rPr/>
  </w:style>
  <w:style w:type="paragraph" w:styleId="Style15">
    <w:name w:val="Title"/>
    <w:basedOn w:val="Normal"/>
    <w:next w:val="Style11"/>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6">
    <w:name w:val="Subtitle"/>
    <w:basedOn w:val="Style15"/>
    <w:next w:val="Style11"/>
    <w:qFormat/>
    <w:pPr>
      <w:keepNext w:val="true"/>
      <w:keepLines/>
      <w:spacing w:before="240" w:after="240"/>
      <w:jc w:val="center"/>
    </w:pPr>
    <w:rPr>
      <w:sz w:val="30"/>
      <w:szCs w:val="30"/>
    </w:rPr>
  </w:style>
  <w:style w:type="paragraph" w:styleId="Author" w:customStyle="1">
    <w:name w:val="Author"/>
    <w:next w:val="Style11"/>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Style11"/>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Style11"/>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11"/>
    <w:next w:val="Style11"/>
    <w:uiPriority w:val="9"/>
    <w:unhideWhenUsed/>
    <w:qFormat/>
    <w:pPr>
      <w:spacing w:before="100" w:after="100"/>
      <w:ind w:left="480" w:right="480" w:hanging="0"/>
    </w:pPr>
    <w:rPr/>
  </w:style>
  <w:style w:type="paragraph" w:styleId="Style17">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3"/>
    <w:qFormat/>
    <w:pPr>
      <w:keepNext w:val="true"/>
    </w:pPr>
    <w:rPr/>
  </w:style>
  <w:style w:type="paragraph" w:styleId="ImageCaption" w:customStyle="1">
    <w:name w:val="Image Caption"/>
    <w:basedOn w:val="Style13"/>
    <w:qFormat/>
    <w:pPr/>
    <w:rPr/>
  </w:style>
  <w:style w:type="paragraph" w:styleId="Style18" w:customStyle="1">
    <w:name w:val="Σχήμα"/>
    <w:basedOn w:val="Normal"/>
    <w:qFormat/>
    <w:pPr/>
    <w:rPr/>
  </w:style>
  <w:style w:type="paragraph" w:styleId="CaptionedFigure" w:customStyle="1">
    <w:name w:val="Captioned Figure"/>
    <w:basedOn w:val="Style18"/>
    <w:qFormat/>
    <w:pPr>
      <w:keepNext w:val="true"/>
    </w:pPr>
    <w:rPr/>
  </w:style>
  <w:style w:type="paragraph" w:styleId="TOCHeading">
    <w:name w:val="TOC Heading"/>
    <w:basedOn w:val="1"/>
    <w:next w:val="Style1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LibreOffice/7.0.3.1$Windows_X86_64 LibreOffice_project/d7547858d014d4cf69878db179d326fc3483e082</Application>
  <Pages>32</Pages>
  <Words>2869</Words>
  <Characters>17914</Characters>
  <CharactersWithSpaces>20470</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2025-08-18T18:10:31Z</dcterms:created>
  <dc:creator>Spiros Tsoumpis</dc:creator>
  <dc:description/>
  <dc:language>el-GR</dc:language>
  <cp:lastModifiedBy>Spiros Tsoumpis</cp:lastModifiedBy>
  <dcterms:modified xsi:type="dcterms:W3CDTF">2025-08-19T04:15:49Z</dcterms:modified>
  <cp:revision>1</cp:revision>
  <dc:subject/>
  <dc:title>A Formal Measure of Luck: Theoretical Foundations, Convergence, and Empirical Validation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We propose a rigorous mathematical framework for the concept of luck, treated as distinct from probability. Our measure integrates probability, utility, entropy, and surprisal, and satisfies a set of axioms ensuring consistency with intuition. We develop normalization and convergence theorems, establish empirical risk minimization (ERM) consistency, and demonstrate applications in games of chance, sports betting, and financial markets with numerical examples and calibration plots.</vt:lpwstr>
  </property>
  <property fmtid="{D5CDD505-2E9C-101B-9397-08002B2CF9AE}" pid="9" name="date">
    <vt:lpwstr/>
  </property>
</Properties>
</file>