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88" w:lineRule="auto" w:after="120"/>
      </w:pPr>
      <w:r>
        <w:rPr>
          <w:b/>
          <w:i w:val="0"/>
          <w:sz w:val="32"/>
        </w:rPr>
        <w:t>Cover Letter (Elsevier submission — text 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Dear Editor,</w:t>
      </w:r>
    </w:p>
    <w:p>
      <w:pPr>
        <w:spacing w:line="288" w:lineRule="auto" w:after="120"/>
      </w:pPr>
      <w:r>
        <w:rPr>
          <w:b w:val="0"/>
          <w:i w:val="0"/>
          <w:sz w:val="22"/>
        </w:rPr>
        <w:t>Please find enclosed our manuscript entitled “Luck &amp; Unluck: A Unified Information‑Weighted Utility Theory”. We develop an axiomatic framework for upside Luck and downside Unluck, prove collapse and consistency properties, and deploy a unified signed score across heterogeneous domains (slots, football, equities, roulette, OPAP Joker).</w:t>
      </w:r>
    </w:p>
    <w:p>
      <w:pPr>
        <w:spacing w:line="288" w:lineRule="auto" w:after="120"/>
      </w:pPr>
      <w:r>
        <w:rPr>
          <w:b w:val="0"/>
          <w:i w:val="0"/>
          <w:sz w:val="22"/>
        </w:rPr>
        <w:t>We confirm the manuscript is original, not under consideration elsewhere, and all authors approve the submission. No external funding was received. No competing interests.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Kind regards,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</w:t>
      </w:r>
    </w:p>
    <w:p>
      <w:pPr>
        <w:spacing w:line="288" w:lineRule="auto" w:after="120"/>
      </w:pPr>
      <w:r>
        <w:rPr>
          <w:b w:val="0"/>
          <w:i w:val="0"/>
          <w:sz w:val="22"/>
        </w:rPr>
        <w:t>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32"/>
        </w:rPr>
        <w:t>Highlights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Unified information‑weighted treatment of Luck (upside) and Unluck (downside) with collapse as information is revealed.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Signed composite 𝓛 = L⁺ − 𝒰 normalized to [−1,1] for cross‑domain comparability.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ERM with GC/ULLN assumptions → uniform convergence and argmin consistency.</w:t>
      </w:r>
    </w:p>
    <w:p>
      <w:pPr>
        <w:spacing w:line="288" w:lineRule="auto" w:after="120"/>
      </w:pPr>
      <w:r>
        <w:rPr>
          <w:b w:val="0"/>
          <w:i w:val="0"/>
          <w:sz w:val="22"/>
        </w:rPr>
        <w:t>• Applications across gambling, sports, and markets (text‑only mini‑tables).</w:t>
      </w:r>
    </w:p>
    <w:p>
      <w:pPr>
        <w:spacing w:line="288" w:lineRule="auto" w:after="120"/>
      </w:pPr>
      <w:r>
        <w:rPr>
          <w:b/>
          <w:i w:val="0"/>
          <w:sz w:val="32"/>
        </w:rPr>
        <w:t>Manuscript (Text‑Only)</w:t>
      </w:r>
    </w:p>
    <w:p>
      <w:pPr>
        <w:spacing w:line="288" w:lineRule="auto" w:after="120"/>
      </w:pPr>
      <w:r>
        <w:rPr>
          <w:b w:val="0"/>
          <w:i/>
          <w:sz w:val="22"/>
        </w:rPr>
        <w:t>Author: Spiros Tsoumpis — Department of Marine Engineering, Keratsini, Greece</w:t>
      </w:r>
    </w:p>
    <w:p>
      <w:pPr>
        <w:spacing w:line="288" w:lineRule="auto" w:after="120"/>
      </w:pPr>
      <w:r>
        <w:rPr>
          <w:b/>
          <w:i w:val="0"/>
          <w:sz w:val="26"/>
        </w:rPr>
        <w:t>Abstract</w:t>
      </w:r>
    </w:p>
    <w:p>
      <w:pPr>
        <w:spacing w:line="288" w:lineRule="auto" w:after="120"/>
      </w:pPr>
      <w:r>
        <w:rPr>
          <w:b w:val="0"/>
          <w:i w:val="0"/>
          <w:sz w:val="22"/>
        </w:rPr>
        <w:t>We formalize Luck and its adverse counterpart Unluck as information‑weighted functionals of utility under uncertainty. Both functionals satisfy monotonicity and collapse to zero as information is fully revealed. We introduce a unified signed composite that fuses upside and downside contributions into a single score for estimation and calibration. We outline consistency under ERM with GC/ULLN assumptions and apply the unified score across domains—slots, football, equities, roulette, and OPAP Joker—using compact, figure‑free mini‑tables.</w:t>
      </w:r>
    </w:p>
    <w:p>
      <w:pPr>
        <w:spacing w:line="288" w:lineRule="auto" w:after="120"/>
      </w:pPr>
      <w:r>
        <w:rPr>
          <w:b w:val="0"/>
          <w:i/>
          <w:sz w:val="22"/>
        </w:rPr>
        <w:t>Keywords: calibration; proper scoring rules; ERM; GC/ULLN; martingales; decision under uncertainty; risk; games of chance; forecasting.</w:t>
      </w:r>
    </w:p>
    <w:p>
      <w:pPr>
        <w:spacing w:line="288" w:lineRule="auto" w:after="120"/>
      </w:pPr>
      <w:r>
        <w:rPr>
          <w:b/>
          <w:i w:val="0"/>
          <w:sz w:val="26"/>
        </w:rPr>
        <w:t>Funding</w:t>
      </w:r>
    </w:p>
    <w:p>
      <w:pPr>
        <w:spacing w:line="288" w:lineRule="auto" w:after="120"/>
      </w:pPr>
      <w:r>
        <w:rPr>
          <w:b w:val="0"/>
          <w:i w:val="0"/>
          <w:sz w:val="22"/>
        </w:rPr>
        <w:t>This research received no external funding.</w:t>
      </w:r>
    </w:p>
    <w:p>
      <w:pPr>
        <w:spacing w:line="288" w:lineRule="auto" w:after="120"/>
      </w:pPr>
      <w:r>
        <w:rPr>
          <w:b/>
          <w:i w:val="0"/>
          <w:sz w:val="26"/>
        </w:rPr>
        <w:t>Author Contributions (CRediT)</w:t>
      </w:r>
    </w:p>
    <w:p>
      <w:pPr>
        <w:spacing w:line="288" w:lineRule="auto" w:after="120"/>
      </w:pPr>
      <w:r>
        <w:rPr>
          <w:b w:val="0"/>
          <w:i w:val="0"/>
          <w:sz w:val="22"/>
        </w:rPr>
        <w:t>Spiros Tsoumpis: Conceptualization; Methodology; Formal analysis; Investigation; Data curation; Software; Visualization; Writing—original draft; Writing—review &amp; editing; Resources; Project administration.</w:t>
      </w:r>
    </w:p>
    <w:p>
      <w:pPr>
        <w:spacing w:line="288" w:lineRule="auto" w:after="120"/>
      </w:pPr>
      <w:r>
        <w:rPr>
          <w:b/>
          <w:i w:val="0"/>
          <w:sz w:val="32"/>
        </w:rPr>
        <w:t>1. Preliminaries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(Ω,ℱ,ℙ) be a probability space with filtration (ℱ_t). For event E and utility U∈ℝ, set P=ℙ(E), S=−log P, and H an information scale (entropy proxy) over outcomes. Write U⁺=max{U,0} and U⁻=max{−U,0}.</w:t>
      </w:r>
    </w:p>
    <w:p>
      <w:pPr>
        <w:spacing w:line="288" w:lineRule="auto" w:after="120"/>
      </w:pPr>
      <w:r>
        <w:rPr>
          <w:b/>
          <w:i w:val="0"/>
          <w:sz w:val="32"/>
        </w:rPr>
        <w:t>2. Luck Theory</w:t>
      </w:r>
    </w:p>
    <w:p>
      <w:pPr>
        <w:spacing w:line="288" w:lineRule="auto" w:after="120"/>
      </w:pPr>
      <w:r>
        <w:rPr>
          <w:b w:val="0"/>
          <w:i w:val="0"/>
          <w:sz w:val="22"/>
        </w:rPr>
        <w:t>Luck (upside) should increase with utility, with uncertainty/novelty (H), and with rareness (via S or (1−P)), while vanishing as information collapses.</w:t>
      </w:r>
    </w:p>
    <w:p>
      <w:pPr>
        <w:spacing w:line="288" w:lineRule="auto" w:after="120"/>
      </w:pPr>
      <m:oMathPara>
        <m:oMath>
          <m:r>
            <m:t>L^+_{θ}(U,H,S,1−P) = U^{α} · H^{β} · (1−P)^{γ} · S^{δ}</m:t>
          </m:r>
        </m:oMath>
      </m:oMathPara>
    </w:p>
    <w:p>
      <w:bookmarkStart w:id="84987" w:name="eq2_1"/>
      <w:pPr>
        <w:spacing w:line="288" w:lineRule="auto" w:after="120"/>
        <w:jc w:val="right"/>
      </w:pPr>
      <w:r>
        <w:rPr>
          <w:sz w:val="22"/>
        </w:rPr>
        <w:t>(2.1)</w:t>
      </w:r>
      <w:bookmarkEnd w:id="84987"/>
    </w:p>
    <w:p>
      <w:pPr>
        <w:spacing w:line="288" w:lineRule="auto" w:after="120"/>
      </w:pPr>
      <w:r>
        <w:rPr>
          <w:b w:val="0"/>
          <w:i w:val="0"/>
          <w:sz w:val="22"/>
        </w:rPr>
        <w:t>Multiplicative model (2.1): α,β,γ,δ&gt;0 control sensitivity to utility, entropy, rarity, and surprisal. Any strictly increasing transform preserves rankings.</w:t>
      </w:r>
    </w:p>
    <w:p>
      <w:pPr>
        <w:spacing w:line="288" w:lineRule="auto" w:after="120"/>
      </w:pPr>
      <m:oMathPara>
        <m:oMath>
          <m:r>
            <m:t>L^+_{θ}(U,H,S,1−P) = σ(a·U + b·H + c·S + d·(1−P) + e)</m:t>
          </m:r>
        </m:oMath>
      </m:oMathPara>
    </w:p>
    <w:p>
      <w:bookmarkStart w:id="13393" w:name="eq2_2"/>
      <w:pPr>
        <w:spacing w:line="288" w:lineRule="auto" w:after="120"/>
        <w:jc w:val="right"/>
      </w:pPr>
      <w:r>
        <w:rPr>
          <w:sz w:val="22"/>
        </w:rPr>
        <w:t>(2.2)</w:t>
      </w:r>
      <w:bookmarkEnd w:id="13393"/>
    </w:p>
    <w:p>
      <w:pPr>
        <w:spacing w:line="288" w:lineRule="auto" w:after="120"/>
      </w:pPr>
      <w:r>
        <w:rPr>
          <w:b w:val="0"/>
          <w:i w:val="0"/>
          <w:sz w:val="22"/>
        </w:rPr>
        <w:t>Logistic model (2.2) maps to [0,1] and supports calibration curves; σ is the logistic link.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brier1950&quot; ">
        <w:r>
          <w:t>Brier (1950)</w:t>
        </w:r>
      </w:fldSimple>
      <w:r>
        <w:t xml:space="preserve">; </w:t>
      </w:r>
      <w:fldSimple w:instr="HYPERLINK \l &quot;ref_dawid1982&quot; ">
        <w:r>
          <w:t>Dawid (1982)</w:t>
        </w:r>
      </w:fldSimple>
      <w:r>
        <w:t xml:space="preserve">; </w:t>
      </w:r>
      <w:fldSimple w:instr="HYPERLINK \l &quot;ref_niculescu&quot; ">
        <w:r>
          <w:t>Niculescu‑Mizil &amp; Caruana (2005)</w:t>
        </w:r>
      </w:fldSimple>
      <w:r>
        <w:t xml:space="preserve">; </w:t>
      </w:r>
      <w:fldSimple w:instr="HYPERLINK \l &quot;ref_platt1999&quot; ">
        <w:r>
          <w:t>Platt (1999)</w:t>
        </w:r>
      </w:fldSimple>
      <w:r>
        <w:t>.</w:t>
      </w:r>
    </w:p>
    <w:p>
      <w:pPr>
        <w:spacing w:line="288" w:lineRule="auto" w:after="120"/>
      </w:pPr>
      <m:oMathPara>
        <m:oMath>
          <m:r>
            <m:t>Ĺ = ( L^+ − ess inf L^+ ) / ( ess sup L^+ − ess inf L^+ )</m:t>
          </m:r>
        </m:oMath>
      </m:oMathPara>
    </w:p>
    <w:p>
      <w:bookmarkStart w:id="50994" w:name="eq2_3"/>
      <w:pPr>
        <w:spacing w:line="288" w:lineRule="auto" w:after="120"/>
        <w:jc w:val="right"/>
      </w:pPr>
      <w:r>
        <w:rPr>
          <w:sz w:val="22"/>
        </w:rPr>
        <w:t>(2.3)</w:t>
      </w:r>
      <w:bookmarkEnd w:id="50994"/>
    </w:p>
    <w:p>
      <w:pPr>
        <w:spacing w:line="288" w:lineRule="auto" w:after="120"/>
      </w:pPr>
      <w:r>
        <w:rPr>
          <w:b w:val="0"/>
          <w:i w:val="0"/>
          <w:sz w:val="22"/>
        </w:rPr>
        <w:t>Normalization (2.3) enables cross‑domain comparability. Axioms: non‑negativity; monotonicity in U; rarity amplification; information collapse as H,S→0; Lipschitz regularity on compacts.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 the multiplicative head see Eq.</w:t>
      </w:r>
      <w:fldSimple w:instr=" REF eq2_1 \h ">
        <w:r>
          <w:t>(2.1)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2.1 Axioms (formal). L1 Non‑negativity; L2 Monotonicity in U; L3 Rarity amplification via S or (1−P); L4 Information collapse (H,S→0 ⇒ L^+→0); L5 Measurability in all arguments; L6 Lipschitz regularity on compacts; L7 Order preservation under strictly increasing reparametrizations of U.</w:t>
      </w:r>
    </w:p>
    <w:p>
      <w:pPr>
        <w:spacing w:line="288" w:lineRule="auto" w:after="120"/>
      </w:pPr>
      <w:r>
        <w:rPr>
          <w:b w:val="0"/>
          <w:i w:val="0"/>
          <w:sz w:val="22"/>
        </w:rPr>
        <w:t>2.2 Normalization &amp; invariances. Any strictly increasing map g preserves rankings; normalized Ĺ is invariant to positive affine rescaling of L^+.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4 \h ">
        <w:r>
          <w:t>Theorem 2.4</w:t>
        </w:r>
      </w:fldSimple>
    </w:p>
    <w:p>
      <w:pPr>
        <w:spacing w:line="288" w:lineRule="auto" w:after="120"/>
      </w:pPr>
      <w:r>
        <w:rPr>
          <w:b w:val="0"/>
          <w:i w:val="0"/>
          <w:sz w:val="22"/>
        </w:rPr>
        <w:t>2.3 Convergence (martingale collapse). Let P_t(E)=E[1_E|ℱ_t] be a Doob martingale and assume H_t,S_t→0 a.s.; if L^+ is continuous and uniformly bounded on compacts, then L^+_t→0 a.s. and in L¹ (by dominated/Vitali convergence).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doob1953&quot; ">
        <w:r>
          <w:t>Doob (1953)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See also</w:t>
      </w:r>
      <w:fldSimple w:instr=" REF thm2_5 \h ">
        <w:r>
          <w:t>Theorem 2.5</w:t>
        </w:r>
      </w:fldSimple>
    </w:p>
    <w:p>
      <w:bookmarkStart w:id="2401" w:name="thm2_4"/>
      <w:pPr>
        <w:spacing w:line="288" w:lineRule="auto" w:after="120"/>
      </w:pPr>
      <w:r>
        <w:rPr>
          <w:b/>
          <w:i w:val="0"/>
          <w:sz w:val="22"/>
        </w:rPr>
        <w:t>Theorem 2.4 (Order‑Isomorphism under Strictly Increasing Transformations).</w:t>
      </w:r>
      <w:bookmarkEnd w:id="2401"/>
    </w:p>
    <w:p>
      <w:pPr>
        <w:spacing w:line="288" w:lineRule="auto" w:after="120"/>
      </w:pPr>
      <w:r>
        <w:rPr>
          <w:b w:val="0"/>
          <w:i w:val="0"/>
          <w:sz w:val="22"/>
        </w:rPr>
        <w:t>Let g:ℝ→ℝ be strictly increasing. For any two instances x=(U,H,S,P) and x′=(U′,H′,S′,P′), define L^+_θ via (2.1) or (2.2). Then L^+_θ(x) ≤ L^+_θ(x′) iff g(L^+_θ(x)) ≤ g(L^+_θ(x′)). Consequently, rank‑based risks (AUC, isotonic calibration) are invariant to strictly increasing reparametrizations of L^+. If ψ is strictly increasing, the unified score 𝓛 = L^+ − 𝒰 preserves order between instances with identical 𝒰; and if both ϕ,ψ are strictly increasing, any signed order induced by 𝓛 is preserved under composition.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Strict increase of g implies an order‑isomorphism on (ℝ,≤). Apply with a=L^+_θ(x), b=L^+_θ(x′). Invariance of rank‑based risks follows. For the unified case, ϕ,ψ monotone preserve partial orders. ∎</w:t>
      </w:r>
    </w:p>
    <w:p>
      <w:bookmarkStart w:id="2501" w:name="thm2_5"/>
      <w:pPr>
        <w:spacing w:line="288" w:lineRule="auto" w:after="120"/>
      </w:pPr>
      <w:r>
        <w:rPr>
          <w:b/>
          <w:i w:val="0"/>
          <w:sz w:val="22"/>
        </w:rPr>
        <w:t>Theorem 2.5 (L¹ Convergence via Uniform Integrability).</w:t>
      </w:r>
      <w:bookmarkEnd w:id="2501"/>
    </w:p>
    <w:p>
      <w:pPr>
        <w:spacing w:line="288" w:lineRule="auto" w:after="120"/>
      </w:pPr>
      <w:r>
        <w:rPr>
          <w:b w:val="0"/>
          <w:i w:val="0"/>
          <w:sz w:val="22"/>
        </w:rPr>
        <w:t>Let (ℱ_t) be a filtration and suppose L^+_t := L^+_θ(U_t,H_t,S_t,P_t)≥0 with L^+_t → 0 in probability as t→τ, e.g., because H_t,S_t→0 and L^+ is continuous. If {L^+_t} is uniformly integrable (UI), then L^+_t → 0 in L¹, i.e., E[L^+_t]→0. Sufficient conditions for UI: (i) Dominated case — ∃G∈L¹ with 0≤L^+_t≤G a.s.; (ii) de la Vallée‑Poussin — ∃ convex Φ with Φ(x)/x→∞ and sup_t E[Φ(L^+_t)]&lt;∞.</w:t>
      </w:r>
    </w:p>
    <w:p>
      <w:pPr>
        <w:spacing w:line="288" w:lineRule="auto" w:after="120"/>
      </w:pPr>
      <w:r>
        <w:rPr>
          <w:b w:val="0"/>
          <w:i/>
          <w:sz w:val="21"/>
        </w:rPr>
        <w:t>Proof (sketch). Convergence in probability to 0 plus UI ⇒ L¹ convergence by Vitali. In the dominated case, UI follows from dominance and dominated convergence. ∎</w:t>
      </w:r>
    </w:p>
    <w:p>
      <w:pPr>
        <w:spacing w:line="288" w:lineRule="auto" w:after="120"/>
      </w:pPr>
      <w:r>
        <w:rPr>
          <w:b/>
          <w:i w:val="0"/>
          <w:sz w:val="32"/>
        </w:rPr>
        <w:t>3. Unluck Theory</w:t>
      </w:r>
    </w:p>
    <w:p>
      <w:pPr>
        <w:spacing w:line="288" w:lineRule="auto" w:after="120"/>
      </w:pPr>
      <m:oMathPara>
        <m:oMath>
          <m:r>
            <m:t>𝒰_{θ}(D,H,S,1−P) ≥ 0,    𝒰 increases in D,    lim_{t→τ} 𝒰_{θ}(D_t,H_t,S_t,P_t)=0</m:t>
          </m:r>
        </m:oMath>
      </m:oMathPara>
    </w:p>
    <w:p>
      <w:bookmarkStart w:id="93946" w:name="eq3_1"/>
      <w:pPr>
        <w:spacing w:line="288" w:lineRule="auto" w:after="120"/>
        <w:jc w:val="right"/>
      </w:pPr>
      <w:r>
        <w:rPr>
          <w:sz w:val="22"/>
        </w:rPr>
        <w:t>(3.1)</w:t>
      </w:r>
      <w:bookmarkEnd w:id="93946"/>
    </w:p>
    <w:p>
      <w:pPr>
        <w:spacing w:line="288" w:lineRule="auto" w:after="120"/>
      </w:pPr>
      <m:oMathPara>
        <m:oMath>
          <m:r>
            <m:t>Ū = ( 𝒰 − ess inf 𝒰 ) / ( ess sup 𝒰 − ess inf 𝒰 )</m:t>
          </m:r>
        </m:oMath>
      </m:oMathPara>
    </w:p>
    <w:p>
      <w:bookmarkStart w:id="52968" w:name="eq3_2"/>
      <w:pPr>
        <w:spacing w:line="288" w:lineRule="auto" w:after="120"/>
        <w:jc w:val="right"/>
      </w:pPr>
      <w:r>
        <w:rPr>
          <w:sz w:val="22"/>
        </w:rPr>
        <w:t>(3.2)</w:t>
      </w:r>
      <w:bookmarkEnd w:id="52968"/>
    </w:p>
    <w:p>
      <w:pPr>
        <w:spacing w:line="288" w:lineRule="auto" w:after="120"/>
      </w:pPr>
      <w:r>
        <w:rPr>
          <w:b w:val="0"/>
          <w:i w:val="0"/>
          <w:sz w:val="22"/>
        </w:rPr>
        <w:t>Models analogous to (2.1)–(2.2) apply with D=max{−U,0}.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3.1 Axioms (formal). U1 Non‑negativity; U2 Monotonicity in D; U3 Rarity amplification; U4 Information collapse; U5 Measurability; U6 Lipschitz regularity; U7 Identifiability; U8 Calibration compatibility.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3.2 Stability. If U varies within a compact set and partials exist and are bounded, then 𝒰 varies O(|ΔU|); similar for P,H,S.</w:t>
      </w:r>
    </w:p>
    <w:p>
      <w:pPr>
        <w:spacing w:line="288" w:lineRule="auto" w:after="120"/>
      </w:pPr>
      <w:r>
        <w:rPr>
          <w:b w:val="0"/>
          <w:i w:val="0"/>
          <w:sz w:val="22"/>
        </w:rPr>
        <w:t>3.3 ERM consistency. Under GC/ULLN of {ℓ(𝒰̂_θ,y): θ∈Θ}, compact Θ and continuity, empirical minimizers converge to population minimizers.</w:t>
      </w:r>
    </w:p>
    <w:p>
      <w:pPr>
        <w:spacing w:line="288" w:lineRule="auto" w:after="120"/>
      </w:pPr>
      <w:r>
        <w:rPr>
          <w:b/>
          <w:i w:val="0"/>
          <w:sz w:val="32"/>
        </w:rPr>
        <w:t>4. Unified Luck–Unluck</w:t>
      </w:r>
    </w:p>
    <w:p>
      <w:pPr>
        <w:spacing w:line="288" w:lineRule="auto" w:after="120"/>
      </w:pPr>
      <m:oMathPara>
        <m:oMath>
          <m:r>
            <m:t>𝓛_Θ = ϕ_Θ( L^+_{θ_1}(U^+,H,S,1−P) ) − ψ_Θ( 𝒰_{θ_2}(U^−,H,S,1−P) )</m:t>
          </m:r>
        </m:oMath>
      </m:oMathPara>
    </w:p>
    <w:p>
      <w:bookmarkStart w:id="23231" w:name="eq4_1"/>
      <w:pPr>
        <w:spacing w:line="288" w:lineRule="auto" w:after="120"/>
        <w:jc w:val="right"/>
      </w:pPr>
      <w:r>
        <w:rPr>
          <w:sz w:val="22"/>
        </w:rPr>
        <w:t>(4.1)</w:t>
      </w:r>
      <w:bookmarkEnd w:id="23231"/>
    </w:p>
    <w:p>
      <w:pPr>
        <w:spacing w:line="288" w:lineRule="auto" w:after="120"/>
      </w:pPr>
      <m:oMathPara>
        <m:oMath>
          <m:r>
            <m:t>𝓛̂ = ( 𝓛 − ess inf 𝓛 ) / ( ess sup 𝓛 − ess inf 𝓛 ) · 2 − 1</m:t>
          </m:r>
        </m:oMath>
      </m:oMathPara>
    </w:p>
    <w:p>
      <w:bookmarkStart w:id="74803" w:name="eq4_2"/>
      <w:pPr>
        <w:spacing w:line="288" w:lineRule="auto" w:after="120"/>
        <w:jc w:val="right"/>
      </w:pPr>
      <w:r>
        <w:rPr>
          <w:sz w:val="22"/>
        </w:rPr>
        <w:t>(4.2)</w:t>
      </w:r>
      <w:bookmarkEnd w:id="74803"/>
    </w:p>
    <w:p>
      <w:pPr>
        <w:spacing w:line="288" w:lineRule="auto" w:after="120"/>
      </w:pPr>
      <w:r>
        <w:rPr>
          <w:b w:val="0"/>
          <w:i w:val="0"/>
          <w:sz w:val="22"/>
        </w:rPr>
        <w:t>With ϕ=ψ=id, 𝓛 = L^+ − 𝒰 is centered; normalization (4.2) maps to [−1,1] for cross‑domain comparison.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4.1 Identification. If ϕ,ψ strictly increasing and (θ₁,θ₂)≠(θ₁′,θ₂′) induce distinct population risks on a rich family of tasks, then (θ₁,θ₂) is identifiable up to score‑preserving transforms.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4.2 Calibration and properness. Using strictly proper scoring rules on 𝓛̂ yields truthful probability calibration for latent components when ϕ,ψ are monotone links; Brier and Log‑loss act as convex surrogates for ERM.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gneiting2007&quot; ">
        <w:r>
          <w:t>Gneiting &amp; Raftery (2007)</w:t>
        </w:r>
      </w:fldSimple>
      <w:r>
        <w:t xml:space="preserve">; </w:t>
      </w:r>
      <w:fldSimple w:instr="HYPERLINK \l &quot;ref_murphy1973&quot; ">
        <w:r>
          <w:t>Murphy (1973)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4.3 Robustness. Local Lipschitzness of L^+,𝒰 transfers to 𝓛; small errors in P,H,S, or U map to bounded deviations in 𝓛̂ with constants depending on ϕ,ψ.</w:t>
      </w:r>
    </w:p>
    <w:p>
      <w:pPr>
        <w:spacing w:line="288" w:lineRule="auto" w:after="120"/>
      </w:pPr>
      <w:r>
        <w:rPr>
          <w:b/>
          <w:i w:val="0"/>
          <w:sz w:val="32"/>
        </w:rPr>
        <w:t>5. Estimation, GC/ULLN, and Calibration</w:t>
      </w:r>
    </w:p>
    <w:p>
      <w:pPr>
        <w:spacing w:line="288" w:lineRule="auto" w:after="120"/>
      </w:pPr>
      <w:r>
        <w:rPr>
          <w:sz w:val="21"/>
        </w:rPr>
        <w:t xml:space="preserve">Citations: </w:t>
      </w:r>
      <w:fldSimple w:instr="HYPERLINK \l &quot;ref_vander1998&quot; ">
        <w:r>
          <w:t>van der Vaart (1998)</w:t>
        </w:r>
      </w:fldSimple>
      <w:r>
        <w:t xml:space="preserve">; </w:t>
      </w:r>
      <w:fldSimple w:instr="HYPERLINK \l &quot;ref_vander1996&quot; ">
        <w:r>
          <w:t>van der Vaart &amp; Wellner (1996)</w:t>
        </w:r>
      </w:fldSimple>
      <w:r>
        <w:t xml:space="preserve">; </w:t>
      </w:r>
      <w:fldSimple w:instr="HYPERLINK \l &quot;ref_shapiro2009&quot; ">
        <w:r>
          <w:t>Shapiro et al. (2009)</w:t>
        </w:r>
      </w:fldSimple>
      <w:r>
        <w:t>.</w:t>
      </w:r>
    </w:p>
    <w:p>
      <w:pPr>
        <w:spacing w:line="288" w:lineRule="auto" w:after="120"/>
      </w:pPr>
      <w:r>
        <w:rPr>
          <w:b w:val="0"/>
          <w:i w:val="0"/>
          <w:sz w:val="22"/>
        </w:rPr>
        <w:t>Estimate Θ by ERM on Lipschitz losses ℓ(𝓛̂,y). Under GC function classes and compact Θ with continuous losses, ULLN gives uniform convergence of empirical to population risk; argmin consistency follows under identifiability.</w:t>
      </w:r>
    </w:p>
    <w:p>
      <w:pPr>
        <w:spacing w:line="288" w:lineRule="auto" w:after="120"/>
      </w:pPr>
      <w:r>
        <w:rPr>
          <w:b w:val="0"/>
          <w:i/>
          <w:sz w:val="20"/>
        </w:rPr>
        <w:t>(Background: van der Vaart, 1998; van der Vaart &amp; Wellner, 1996; Shapiro et al., 2009.)</w:t>
      </w:r>
    </w:p>
    <w:p>
      <w:pPr>
        <w:spacing w:line="288" w:lineRule="auto" w:after="120"/>
      </w:pPr>
      <w:r>
        <w:rPr>
          <w:b/>
          <w:i w:val="0"/>
          <w:sz w:val="32"/>
        </w:rPr>
        <w:t>6. Applications (Unified 𝓛, text‑only)</w:t>
      </w:r>
    </w:p>
    <w:p>
      <w:pPr>
        <w:spacing w:line="288" w:lineRule="auto" w:after="120"/>
      </w:pPr>
      <w:r>
        <w:rPr>
          <w:b/>
          <w:i w:val="0"/>
          <w:sz w:val="26"/>
        </w:rPr>
        <w:t>6.1 Slots (low‑vol vs high‑vol)</w:t>
      </w:r>
    </w:p>
    <w:p>
      <w:pPr>
        <w:spacing w:line="288" w:lineRule="auto" w:after="120"/>
      </w:pPr>
      <w:r>
        <w:rPr>
          <w:b w:val="0"/>
          <w:i w:val="0"/>
          <w:sz w:val="22"/>
        </w:rPr>
        <w:t>Set U as net ROI per spin; P as feature/hit probability; H from payout distribution entropy; S=−log P.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1 \h ">
        <w:r>
          <w:t>(2.1)</w:t>
        </w:r>
      </w:fldSimple>
      <w:r>
        <w:rPr>
          <w:sz w:val="21"/>
        </w:rPr>
        <w:t xml:space="preserve"> for the multiplicative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per </w:t>
      </w:r>
      <w:fldSimple w:instr=" REF eq3_1 \h ">
        <w:r>
          <w:t>(3.1)</w:t>
        </w:r>
      </w:fldSimple>
      <w:r>
        <w:rPr>
          <w:sz w:val="21"/>
        </w:rPr>
        <w:t xml:space="preserve">; unluck normalization per </w:t>
      </w:r>
      <w:fldSimple w:instr=" REF eq3_2 \h ">
        <w:r>
          <w:t>(3.2)</w:t>
        </w:r>
      </w:fldSimple>
      <w:r>
        <w:rPr>
          <w:sz w:val="21"/>
        </w:rPr>
        <w:t xml:space="preserve">; order invariance: see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Low‑vol small hit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+0.05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1.386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0.028</w:t>
            </w:r>
          </w:p>
        </w:tc>
        <w:tc>
          <w:tcPr>
            <w:tcW w:type="dxa" w:w="960"/>
          </w:tcPr>
          <w:p>
            <w:r>
              <w:t>-0.788</w:t>
            </w:r>
          </w:p>
        </w:tc>
      </w:tr>
      <w:tr>
        <w:tc>
          <w:tcPr>
            <w:tcW w:type="dxa" w:w="960"/>
          </w:tcPr>
          <w:p>
            <w:r>
              <w:t>Low‑vol miss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0.746</w:t>
            </w:r>
          </w:p>
        </w:tc>
        <w:tc>
          <w:tcPr>
            <w:tcW w:type="dxa" w:w="960"/>
          </w:tcPr>
          <w:p>
            <w:r>
              <w:t>0.288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0.187</w:t>
            </w:r>
          </w:p>
        </w:tc>
        <w:tc>
          <w:tcPr>
            <w:tcW w:type="dxa" w:w="960"/>
          </w:tcPr>
          <w:p>
            <w:r>
              <w:t>-0.187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High‑vol big hit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+5.00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3.912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1.838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High‑vol dry spin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0.375</w:t>
            </w:r>
          </w:p>
        </w:tc>
        <w:tc>
          <w:tcPr>
            <w:tcW w:type="dxa" w:w="960"/>
          </w:tcPr>
          <w:p>
            <w:r>
              <w:t>0.020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0.008</w:t>
            </w:r>
          </w:p>
        </w:tc>
        <w:tc>
          <w:tcPr>
            <w:tcW w:type="dxa" w:w="960"/>
          </w:tcPr>
          <w:p>
            <w:r>
              <w:t>-0.008</w:t>
            </w:r>
          </w:p>
        </w:tc>
        <w:tc>
          <w:tcPr>
            <w:tcW w:type="dxa" w:w="960"/>
          </w:tcPr>
          <w:p>
            <w:r>
              <w:t>-0.823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6.2 Football (Super League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points from a bet (+1 correct, −1 else) or match points; P is model probability for realized outcome; H is entropy over {H,D,A}.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misses per </w:t>
      </w:r>
      <w:fldSimple w:instr=" REF eq3_1 \h ">
        <w:r>
          <w:t>(3.1)</w:t>
        </w:r>
      </w:fldSimple>
      <w:r>
        <w:rPr>
          <w:sz w:val="21"/>
        </w:rPr>
        <w:t xml:space="preserve">; ranking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Home favorite wins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+0.200</w:t>
            </w:r>
          </w:p>
        </w:tc>
      </w:tr>
      <w:tr>
        <w:tc>
          <w:tcPr>
            <w:tcW w:type="dxa" w:w="960"/>
          </w:tcPr>
          <w:p>
            <w:r>
              <w:t>Draw upset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1.065</w:t>
            </w:r>
          </w:p>
        </w:tc>
        <w:tc>
          <w:tcPr>
            <w:tcW w:type="dxa" w:w="960"/>
          </w:tcPr>
          <w:p>
            <w:r>
              <w:t>1.427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0.809</w:t>
            </w:r>
          </w:p>
        </w:tc>
        <w:tc>
          <w:tcPr>
            <w:tcW w:type="dxa" w:w="960"/>
          </w:tcPr>
          <w:p>
            <w:r>
              <w:t>+0.985</w:t>
            </w:r>
          </w:p>
        </w:tc>
      </w:tr>
      <w:tr>
        <w:tc>
          <w:tcPr>
            <w:tcW w:type="dxa" w:w="960"/>
          </w:tcPr>
          <w:p>
            <w:r>
              <w:t>Away underdog shock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0.998</w:t>
            </w:r>
          </w:p>
        </w:tc>
        <w:tc>
          <w:tcPr>
            <w:tcW w:type="dxa" w:w="960"/>
          </w:tcPr>
          <w:p>
            <w:r>
              <w:t>1.715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0.818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Favorite loses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0.923</w:t>
            </w:r>
          </w:p>
        </w:tc>
        <w:tc>
          <w:tcPr>
            <w:tcW w:type="dxa" w:w="960"/>
          </w:tcPr>
          <w:p>
            <w:r>
              <w:t>0.478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0.351</w:t>
            </w:r>
          </w:p>
        </w:tc>
        <w:tc>
          <w:tcPr>
            <w:tcW w:type="dxa" w:w="960"/>
          </w:tcPr>
          <w:p>
            <w:r>
              <w:t>-0.351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6.3 Equities (SPX/AAPL daily)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Let U be next‑day return (or utility‑weighted payoff); P is model probability of positive return; H entropy over {up,down}; S=−log P for realized side.</w:t>
      </w:r>
    </w:p>
    <w:p>
      <w:pPr>
        <w:spacing w:line="288" w:lineRule="auto"/>
      </w:pPr>
      <w:r>
        <w:rPr>
          <w:sz w:val="21"/>
        </w:rPr>
        <w:t xml:space="preserve">(See </w:t>
      </w:r>
      <w:fldSimple w:instr=" REf eq2_2 \h ">
        <w:r>
          <w:t>(2.2)</w:t>
        </w:r>
      </w:fldSimple>
      <w:r>
        <w:rPr>
          <w:sz w:val="21"/>
        </w:rPr>
        <w:t xml:space="preserve"> for the logistic head and </w:t>
      </w:r>
      <w:fldSimple w:instr=" REf eq4_2 \h ">
        <w:r>
          <w:t>(4.2)</w:t>
        </w:r>
      </w:fldSimple>
      <w:r>
        <w:rPr>
          <w:sz w:val="21"/>
        </w:rPr>
        <w:t xml:space="preserve"> for normalization.)</w:t>
      </w:r>
    </w:p>
    <w:p>
      <w:pPr>
        <w:spacing w:line="288" w:lineRule="auto"/>
      </w:pPr>
      <w:r>
        <w:rPr>
          <w:sz w:val="21"/>
        </w:rPr>
        <w:t xml:space="preserve">(Downside losses per </w:t>
      </w:r>
      <w:fldSimple w:instr=" REF eq3_1 \h ">
        <w:r>
          <w:t>(3.1)</w:t>
        </w:r>
      </w:fldSimple>
      <w:r>
        <w:rPr>
          <w:sz w:val="21"/>
        </w:rPr>
        <w:t xml:space="preserve">; information collapse &amp; L¹ control: </w:t>
      </w:r>
      <w:fldSimple w:instr=" REF thm2_5 \h ">
        <w:r>
          <w:t>Theorem 2.5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Up day, moderate confidence</w:t>
            </w:r>
          </w:p>
        </w:tc>
        <w:tc>
          <w:tcPr>
            <w:tcW w:type="dxa" w:w="960"/>
          </w:tcPr>
          <w:p>
            <w:r>
              <w:t>0.60</w:t>
            </w:r>
          </w:p>
        </w:tc>
        <w:tc>
          <w:tcPr>
            <w:tcW w:type="dxa" w:w="960"/>
          </w:tcPr>
          <w:p>
            <w:r>
              <w:t>+0.008</w:t>
            </w:r>
          </w:p>
        </w:tc>
        <w:tc>
          <w:tcPr>
            <w:tcW w:type="dxa" w:w="960"/>
          </w:tcPr>
          <w:p>
            <w:r>
              <w:t>0.673</w:t>
            </w:r>
          </w:p>
        </w:tc>
        <w:tc>
          <w:tcPr>
            <w:tcW w:type="dxa" w:w="960"/>
          </w:tcPr>
          <w:p>
            <w:r>
              <w:t>0.511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0.0022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Down day, miss</w:t>
            </w:r>
          </w:p>
        </w:tc>
        <w:tc>
          <w:tcPr>
            <w:tcW w:type="dxa" w:w="960"/>
          </w:tcPr>
          <w:p>
            <w:r>
              <w:t>0.65</w:t>
            </w:r>
          </w:p>
        </w:tc>
        <w:tc>
          <w:tcPr>
            <w:tcW w:type="dxa" w:w="960"/>
          </w:tcPr>
          <w:p>
            <w:r>
              <w:t>-0.010</w:t>
            </w:r>
          </w:p>
        </w:tc>
        <w:tc>
          <w:tcPr>
            <w:tcW w:type="dxa" w:w="960"/>
          </w:tcPr>
          <w:p>
            <w:r>
              <w:t>0.647</w:t>
            </w:r>
          </w:p>
        </w:tc>
        <w:tc>
          <w:tcPr>
            <w:tcW w:type="dxa" w:w="960"/>
          </w:tcPr>
          <w:p>
            <w:r>
              <w:t>0.431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0.0023</w:t>
            </w:r>
          </w:p>
        </w:tc>
        <w:tc>
          <w:tcPr>
            <w:tcW w:type="dxa" w:w="960"/>
          </w:tcPr>
          <w:p>
            <w:r>
              <w:t>-0.0023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  <w:tr>
        <w:tc>
          <w:tcPr>
            <w:tcW w:type="dxa" w:w="960"/>
          </w:tcPr>
          <w:p>
            <w:r>
              <w:t>Up day, low confidence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+0.006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0.654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0.0000</w:t>
            </w:r>
          </w:p>
        </w:tc>
        <w:tc>
          <w:tcPr>
            <w:tcW w:type="dxa" w:w="960"/>
          </w:tcPr>
          <w:p>
            <w:r>
              <w:t>0.0020</w:t>
            </w:r>
          </w:p>
        </w:tc>
        <w:tc>
          <w:tcPr>
            <w:tcW w:type="dxa" w:w="960"/>
          </w:tcPr>
          <w:p>
            <w:r>
              <w:t>+0.928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6.4 Roulette (EU/US even‑money)</w:t>
      </w:r>
    </w:p>
    <w:p>
      <w:pPr>
        <w:spacing w:line="288" w:lineRule="auto" w:after="120"/>
      </w:pPr>
      <w:r>
        <w:rPr>
          <w:b w:val="0"/>
          <w:i w:val="0"/>
          <w:sz w:val="22"/>
        </w:rPr>
        <w:t>U is net units per spin; EU single‑zero even‑money EV≈−1/37, US double‑zero EV≈−2/38. P is win prob; H from {win,lose}.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exposure per </w:t>
      </w:r>
      <w:fldSimple w:instr=" REF eq3_1 \h ">
        <w:r>
          <w:t>(3.1)</w:t>
        </w:r>
      </w:fldSimple>
      <w:r>
        <w:rPr>
          <w:sz w:val="21"/>
        </w:rPr>
        <w:t xml:space="preserve">; order invariance: </w:t>
      </w:r>
      <w:fldSimple w:instr=" REF thm2_4 \h ">
        <w:r>
          <w:t>Theorem 2.4</w:t>
        </w:r>
      </w:fldSimple>
      <w:r>
        <w:rPr>
          <w:sz w:val="21"/>
        </w:rPr>
        <w:t>.)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Scenario</w:t>
            </w:r>
          </w:p>
        </w:tc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U</w:t>
            </w:r>
          </w:p>
        </w:tc>
        <w:tc>
          <w:tcPr>
            <w:tcW w:type="dxa" w:w="960"/>
          </w:tcPr>
          <w:p>
            <w:r>
              <w:t>H</w:t>
            </w:r>
          </w:p>
        </w:tc>
        <w:tc>
          <w:tcPr>
            <w:tcW w:type="dxa" w:w="960"/>
          </w:tcPr>
          <w:p>
            <w:r>
              <w:t>S</w:t>
            </w:r>
          </w:p>
        </w:tc>
        <w:tc>
          <w:tcPr>
            <w:tcW w:type="dxa" w:w="960"/>
          </w:tcPr>
          <w:p>
            <w:r>
              <w:t>Luck⁺</w:t>
            </w:r>
          </w:p>
        </w:tc>
        <w:tc>
          <w:tcPr>
            <w:tcW w:type="dxa" w:w="960"/>
          </w:tcPr>
          <w:p>
            <w:r>
              <w:t>Unluck⁻</w:t>
            </w:r>
          </w:p>
        </w:tc>
        <w:tc>
          <w:tcPr>
            <w:tcW w:type="dxa" w:w="960"/>
          </w:tcPr>
          <w:p>
            <w:r>
              <w:t>𝓛</w:t>
            </w:r>
          </w:p>
        </w:tc>
        <w:tc>
          <w:tcPr>
            <w:tcW w:type="dxa" w:w="960"/>
          </w:tcPr>
          <w:p>
            <w:r>
              <w:t>𝓛̂</w:t>
            </w:r>
          </w:p>
        </w:tc>
      </w:tr>
      <w:tr>
        <w:tc>
          <w:tcPr>
            <w:tcW w:type="dxa" w:w="960"/>
          </w:tcPr>
          <w:p>
            <w:r>
              <w:t>EU win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+1.00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+1.000</w:t>
            </w:r>
          </w:p>
        </w:tc>
      </w:tr>
      <w:tr>
        <w:tc>
          <w:tcPr>
            <w:tcW w:type="dxa" w:w="960"/>
          </w:tcPr>
          <w:p>
            <w:r>
              <w:t>EU loss</w:t>
            </w:r>
          </w:p>
        </w:tc>
        <w:tc>
          <w:tcPr>
            <w:tcW w:type="dxa" w:w="960"/>
          </w:tcPr>
          <w:p>
            <w:r>
              <w:t>0.486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0.693</w:t>
            </w:r>
          </w:p>
        </w:tc>
        <w:tc>
          <w:tcPr>
            <w:tcW w:type="dxa" w:w="960"/>
          </w:tcPr>
          <w:p>
            <w:r>
              <w:t>0.721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0.356</w:t>
            </w:r>
          </w:p>
        </w:tc>
        <w:tc>
          <w:tcPr>
            <w:tcW w:type="dxa" w:w="960"/>
          </w:tcPr>
          <w:p>
            <w:r>
              <w:t>-0.356</w:t>
            </w:r>
          </w:p>
        </w:tc>
        <w:tc>
          <w:tcPr>
            <w:tcW w:type="dxa" w:w="960"/>
          </w:tcPr>
          <w:p>
            <w:r>
              <w:t>-0.977</w:t>
            </w:r>
          </w:p>
        </w:tc>
      </w:tr>
      <w:tr>
        <w:tc>
          <w:tcPr>
            <w:tcW w:type="dxa" w:w="960"/>
          </w:tcPr>
          <w:p>
            <w:r>
              <w:t>US loss</w:t>
            </w:r>
          </w:p>
        </w:tc>
        <w:tc>
          <w:tcPr>
            <w:tcW w:type="dxa" w:w="960"/>
          </w:tcPr>
          <w:p>
            <w:r>
              <w:t>0.474</w:t>
            </w:r>
          </w:p>
        </w:tc>
        <w:tc>
          <w:tcPr>
            <w:tcW w:type="dxa" w:w="960"/>
          </w:tcPr>
          <w:p>
            <w:r>
              <w:t>-1.00</w:t>
            </w:r>
          </w:p>
        </w:tc>
        <w:tc>
          <w:tcPr>
            <w:tcW w:type="dxa" w:w="960"/>
          </w:tcPr>
          <w:p>
            <w:r>
              <w:t>0.692</w:t>
            </w:r>
          </w:p>
        </w:tc>
        <w:tc>
          <w:tcPr>
            <w:tcW w:type="dxa" w:w="960"/>
          </w:tcPr>
          <w:p>
            <w:r>
              <w:t>0.747</w:t>
            </w:r>
          </w:p>
        </w:tc>
        <w:tc>
          <w:tcPr>
            <w:tcW w:type="dxa" w:w="960"/>
          </w:tcPr>
          <w:p>
            <w:r>
              <w:t>0.000</w:t>
            </w:r>
          </w:p>
        </w:tc>
        <w:tc>
          <w:tcPr>
            <w:tcW w:type="dxa" w:w="960"/>
          </w:tcPr>
          <w:p>
            <w:r>
              <w:t>0.364</w:t>
            </w:r>
          </w:p>
        </w:tc>
        <w:tc>
          <w:tcPr>
            <w:tcW w:type="dxa" w:w="960"/>
          </w:tcPr>
          <w:p>
            <w:r>
              <w:t>-0.364</w:t>
            </w:r>
          </w:p>
        </w:tc>
        <w:tc>
          <w:tcPr>
            <w:tcW w:type="dxa" w:w="960"/>
          </w:tcPr>
          <w:p>
            <w:r>
              <w:t>-1.000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26"/>
        </w:rPr>
        <w:t>6.5 Lottery (OPAP Joker)</w:t>
      </w:r>
    </w:p>
    <w:p>
      <w:pPr>
        <w:spacing w:line="288" w:lineRule="auto" w:after="120"/>
      </w:pPr>
      <w:r>
        <w:rPr>
          <w:b w:val="0"/>
          <w:i w:val="0"/>
          <w:sz w:val="22"/>
        </w:rPr>
        <w:t>Single‑column jackpot probability p⋆ = 1 / ( C(45,5) · 20 ). For N sold columns, Pr(≥1 jackpot) = 1 − (1 − p⋆)^N. Set U as payout minus stake for the realized outcome; S=−log p; H is entropy over outcomes.</w:t>
      </w:r>
    </w:p>
    <w:p>
      <w:pPr>
        <w:spacing w:line="288" w:lineRule="auto"/>
      </w:pPr>
      <w:r>
        <w:rPr>
          <w:sz w:val="21"/>
        </w:rPr>
        <w:t xml:space="preserve">(Unified composition per </w:t>
      </w:r>
      <w:fldSimple w:instr=" REf eq4_1 \h ">
        <w:r>
          <w:t>(4.1)</w:t>
        </w:r>
      </w:fldSimple>
      <w:r>
        <w:rPr>
          <w:sz w:val="21"/>
        </w:rPr>
        <w:t xml:space="preserve">; normalization per </w:t>
      </w:r>
      <w:fldSimple w:instr=" REf eq4_2 \h ">
        <w:r>
          <w:t>(4.2)</w:t>
        </w:r>
      </w:fldSimple>
      <w:r>
        <w:rPr>
          <w:sz w:val="21"/>
        </w:rPr>
        <w:t>.)</w:t>
      </w:r>
    </w:p>
    <w:p>
      <w:pPr>
        <w:spacing w:line="288" w:lineRule="auto"/>
      </w:pPr>
      <w:r>
        <w:rPr>
          <w:sz w:val="21"/>
        </w:rPr>
        <w:t xml:space="preserve">(Downside tail per </w:t>
      </w:r>
      <w:fldSimple w:instr=" REF eq3_1 \h ">
        <w:r>
          <w:t>(3.1)</w:t>
        </w:r>
      </w:fldSimple>
      <w:r>
        <w:rPr>
          <w:sz w:val="21"/>
        </w:rPr>
        <w:t xml:space="preserve">; convergence under UI: </w:t>
      </w:r>
      <w:fldSimple w:instr=" REF thm2_5 \h ">
        <w:r>
          <w:t>Theorem 2.5</w:t>
        </w:r>
      </w:fldSimple>
      <w:r>
        <w:rPr>
          <w:sz w:val="21"/>
        </w:rPr>
        <w:t>.)</w:t>
      </w:r>
    </w:p>
    <w:p>
      <w:pPr>
        <w:spacing w:line="288" w:lineRule="auto" w:after="120"/>
      </w:pPr>
      <w:r>
        <w:rPr>
          <w:b w:val="0"/>
          <w:i/>
          <w:sz w:val="21"/>
        </w:rPr>
        <w:t>Numerics: p⋆ ≈ 4.09246013e-08 (C(45,5)=1,221,759 → ×20=24,435,180). For N=5,000,000, Pr(≥1 jackpot) ≈ 18.505%.</w:t>
      </w:r>
    </w:p>
    <w:p>
      <w:pPr>
        <w:spacing w:line="288" w:lineRule="auto" w:after="120"/>
      </w:pPr>
      <w:r>
        <w:rPr>
          <w:b/>
          <w:i w:val="0"/>
          <w:sz w:val="32"/>
        </w:rPr>
        <w:t>Appendix A — Notation &amp; Symbols (text‑only)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Symbol</w:t>
            </w:r>
          </w:p>
        </w:tc>
        <w:tc>
          <w:tcPr>
            <w:tcW w:type="dxa" w:w="4320"/>
          </w:tcPr>
          <w:p>
            <w:r>
              <w:t>Meaning</w:t>
            </w:r>
          </w:p>
        </w:tc>
      </w:tr>
      <w:tr>
        <w:tc>
          <w:tcPr>
            <w:tcW w:type="dxa" w:w="4320"/>
          </w:tcPr>
          <w:p>
            <w:r>
              <w:t>U</w:t>
            </w:r>
          </w:p>
        </w:tc>
        <w:tc>
          <w:tcPr>
            <w:tcW w:type="dxa" w:w="4320"/>
          </w:tcPr>
          <w:p>
            <w:r>
              <w:t>Utility (positive upside)</w:t>
            </w:r>
          </w:p>
        </w:tc>
      </w:tr>
      <w:tr>
        <w:tc>
          <w:tcPr>
            <w:tcW w:type="dxa" w:w="4320"/>
          </w:tcPr>
          <w:p>
            <w:r>
              <w:t>D</w:t>
            </w:r>
          </w:p>
        </w:tc>
        <w:tc>
          <w:tcPr>
            <w:tcW w:type="dxa" w:w="4320"/>
          </w:tcPr>
          <w:p>
            <w:r>
              <w:t>Disutility = max{−U,0}</w:t>
            </w:r>
          </w:p>
        </w:tc>
      </w:tr>
      <w:tr>
        <w:tc>
          <w:tcPr>
            <w:tcW w:type="dxa" w:w="4320"/>
          </w:tcPr>
          <w:p>
            <w:r>
              <w:t>P</w:t>
            </w:r>
          </w:p>
        </w:tc>
        <w:tc>
          <w:tcPr>
            <w:tcW w:type="dxa" w:w="4320"/>
          </w:tcPr>
          <w:p>
            <w:r>
              <w:t>Probability of realized event</w:t>
            </w:r>
          </w:p>
        </w:tc>
      </w:tr>
      <w:tr>
        <w:tc>
          <w:tcPr>
            <w:tcW w:type="dxa" w:w="4320"/>
          </w:tcPr>
          <w:p>
            <w:r>
              <w:t>S</w:t>
            </w:r>
          </w:p>
        </w:tc>
        <w:tc>
          <w:tcPr>
            <w:tcW w:type="dxa" w:w="4320"/>
          </w:tcPr>
          <w:p>
            <w:r>
              <w:t>Surprisal = −log P</w:t>
            </w:r>
          </w:p>
        </w:tc>
      </w:tr>
      <w:tr>
        <w:tc>
          <w:tcPr>
            <w:tcW w:type="dxa" w:w="4320"/>
          </w:tcPr>
          <w:p>
            <w:r>
              <w:t>H</w:t>
            </w:r>
          </w:p>
        </w:tc>
        <w:tc>
          <w:tcPr>
            <w:tcW w:type="dxa" w:w="4320"/>
          </w:tcPr>
          <w:p>
            <w:r>
              <w:t>Information scale (entropy proxy)</w:t>
            </w:r>
          </w:p>
        </w:tc>
      </w:tr>
      <w:tr>
        <w:tc>
          <w:tcPr>
            <w:tcW w:type="dxa" w:w="4320"/>
          </w:tcPr>
          <w:p>
            <w:r>
              <w:t>L^+</w:t>
            </w:r>
          </w:p>
        </w:tc>
        <w:tc>
          <w:tcPr>
            <w:tcW w:type="dxa" w:w="4320"/>
          </w:tcPr>
          <w:p>
            <w:r>
              <w:t>Luck (upside)</w:t>
            </w:r>
          </w:p>
        </w:tc>
      </w:tr>
      <w:tr>
        <w:tc>
          <w:tcPr>
            <w:tcW w:type="dxa" w:w="4320"/>
          </w:tcPr>
          <w:p>
            <w:r>
              <w:t>𝒰</w:t>
            </w:r>
          </w:p>
        </w:tc>
        <w:tc>
          <w:tcPr>
            <w:tcW w:type="dxa" w:w="4320"/>
          </w:tcPr>
          <w:p>
            <w:r>
              <w:t>Unluck (downside)</w:t>
            </w:r>
          </w:p>
        </w:tc>
      </w:tr>
      <w:tr>
        <w:tc>
          <w:tcPr>
            <w:tcW w:type="dxa" w:w="4320"/>
          </w:tcPr>
          <w:p>
            <w:r>
              <w:t>𝓛</w:t>
            </w:r>
          </w:p>
        </w:tc>
        <w:tc>
          <w:tcPr>
            <w:tcW w:type="dxa" w:w="4320"/>
          </w:tcPr>
          <w:p>
            <w:r>
              <w:t>Unified score = L^+ − 𝒰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B — Explanatory Notes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Applied notes paired with terse theoretical remarks and mini I/O tables.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(α,β,γ,δ)=(1,1,1,0); P=0.2; U=1.5; H=1.1</w:t>
            </w:r>
          </w:p>
        </w:tc>
        <w:tc>
          <w:tcPr>
            <w:tcW w:type="dxa" w:w="4320"/>
          </w:tcPr>
          <w:p>
            <w:r>
              <w:t>L≈1.32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Inputs</w:t>
            </w:r>
          </w:p>
        </w:tc>
        <w:tc>
          <w:tcPr>
            <w:tcW w:type="dxa" w:w="4320"/>
          </w:tcPr>
          <w:p>
            <w:r>
              <w:t>Output</w:t>
            </w:r>
          </w:p>
        </w:tc>
      </w:tr>
      <w:tr>
        <w:tc>
          <w:tcPr>
            <w:tcW w:type="dxa" w:w="4320"/>
          </w:tcPr>
          <w:p>
            <w:r>
              <w:t>U=0.8; H=1.39; S=1.386; (a,b,c,d)=(1,0.5,0.2,0) [logistic]</w:t>
            </w:r>
          </w:p>
        </w:tc>
        <w:tc>
          <w:tcPr>
            <w:tcW w:type="dxa" w:w="4320"/>
          </w:tcPr>
          <w:p>
            <w:r>
              <w:t>σ(1.85)≈0.864</w:t>
            </w:r>
          </w:p>
        </w:tc>
      </w:tr>
      <w:tr>
        <w:tc>
          <w:tcPr>
            <w:tcW w:type="dxa" w:w="4320"/>
          </w:tcPr>
          <w:p>
            <w:r>
              <w:t>λ=0.7; P=0.2; U=1.5; H=1.1; S=1.609</w:t>
            </w:r>
          </w:p>
        </w:tc>
        <w:tc>
          <w:tcPr>
            <w:tcW w:type="dxa" w:w="4320"/>
          </w:tcPr>
          <w:p>
            <w:r>
              <w:t>L≈1.68</w:t>
            </w:r>
          </w:p>
        </w:tc>
      </w:tr>
    </w:tbl>
    <w:p>
      <w:pPr>
        <w:spacing w:line="288" w:lineRule="auto" w:after="120"/>
      </w:pPr>
      <w:r>
        <w:rPr>
          <w:b/>
          <w:i w:val="0"/>
          <w:sz w:val="32"/>
        </w:rPr>
        <w:t>Appendix C — Lottery (OPAP Joker)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Formulas: p⋆=1/(C(45,5)·20); rollover probability 1−(1−p⋆)^N; calibration via deciles of predicted jackpot incidence.</w:t>
      </w:r>
    </w:p>
    <w:p>
      <w:pPr>
        <w:spacing w:line="288" w:lineRule="auto" w:after="120"/>
      </w:pPr>
      <w:r>
        <w:rPr>
          <w:b/>
          <w:i w:val="0"/>
          <w:sz w:val="32"/>
        </w:rPr>
        <w:t>Appendix D — Slots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Compare low‑vol vs high‑vol: PMFs, ROI distributions, and risk of ruin (tables only here).</w:t>
      </w:r>
    </w:p>
    <w:p>
      <w:pPr>
        <w:spacing w:line="288" w:lineRule="auto" w:after="120"/>
      </w:pPr>
      <w:r>
        <w:rPr>
          <w:b/>
          <w:i w:val="0"/>
          <w:sz w:val="32"/>
        </w:rPr>
        <w:t>Appendix E — Roulette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House edges: EU ≈ −1/37; US ≈ −2/38; La Partage vs En Prison equivalence on expectation.</w:t>
      </w:r>
    </w:p>
    <w:p>
      <w:pPr>
        <w:spacing w:line="288" w:lineRule="auto" w:after="120"/>
      </w:pPr>
      <w:r>
        <w:rPr>
          <w:b/>
          <w:i w:val="0"/>
          <w:sz w:val="32"/>
        </w:rPr>
        <w:t>Appendix F — Football (text‑only baseline)</w:t>
      </w:r>
    </w:p>
    <w:p>
      <w:pPr>
        <w:spacing w:line="288" w:lineRule="auto" w:after="120"/>
      </w:pPr>
      <w:r>
        <w:rPr>
          <w:b w:val="0"/>
          <w:i w:val="0"/>
          <w:sz w:val="22"/>
        </w:rPr>
        <w:t>League‑average probabilities → expected points; Luck = Points − Expected Points.</w:t>
      </w:r>
    </w:p>
    <w:p>
      <w:pPr>
        <w:spacing w:line="288" w:lineRule="auto" w:after="120"/>
      </w:pPr>
      <w:r>
        <w:rPr>
          <w:b/>
          <w:i w:val="0"/>
          <w:sz w:val="32"/>
        </w:rPr>
        <w:t>Appendix G — Equities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Normal vs t vs EWMA modeling; reliability/proper scores numerically (no plots).</w:t>
      </w:r>
    </w:p>
    <w:p>
      <w:pPr>
        <w:spacing w:line="288" w:lineRule="auto" w:after="120"/>
      </w:pPr>
      <w:r>
        <w:rPr>
          <w:b/>
          <w:i w:val="0"/>
          <w:sz w:val="32"/>
        </w:rPr>
        <w:t>Appendix H — Unluck (axioms &amp; collapse, 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Axioms U1–U8; collapse; stability; identifiability.</w:t>
      </w:r>
    </w:p>
    <w:p>
      <w:pPr>
        <w:spacing w:line="288" w:lineRule="auto" w:after="120"/>
      </w:pPr>
      <w:r>
        <w:rPr>
          <w:b/>
          <w:i w:val="0"/>
          <w:sz w:val="32"/>
        </w:rPr>
        <w:t>Appendix I — Unified Luck–Unluck (text‑only)</w:t>
      </w:r>
    </w:p>
    <w:p>
      <w:pPr>
        <w:spacing w:line="288" w:lineRule="auto" w:after="120"/>
      </w:pPr>
      <w:r>
        <w:rPr>
          <w:b w:val="0"/>
          <w:i w:val="0"/>
          <w:sz w:val="22"/>
        </w:rPr>
        <w:t>Signed composite with monotone links ϕ,ψ; normalization to [−1,1]; symmetry yields centered score.</w:t>
      </w:r>
    </w:p>
    <w:p>
      <w:pPr>
        <w:spacing w:line="288" w:lineRule="auto" w:after="120"/>
      </w:pPr>
      <w:r>
        <w:rPr>
          <w:b/>
          <w:i w:val="0"/>
          <w:sz w:val="32"/>
        </w:rPr>
        <w:t>Acknowledgments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thanks readers and editors for constructive feedback.</w:t>
      </w:r>
    </w:p>
    <w:p>
      <w:pPr>
        <w:spacing w:line="288" w:lineRule="auto" w:after="120"/>
      </w:pPr>
      <w:r>
        <w:rPr>
          <w:b/>
          <w:i w:val="0"/>
          <w:sz w:val="32"/>
        </w:rPr>
        <w:t>Data &amp; Code Availability</w:t>
      </w:r>
    </w:p>
    <w:p>
      <w:pPr>
        <w:spacing w:line="288" w:lineRule="auto" w:after="120"/>
      </w:pPr>
      <w:r>
        <w:rPr>
          <w:b w:val="0"/>
          <w:i w:val="0"/>
          <w:sz w:val="22"/>
        </w:rPr>
        <w:t>Data and code will be released upon acceptance or under a permissive repository license.</w:t>
      </w:r>
    </w:p>
    <w:p>
      <w:pPr>
        <w:spacing w:line="288" w:lineRule="auto" w:after="120"/>
      </w:pPr>
      <w:r>
        <w:rPr>
          <w:b/>
          <w:i w:val="0"/>
          <w:sz w:val="32"/>
        </w:rPr>
        <w:t>Competing Interests</w:t>
      </w:r>
    </w:p>
    <w:p>
      <w:pPr>
        <w:spacing w:line="288" w:lineRule="auto" w:after="120"/>
      </w:pPr>
      <w:r>
        <w:rPr>
          <w:b w:val="0"/>
          <w:i w:val="0"/>
          <w:sz w:val="22"/>
        </w:rPr>
        <w:t>The author declares no competing interests.</w:t>
      </w:r>
    </w:p>
    <w:p>
      <w:pPr>
        <w:spacing w:line="288" w:lineRule="auto" w:after="120"/>
      </w:pPr>
      <w:r>
        <w:rPr>
          <w:b/>
          <w:i w:val="0"/>
          <w:sz w:val="32"/>
        </w:rPr>
        <w:t>References</w:t>
      </w:r>
    </w:p>
    <w:p>
      <w:bookmarkStart w:id="58842" w:name="ref_brier1950"/>
      <w:pPr>
        <w:spacing w:line="288" w:lineRule="auto" w:after="120"/>
      </w:pPr>
      <w:r>
        <w:rPr>
          <w:b w:val="0"/>
          <w:i w:val="0"/>
          <w:sz w:val="21"/>
        </w:rPr>
        <w:t>Brier, G.W. (1950). Verification of forecasts expressed in terms of probability. Monthly Weather Review, 78(1), 1–3.</w:t>
      </w:r>
      <w:bookmarkEnd w:id="58842"/>
    </w:p>
    <w:p>
      <w:bookmarkStart w:id="29267" w:name="ref_dawid1982"/>
      <w:pPr>
        <w:spacing w:line="288" w:lineRule="auto" w:after="120"/>
      </w:pPr>
      <w:r>
        <w:rPr>
          <w:b w:val="0"/>
          <w:i w:val="0"/>
          <w:sz w:val="21"/>
        </w:rPr>
        <w:t>Dawid, A.P. (1982). The well-calibrated Bayesian. Journal of the American Statistical Association, 77(379), 605–610.</w:t>
      </w:r>
      <w:bookmarkEnd w:id="29267"/>
    </w:p>
    <w:p>
      <w:bookmarkStart w:id="15533" w:name="ref_doob1953"/>
      <w:pPr>
        <w:spacing w:line="288" w:lineRule="auto" w:after="120"/>
      </w:pPr>
      <w:r>
        <w:rPr>
          <w:b w:val="0"/>
          <w:i w:val="0"/>
          <w:sz w:val="21"/>
        </w:rPr>
        <w:t>Doob, J.L. (1953). Stochastic Processes. Wiley.</w:t>
      </w:r>
      <w:bookmarkEnd w:id="15533"/>
    </w:p>
    <w:p>
      <w:bookmarkStart w:id="3690" w:name="ref_gneiting2007"/>
      <w:pPr>
        <w:spacing w:line="288" w:lineRule="auto" w:after="120"/>
      </w:pPr>
      <w:r>
        <w:rPr>
          <w:b w:val="0"/>
          <w:i w:val="0"/>
          <w:sz w:val="21"/>
        </w:rPr>
        <w:t>Gneiting, T., &amp; Raftery, A.E. (2007). Strictly proper scoring rules, prediction, and estimation. Journal of the American Statistical Association, 102(477), 359–378.</w:t>
      </w:r>
      <w:bookmarkEnd w:id="3690"/>
    </w:p>
    <w:p>
      <w:bookmarkStart w:id="92037" w:name="ref_murphy1973"/>
      <w:pPr>
        <w:spacing w:line="288" w:lineRule="auto" w:after="120"/>
      </w:pPr>
      <w:r>
        <w:rPr>
          <w:b w:val="0"/>
          <w:i w:val="0"/>
          <w:sz w:val="21"/>
        </w:rPr>
        <w:t>Murphy, A.H. (1973). A new vector partition of the probability score. Journal of Applied Meteorology, 12(4), 595–600.</w:t>
      </w:r>
      <w:bookmarkEnd w:id="92037"/>
    </w:p>
    <w:p>
      <w:bookmarkStart w:id="22176" w:name="ref_platt1999"/>
      <w:pPr>
        <w:spacing w:line="288" w:lineRule="auto" w:after="120"/>
      </w:pPr>
      <w:r>
        <w:rPr>
          <w:b w:val="0"/>
          <w:i w:val="0"/>
          <w:sz w:val="21"/>
        </w:rPr>
        <w:t>Platt, J. (1999). Probabilistic Outputs for Support Vector Machines and Comparisons to Regularized Likelihood Methods. Advances in Large Margin Classifiers, MIT Press (MSR-TR-1999-28).</w:t>
      </w:r>
      <w:bookmarkEnd w:id="22176"/>
    </w:p>
    <w:p>
      <w:bookmarkStart w:id="86341" w:name="ref_niculescu"/>
      <w:pPr>
        <w:spacing w:line="288" w:lineRule="auto" w:after="120"/>
      </w:pPr>
      <w:r>
        <w:rPr>
          <w:b w:val="0"/>
          <w:i w:val="0"/>
          <w:sz w:val="21"/>
        </w:rPr>
        <w:t>Niculescu-Mizil, A., &amp; Caruana, R. (2005). Predicting good probabilities with supervised learning. ICML, 625–632.</w:t>
      </w:r>
      <w:bookmarkEnd w:id="86341"/>
    </w:p>
    <w:p>
      <w:bookmarkStart w:id="10521" w:name="ref_vander1998"/>
      <w:pPr>
        <w:spacing w:line="288" w:lineRule="auto" w:after="120"/>
      </w:pPr>
      <w:r>
        <w:rPr>
          <w:b w:val="0"/>
          <w:i w:val="0"/>
          <w:sz w:val="21"/>
        </w:rPr>
        <w:t>van der Vaart, A.W. (1998). Asymptotic Statistics. Cambridge University Press.</w:t>
      </w:r>
      <w:bookmarkEnd w:id="10521"/>
    </w:p>
    <w:p>
      <w:bookmarkStart w:id="87226" w:name="ref_vander1996"/>
      <w:pPr>
        <w:spacing w:line="288" w:lineRule="auto" w:after="120"/>
      </w:pPr>
      <w:r>
        <w:rPr>
          <w:b w:val="0"/>
          <w:i w:val="0"/>
          <w:sz w:val="21"/>
        </w:rPr>
        <w:t>van der Vaart, A.W., &amp; Wellner, J.A. (1996). Weak Convergence and Empirical Processes: With Applications to Statistics. Springer.</w:t>
      </w:r>
      <w:bookmarkEnd w:id="87226"/>
    </w:p>
    <w:p>
      <w:bookmarkStart w:id="5694" w:name="ref_shapiro2009"/>
      <w:pPr>
        <w:spacing w:line="288" w:lineRule="auto" w:after="120"/>
      </w:pPr>
      <w:r>
        <w:rPr>
          <w:b w:val="0"/>
          <w:i w:val="0"/>
          <w:sz w:val="21"/>
        </w:rPr>
        <w:t>Shapiro, A., Dentcheva, D., &amp; Ruszczyński, A. (2009). Lectures on Stochastic Programming: Modeling and Theory. SIAM.</w:t>
      </w:r>
      <w:bookmarkEnd w:id="5694"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