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al_abstract_luck_unlu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Graphical"/>
      <w:r>
        <w:rPr>
          <w:i/>
        </w:rPr>
      </w:r>
      <w:r>
        <w:rPr>
          <w:i/>
        </w:rPr>
        <w:t xml:space="preserve">Figure </w:t>
      </w:r>
      <w:bookmarkStart w:id="1001" w:name="NumFigGraphical"/>
      <w:fldSimple w:instr=" SEQ Figure \* ARABIC ">
        <w:r>
          <w:t>1</w:t>
        </w:r>
      </w:fldSimple>
      <w:bookmarkEnd w:id="1001"/>
      <w:r>
        <w:rPr>
          <w:i/>
        </w:rPr>
        <w:t>: Graphical Abstract — iso-ℒ contours in (U,S) and the information–utility tradeoff Ξ.</w:t>
      </w:r>
      <w:bookmarkEnd w:id="910"/>
    </w:p>
    <w:p>
      <w:pPr>
        <w:spacing w:line="288" w:lineRule="auto"/>
      </w:pPr>
      <w:r>
        <w:t xml:space="preserve">See Figure </w:t>
      </w:r>
      <w:fldSimple w:instr=" REF NumFigGraphical \h ">
        <w:r>
          <w:t>1</w:t>
        </w:r>
      </w:fldSimple>
      <w:r>
        <w:t>.</w:t>
      </w:r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bookmarkStart w:id="5101" w:name="thm5_1"/>
      <w:pPr>
        <w:spacing w:line="288" w:lineRule="auto"/>
      </w:pPr>
      <w:r>
        <w:rPr>
          <w:b/>
          <w:i w:val="0"/>
          <w:sz w:val="22"/>
        </w:rPr>
        <w:t>Theorem 5.1 (Asymptotic Normality of M‑Estimator for Θ).</w:t>
      </w:r>
      <w:bookmarkEnd w:id="5101"/>
    </w:p>
    <w:p>
      <w:pPr>
        <w:spacing w:line="288" w:lineRule="auto"/>
      </w:pPr>
      <w:r>
        <w:rPr>
          <w:b w:val="0"/>
          <w:i w:val="0"/>
          <w:sz w:val="22"/>
        </w:rPr>
        <w:t>Let Θ⊂ℝ^p and let Θ̂_n = argmin_{Θ∈Θ} 𝔼_n[ℓ_Θ(Z)] be an empirical risk minimizer. Suppose: (i) Θ₀ is the unique minimizer of L(Θ)=𝔼[ℓ_Θ(Z)]; (ii) ℓ_Θ is twice continuously differentiable in a neighborhood of Θ₀ with H := ∇²L(Θ₀) positive definite; (iii) Σ := Var(∇ℓ_{Θ₀}(Z)) exists and is finite; (iv) standard stochastic equicontinuity/GC conditions hold. Then √n (Θ̂_n − Θ₀) ⇒ 𝓝(0, H^{-1} Σ H^{-1}).</w:t>
      </w:r>
    </w:p>
    <w:p>
      <w:pPr>
        <w:spacing w:line="288" w:lineRule="auto"/>
      </w:pPr>
      <w:r>
        <w:rPr>
          <w:b w:val="0"/>
          <w:i/>
          <w:sz w:val="21"/>
        </w:rPr>
        <w:t>Proof (sketch). A mean‑value expansion of the empirical score around Θ₀, uniform LLN, and a CLT for the score yield the result. See van der Vaart (1998, Ch. 5) and M‑estimation theory for details. ∎</w:t>
      </w:r>
    </w:p>
    <w:p>
      <w:bookmarkStart w:id="5201" w:name="thm5_2"/>
      <w:pPr>
        <w:spacing w:line="288" w:lineRule="auto"/>
      </w:pPr>
      <w:r>
        <w:rPr>
          <w:b/>
          <w:i w:val="0"/>
          <w:sz w:val="22"/>
        </w:rPr>
        <w:t>Theorem 5.2 (Oracle Inequality for ERM via Rademacher Complexity).</w:t>
      </w:r>
      <w:bookmarkEnd w:id="5201"/>
    </w:p>
    <w:p>
      <w:pPr>
        <w:spacing w:line="288" w:lineRule="auto"/>
      </w:pPr>
      <w:r>
        <w:rPr>
          <w:b w:val="0"/>
          <w:i w:val="0"/>
          <w:sz w:val="22"/>
        </w:rPr>
        <w:t>Let 𝔽 be a class of predictors and consider losses ℓ∘f bounded in [0,1]. Let f̂ be an empirical minimizer and let ℛ_n(ℓ∘𝔽) be the empirical Rademacher complexity. Then with probability ≥ 1−δ, for all f∈𝔽, 𝔼[ℓ(f̂)] ≤ inf_{f∈𝔽} 𝔼[ℓ(f)] + 2 ℛ_n(ℓ∘𝔽) + 3√{(ln(2/δ))/(2n)}.</w:t>
      </w:r>
    </w:p>
    <w:p>
      <w:pPr>
        <w:spacing w:line="288" w:lineRule="auto"/>
      </w:pPr>
      <w:r>
        <w:rPr>
          <w:b w:val="0"/>
          <w:i/>
          <w:sz w:val="21"/>
        </w:rPr>
        <w:t>Proof (sketch). Apply symmetrization and contraction inequalities for Lipschitz losses, then a standard concentration bound. The term 2ℛ_n controls the estimation error and the √(ln(1/δ)/n) term is the confidence penalty. ∎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ots_low_vol_h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SlotsLow"/>
      <w:r>
        <w:rPr>
          <w:i/>
        </w:rPr>
      </w:r>
      <w:r>
        <w:rPr>
          <w:i/>
        </w:rPr>
        <w:t xml:space="preserve">Figure </w:t>
      </w:r>
      <w:bookmarkStart w:id="1004" w:name="NumFigSlotsLow"/>
      <w:fldSimple w:instr=" SEQ Figure \* ARABIC ">
        <w:r>
          <w:t>1</w:t>
        </w:r>
      </w:fldSimple>
      <w:bookmarkEnd w:id="1004"/>
      <w:r>
        <w:rPr>
          <w:i/>
        </w:rPr>
        <w:t>: Slots session ROI distribution — low volatility (RTP≈96%).</w:t>
      </w:r>
      <w:bookmarkEnd w:id="910"/>
    </w:p>
    <w:p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ots_high_vol_h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1" w:name="FigSlotsHigh"/>
      <w:r>
        <w:rPr>
          <w:i/>
        </w:rPr>
      </w:r>
      <w:r>
        <w:rPr>
          <w:i/>
        </w:rPr>
        <w:t xml:space="preserve">Figure </w:t>
      </w:r>
      <w:bookmarkStart w:id="1005" w:name="NumFigSlotsHigh"/>
      <w:fldSimple w:instr=" SEQ Figure \* ARABIC ">
        <w:r>
          <w:t>1</w:t>
        </w:r>
      </w:fldSimple>
      <w:bookmarkEnd w:id="1005"/>
      <w:r>
        <w:rPr>
          <w:i/>
        </w:rPr>
        <w:t>: Slots session ROI distribution — high volatility (RTP≈96%).</w:t>
      </w:r>
      <w:bookmarkEnd w:id="911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ulette_house_ed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RouletteEdge"/>
      <w:r>
        <w:rPr>
          <w:i/>
        </w:rPr>
      </w:r>
      <w:r>
        <w:rPr>
          <w:i/>
        </w:rPr>
        <w:t xml:space="preserve">Figure </w:t>
      </w:r>
      <w:bookmarkStart w:id="1002" w:name="NumFigRouletteEdge"/>
      <w:fldSimple w:instr=" SEQ Figure \* ARABIC ">
        <w:r>
          <w:t>1</w:t>
        </w:r>
      </w:fldSimple>
      <w:bookmarkEnd w:id="1002"/>
      <w:r>
        <w:rPr>
          <w:i/>
        </w:rPr>
        <w:t>: Roulette house edge on even-money bets: European vs La Partage vs En Prison.</w:t>
      </w:r>
      <w:bookmarkEnd w:id="910"/>
    </w:p>
    <w:p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ulette_martingale_ru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1" w:name="FigRouletteRuin"/>
      <w:r>
        <w:rPr>
          <w:i/>
        </w:rPr>
      </w:r>
      <w:r>
        <w:rPr>
          <w:i/>
        </w:rPr>
        <w:t xml:space="preserve">Figure </w:t>
      </w:r>
      <w:bookmarkStart w:id="1003" w:name="NumFigRouletteRuin"/>
      <w:fldSimple w:instr=" SEQ Figure \* ARABIC ">
        <w:r>
          <w:t>1</w:t>
        </w:r>
      </w:fldSimple>
      <w:bookmarkEnd w:id="1003"/>
      <w:r>
        <w:rPr>
          <w:i/>
        </w:rPr>
        <w:t>: Martingale bankroll-ruin probability under table limit pressure (base=1, limit=2^6).</w:t>
      </w:r>
      <w:bookmarkEnd w:id="911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ker_jackpot_pr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JokerJackpot"/>
      <w:r>
        <w:rPr>
          <w:i/>
        </w:rPr>
      </w:r>
      <w:r>
        <w:rPr>
          <w:i/>
        </w:rPr>
        <w:t xml:space="preserve">Figure </w:t>
      </w:r>
      <w:bookmarkStart w:id="1006" w:name="NumFigJoker"/>
      <w:fldSimple w:instr=" SEQ Figure \* ARABIC ">
        <w:r>
          <w:t>1</w:t>
        </w:r>
      </w:fldSimple>
      <w:bookmarkEnd w:id="1006"/>
      <w:r>
        <w:rPr>
          <w:i/>
        </w:rPr>
        <w:t>: Lottery (Tzoker): Jackpot probability vs sales, P(≥1 jackpot)=1−(1−p)^N with p=1/[C(45,5)·20].</w:t>
      </w:r>
      <w:bookmarkEnd w:id="910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/>
      </w:pPr>
      <w:r>
        <w:rPr>
          <w:b w:val="0"/>
          <w:sz w:val="22"/>
        </w:rPr>
        <w:t>Data: SPX and AAPL daily quotes are available from Stooq (download CSV links); football season CSVs from league archives; lottery (Tzoker) draw summaries from OPAP; roulette/slots are simulated with stated parameters. Preprocessed CSVs are not redistributed to respect source terms—see the `data/README.md` for exact instructions.</w:t>
        <w:br/>
        <w:t>Code: All analysis and figure generation scripts, along with a reproducibility notebook and templates, are included in this repository under the MIT license.</w:t>
      </w:r>
    </w:p>
    <w:p>
      <w:pPr>
        <w:spacing w:line="288" w:lineRule="auto"/>
      </w:pPr>
      <w:r>
        <w:rPr>
          <w:b/>
          <w:sz w:val="25"/>
        </w:rPr>
        <w:t>Data &amp; Code Availability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p>
      <w:pPr>
        <w:spacing w:line="288" w:lineRule="auto"/>
      </w:pPr>
      <w:r>
        <w:rPr>
          <w:b/>
          <w:sz w:val="26"/>
        </w:rPr>
        <w:t>Key Equations (OMML)</w:t>
      </w:r>
    </w:p>
    <w:p>
      <w:pPr>
        <w:spacing w:line="288" w:lineRule="auto"/>
      </w:pPr>
      <w:r>
        <w:rPr>
          <w:i/>
          <w:sz w:val="21"/>
        </w:rPr>
        <w:t>Canonical heads inserted via Word OMML (Equation Editor). Use cross-references to these bookmarks in the text.</w:t>
      </w:r>
    </w:p>
    <w:p>
      <w:pPr>
        <w:spacing w:line="288" w:lineRule="auto"/>
      </w:pPr>
      <w:r>
        <w:rPr>
          <w:i/>
          <w:sz w:val="22"/>
        </w:rPr>
        <w:t>Logistic head:</w:t>
      </w:r>
    </w:p>
    <w:p>
      <m:oMathPara>
        <m:oMath>
          <m:r>
            <w:r>
              <w:t>𝓛_log = σ(a·U + b·H + c·S + d·(1−P) + 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1" w:name="EqLogistic"/>
      <w:bookmarkEnd w:id="201"/>
    </w:p>
    <w:p>
      <w:pPr>
        <w:spacing w:line="288" w:lineRule="auto"/>
      </w:pPr>
      <w:r>
        <w:rPr>
          <w:i/>
          <w:sz w:val="22"/>
        </w:rPr>
        <w:t>Multiplicative head:</w:t>
      </w:r>
    </w:p>
    <w:p>
      <m:oMathPara>
        <m:oMath>
          <m:r>
            <w:r>
              <w:t>𝓛_mul = U^α · H^β · S^δ · (1−P)^γ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2" w:name="EqMultiplicative"/>
      <w:bookmarkEnd w:id="202"/>
    </w:p>
    <w:p>
      <w:pPr>
        <w:spacing w:line="288" w:lineRule="auto"/>
      </w:pPr>
      <w:r>
        <w:rPr>
          <w:i/>
          <w:sz w:val="22"/>
        </w:rPr>
        <w:t>Luck Bias:</w:t>
      </w:r>
    </w:p>
    <w:p>
      <m:oMathPara>
        <m:oMath>
          <m:r>
            <w:r>
              <w:t>LB = 𝔼[𝓛] − P(E)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3" w:name="EqLuckBias"/>
      <w:bookmarkEnd w:id="203"/>
    </w:p>
    <w:p>
      <w:pPr>
        <w:spacing w:line="288" w:lineRule="auto"/>
      </w:pPr>
      <w:r>
        <w:rPr>
          <w:b/>
          <w:sz w:val="26"/>
        </w:rPr>
        <w:t>Appendix Q — Counterfactual Luck (toy IV example)</w:t>
      </w:r>
    </w:p>
    <w:p>
      <w:pPr>
        <w:spacing w:line="288" w:lineRule="auto"/>
      </w:pPr>
      <w:r>
        <w:t xml:space="preserve">see Table </w:t>
      </w:r>
      <w:fldSimple w:instr=" REF TblQ1Num \h ">
        <w:r>
          <w:t>1</w:t>
        </w:r>
      </w:fldSimple>
      <w:r>
        <w:t>.</w:t>
      </w:r>
    </w:p>
    <w:p>
      <w:pPr>
        <w:spacing w:line="288" w:lineRule="auto"/>
      </w:pPr>
      <w:r>
        <w:rPr>
          <w:b w:val="0"/>
          <w:i/>
          <w:sz w:val="21"/>
        </w:rPr>
      </w:r>
      <w:r>
        <w:t xml:space="preserve">Table </w:t>
      </w:r>
      <w:bookmarkStart w:id="881" w:name="TblQ1Num"/>
      <w:fldSimple w:instr=" SEQ Table \* ARABIC ">
        <w:r>
          <w:t>1</w:t>
        </w:r>
      </w:fldSimple>
      <w:bookmarkEnd w:id="881"/>
      <w:r>
        <w:t xml:space="preserve">: </w:t>
      </w:r>
      <w:r>
        <w:rPr>
          <w:i/>
        </w:rPr>
        <w:t>Q.1: Toy IV numeric example — counterfactual luck (Wald estimator).</w:t>
      </w:r>
    </w:p>
    <w:p>
      <w:pPr>
        <w:spacing w:line="288" w:lineRule="auto"/>
      </w:pPr>
      <w:r>
        <w:rPr>
          <w:b w:val="0"/>
          <w:i/>
          <w:sz w:val="19"/>
        </w:rPr>
        <w:t>Note: Numbers are illustrative. Report standard errors via delta method or bootstrap; check IV assumptions (relevance, independence, exclusion, monotonicity).</w:t>
      </w:r>
    </w:p>
    <w:p>
      <w:pPr>
        <w:spacing w:line="288" w:lineRule="auto"/>
      </w:pPr>
      <w:r>
        <w:rPr>
          <w:i w:val="0"/>
          <w:sz w:val="22"/>
        </w:rPr>
        <w:t>Setup: Consider a binary outcome Y (win vs non-win) in football and a forecasting head 𝓛. Let A denote an action (e.g., aggressive press) and Z an instrument (e.g., an early red card to the opponent) that shifts A but is conditionally independent of potential outcomes given covariates X, and has no direct effect on Y (exclusion).</w:t>
      </w:r>
    </w:p>
    <w:p>
      <w:pPr>
        <w:spacing w:line="288" w:lineRule="auto"/>
      </w:pPr>
      <w:r>
        <w:rPr>
          <w:i w:val="0"/>
          <w:sz w:val="22"/>
        </w:rPr>
        <w:t>Definition (counterfactual luck):  𝓛_cf(a) := 𝔼[𝓛(Y; X) | do(A=a)].   The causal ‘luck lift’ is Δ𝓛_cf = 𝓛_cf(1) − 𝓛_cf(0).</w:t>
      </w:r>
    </w:p>
    <w:p>
      <w:pPr>
        <w:spacing w:line="288" w:lineRule="auto"/>
      </w:pPr>
      <w:r>
        <w:rPr>
          <w:i w:val="0"/>
          <w:sz w:val="22"/>
        </w:rPr>
        <w:t xml:space="preserve">For a numeric illustration, </w:t>
      </w:r>
      <w:r>
        <w:t xml:space="preserve">see Table </w:t>
      </w:r>
      <w:fldSimple w:instr=" REF TblQ1Num \h ">
        <w:r>
          <w:t>1</w:t>
        </w:r>
      </w:fldSimple>
      <w:r>
        <w:t>.</w:t>
      </w:r>
    </w:p>
    <w:p>
      <w:pPr>
        <w:spacing w:line="288" w:lineRule="auto"/>
      </w:pPr>
      <w:r>
        <w:rPr>
          <w:i w:val="0"/>
          <w:sz w:val="22"/>
        </w:rPr>
        <w:t>Identification (Wald/IV): Under relevance, independence, exclusion, and monotonicity of A in Z, the local luck lift is</w:t>
      </w:r>
    </w:p>
    <w:p>
      <m:oMathPara>
        <m:oMath>
          <m:r>
            <w:r>
              <w:t>Δ𝓛_cf = [ 𝔼[𝓛 | Z=1] − 𝔼[𝓛 | Z=0] ]  /  [ 𝔼[A | Z=1] − 𝔼[A | Z=0] ]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4" w:name="EqCounterfactual"/>
      <w:bookmarkEnd w:id="204"/>
    </w:p>
    <w:p>
      <w:pPr>
        <w:spacing w:line="288" w:lineRule="auto"/>
      </w:pPr>
      <w:r>
        <w:rPr>
          <w:i w:val="0"/>
          <w:sz w:val="22"/>
        </w:rPr>
        <w:t>Sketch: Estimate the numerator/denominator by sample differences (or two-stage least squares for continuous heads). A positive Δ𝓛_cf suggests that the action raises (or lowers, if negative) the realized luck component in the causal sense. Report sensitivity to violations via bounds (e.g., partial R^2 or sensitivity curves).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E[𝓛 | Z=1]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  <w:tc>
          <w:tcPr>
            <w:tcW w:type="dxa" w:w="2880"/>
          </w:tcPr>
          <w:p>
            <w:r>
              <w:t>Average luck measure when instrument=1</w:t>
            </w:r>
          </w:p>
        </w:tc>
      </w:tr>
      <w:tr>
        <w:tc>
          <w:tcPr>
            <w:tcW w:type="dxa" w:w="2880"/>
          </w:tcPr>
          <w:p>
            <w:r>
              <w:t>E[𝓛 | Z=0]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  <w:tc>
          <w:tcPr>
            <w:tcW w:type="dxa" w:w="2880"/>
          </w:tcPr>
          <w:p>
            <w:r>
              <w:t>Average luck measure when instrument=0</w:t>
            </w:r>
          </w:p>
        </w:tc>
      </w:tr>
      <w:tr>
        <w:tc>
          <w:tcPr>
            <w:tcW w:type="dxa" w:w="2880"/>
          </w:tcPr>
          <w:p>
            <w:r>
              <w:t>E[A | Z=1]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  <w:tc>
          <w:tcPr>
            <w:tcW w:type="dxa" w:w="2880"/>
          </w:tcPr>
          <w:p>
            <w:r>
              <w:t>Treatment propensity when instrument=1</w:t>
            </w:r>
          </w:p>
        </w:tc>
      </w:tr>
      <w:tr>
        <w:tc>
          <w:tcPr>
            <w:tcW w:type="dxa" w:w="2880"/>
          </w:tcPr>
          <w:p>
            <w:r>
              <w:t>IV estimate Δ𝓛_cf</w:t>
            </w:r>
          </w:p>
        </w:tc>
        <w:tc>
          <w:tcPr>
            <w:tcW w:type="dxa" w:w="2880"/>
          </w:tcPr>
          <w:p>
            <w:r>
              <w:t>1.167</w:t>
            </w:r>
          </w:p>
        </w:tc>
        <w:tc>
          <w:tcPr>
            <w:tcW w:type="dxa" w:w="2880"/>
          </w:tcPr>
          <w:p>
            <w:r>
              <w:t>ΔE[𝓛]=0.070; ΔE[A]=0.060; Wald=ΔE[𝓛]/ΔE[A]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