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59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left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Диаграмма состояний для объекта “Бумажная запись в журнале” </w:t>
    </w:r>
  </w:p>
  <w:p w:rsidR="00000000" w:rsidDel="00000000" w:rsidP="00000000" w:rsidRDefault="00000000" w:rsidRPr="00000000" w14:paraId="00000003">
    <w:pPr>
      <w:jc w:val="left"/>
      <w:rPr>
        <w:color w:val="404040"/>
        <w:sz w:val="24"/>
        <w:szCs w:val="24"/>
        <w:highlight w:val="white"/>
      </w:rPr>
    </w:pPr>
    <w:r w:rsidDel="00000000" w:rsidR="00000000" w:rsidRPr="00000000">
      <w:rPr>
        <w:b w:val="1"/>
        <w:rtl w:val="0"/>
      </w:rPr>
      <w:t xml:space="preserve">Цель: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Fonts w:ascii="Roboto" w:cs="Roboto" w:eastAsia="Roboto" w:hAnsi="Roboto"/>
        <w:color w:val="404040"/>
        <w:sz w:val="24"/>
        <w:szCs w:val="24"/>
        <w:highlight w:val="white"/>
        <w:rtl w:val="0"/>
      </w:rPr>
      <w:t xml:space="preserve">показать жизненный цикл записи в текущей ручной системе барбершопа.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jc w:val="left"/>
      <w:rPr/>
    </w:pPr>
    <w:r w:rsidDel="00000000" w:rsidR="00000000" w:rsidRPr="00000000">
      <w:rPr>
        <w:b w:val="1"/>
        <w:rtl w:val="0"/>
      </w:rPr>
      <w:t xml:space="preserve">Область рассмотрения:</w:t>
    </w:r>
    <w:r w:rsidDel="00000000" w:rsidR="00000000" w:rsidRPr="00000000">
      <w:rPr>
        <w:rtl w:val="0"/>
      </w:rPr>
      <w:t xml:space="preserve"> AS IS.</w:t>
      <w:br w:type="textWrapping"/>
      <w:br w:type="textWrapping"/>
    </w:r>
  </w:p>
  <w:p w:rsidR="00000000" w:rsidDel="00000000" w:rsidP="00000000" w:rsidRDefault="00000000" w:rsidRPr="00000000" w14:paraId="00000005">
    <w:pPr>
      <w:rPr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