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387A2">
      <w:pPr>
        <w:snapToGrid w:val="0"/>
        <w:spacing w:after="62" w:afterLines="20" w:line="400" w:lineRule="exact"/>
        <w:jc w:val="center"/>
        <w:rPr>
          <w:rFonts w:ascii="Arial" w:hAnsi="Arial" w:eastAsia="黑体" w:cs="Arial"/>
          <w:b/>
          <w:sz w:val="32"/>
          <w:szCs w:val="28"/>
        </w:rPr>
      </w:pPr>
      <w:r>
        <w:rPr>
          <w:rFonts w:ascii="Arial" w:hAnsi="Arial" w:eastAsia="黑体" w:cs="Arial"/>
          <w:b/>
          <w:sz w:val="32"/>
          <w:szCs w:val="32"/>
        </w:rPr>
        <w:t xml:space="preserve">Practice of Literature </w:t>
      </w:r>
      <w:r>
        <w:rPr>
          <w:rFonts w:hint="eastAsia" w:ascii="Arial" w:hAnsi="Arial" w:eastAsia="黑体" w:cs="Arial"/>
          <w:b/>
          <w:sz w:val="32"/>
          <w:szCs w:val="32"/>
        </w:rPr>
        <w:t>R</w:t>
      </w:r>
      <w:r>
        <w:rPr>
          <w:rFonts w:ascii="Arial" w:hAnsi="Arial" w:eastAsia="黑体" w:cs="Arial"/>
          <w:b/>
          <w:sz w:val="32"/>
          <w:szCs w:val="32"/>
        </w:rPr>
        <w:t>etrieval</w:t>
      </w:r>
    </w:p>
    <w:tbl>
      <w:tblPr>
        <w:tblStyle w:val="7"/>
        <w:tblW w:w="867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559"/>
        <w:gridCol w:w="1701"/>
        <w:gridCol w:w="3436"/>
      </w:tblGrid>
      <w:tr w14:paraId="5B4EA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9" w:hRule="atLeast"/>
          <w:jc w:val="center"/>
        </w:trPr>
        <w:tc>
          <w:tcPr>
            <w:tcW w:w="1980" w:type="dxa"/>
            <w:vAlign w:val="center"/>
          </w:tcPr>
          <w:p w14:paraId="3D8716C9">
            <w:pPr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Class </w:t>
            </w:r>
            <w:r>
              <w:rPr>
                <w:rFonts w:hint="eastAsia" w:ascii="Arial" w:hAnsi="Arial" w:cs="Arial"/>
                <w:b/>
                <w:sz w:val="24"/>
              </w:rPr>
              <w:t>&amp;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hint="eastAsia" w:ascii="Arial" w:hAnsi="Arial" w:cs="Arial"/>
                <w:b/>
                <w:sz w:val="24"/>
              </w:rPr>
              <w:t>Group</w:t>
            </w:r>
          </w:p>
        </w:tc>
        <w:tc>
          <w:tcPr>
            <w:tcW w:w="1559" w:type="dxa"/>
            <w:vAlign w:val="center"/>
          </w:tcPr>
          <w:p w14:paraId="5AAAF57D">
            <w:pPr>
              <w:rPr>
                <w:rFonts w:hint="default" w:ascii="Arial" w:hAnsi="Arial" w:eastAsia="宋体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>EAP3-5</w:t>
            </w:r>
          </w:p>
        </w:tc>
        <w:tc>
          <w:tcPr>
            <w:tcW w:w="1701" w:type="dxa"/>
            <w:vAlign w:val="center"/>
          </w:tcPr>
          <w:p w14:paraId="6B989041">
            <w:pPr>
              <w:rPr>
                <w:rFonts w:hint="eastAsia"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Group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hint="eastAsia" w:ascii="Arial" w:hAnsi="Arial" w:cs="Arial"/>
                <w:b/>
                <w:sz w:val="24"/>
              </w:rPr>
              <w:t>Member</w:t>
            </w:r>
            <w:r>
              <w:rPr>
                <w:rFonts w:ascii="Arial" w:hAnsi="Arial" w:cs="Arial"/>
                <w:b/>
                <w:sz w:val="24"/>
              </w:rPr>
              <w:t>s</w:t>
            </w:r>
            <w:r>
              <w:rPr>
                <w:rFonts w:hint="eastAsia" w:ascii="Arial" w:hAnsi="Arial" w:cs="Arial"/>
                <w:b/>
                <w:sz w:val="24"/>
              </w:rPr>
              <w:t xml:space="preserve"> (names)</w:t>
            </w:r>
          </w:p>
        </w:tc>
        <w:tc>
          <w:tcPr>
            <w:tcW w:w="3436" w:type="dxa"/>
            <w:vAlign w:val="center"/>
          </w:tcPr>
          <w:p w14:paraId="56E2F144">
            <w:pPr>
              <w:rPr>
                <w:rFonts w:hint="default" w:ascii="Arial" w:hAnsi="Arial" w:eastAsia="宋体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>郑德成 林义然 崔子璇 冯裕程 陈冠宇</w:t>
            </w:r>
          </w:p>
        </w:tc>
      </w:tr>
      <w:tr w14:paraId="4E19C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0" w:hRule="atLeast"/>
          <w:jc w:val="center"/>
        </w:trPr>
        <w:tc>
          <w:tcPr>
            <w:tcW w:w="1980" w:type="dxa"/>
            <w:vAlign w:val="center"/>
          </w:tcPr>
          <w:p w14:paraId="7476DA5E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Topic</w:t>
            </w:r>
          </w:p>
        </w:tc>
        <w:tc>
          <w:tcPr>
            <w:tcW w:w="6696" w:type="dxa"/>
            <w:gridSpan w:val="3"/>
            <w:vAlign w:val="center"/>
          </w:tcPr>
          <w:p w14:paraId="0EDBF498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Malgun Gothic" w:hAnsi="Malgun Gothic" w:eastAsia="Malgun Gothic" w:cs="Malgun Gothic"/>
                <w:b/>
                <w:bCs/>
                <w:i w:val="0"/>
                <w:iCs w:val="0"/>
                <w:color w:val="06071F"/>
                <w:spacing w:val="0"/>
                <w:w w:val="100"/>
                <w:sz w:val="24"/>
                <w:szCs w:val="24"/>
                <w:shd w:val="clear" w:fill="FDFDFE"/>
                <w:vertAlign w:val="baseline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i w:val="0"/>
                <w:iCs w:val="0"/>
                <w:color w:val="06071F"/>
                <w:spacing w:val="0"/>
                <w:w w:val="100"/>
                <w:sz w:val="24"/>
                <w:szCs w:val="24"/>
                <w:shd w:val="clear" w:fill="FDFDFE"/>
                <w:vertAlign w:val="baseline"/>
              </w:rPr>
              <w:t xml:space="preserve">Does artificial intelligence exacerbate </w:t>
            </w:r>
          </w:p>
          <w:p w14:paraId="0EA43F36">
            <w:pPr>
              <w:pStyle w:val="6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Malgun Gothic" w:hAnsi="Malgun Gothic" w:eastAsia="Malgun Gothic" w:cs="Malgun Gothic"/>
                <w:b/>
                <w:bCs/>
                <w:i w:val="0"/>
                <w:iCs w:val="0"/>
                <w:color w:val="06071F"/>
                <w:spacing w:val="0"/>
                <w:w w:val="100"/>
                <w:sz w:val="24"/>
                <w:szCs w:val="24"/>
                <w:shd w:val="clear" w:fill="FDFDFE"/>
                <w:vertAlign w:val="baseline"/>
              </w:rPr>
              <w:t>inequality in society?</w:t>
            </w:r>
          </w:p>
        </w:tc>
      </w:tr>
      <w:tr w14:paraId="1DA5F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4" w:hRule="atLeast"/>
          <w:jc w:val="center"/>
        </w:trPr>
        <w:tc>
          <w:tcPr>
            <w:tcW w:w="1980" w:type="dxa"/>
            <w:vAlign w:val="center"/>
          </w:tcPr>
          <w:p w14:paraId="4DD636BF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Keywords</w:t>
            </w:r>
          </w:p>
        </w:tc>
        <w:tc>
          <w:tcPr>
            <w:tcW w:w="6696" w:type="dxa"/>
            <w:gridSpan w:val="3"/>
            <w:vAlign w:val="center"/>
          </w:tcPr>
          <w:p w14:paraId="3075435C">
            <w:pPr>
              <w:spacing w:before="93" w:beforeLines="30" w:after="93" w:afterLines="30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>Artifical intelligence  inequality</w:t>
            </w:r>
          </w:p>
        </w:tc>
      </w:tr>
      <w:tr w14:paraId="7C7C5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0" w:hRule="atLeast"/>
          <w:jc w:val="center"/>
        </w:trPr>
        <w:tc>
          <w:tcPr>
            <w:tcW w:w="1980" w:type="dxa"/>
            <w:vAlign w:val="center"/>
          </w:tcPr>
          <w:p w14:paraId="03EBE91A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Related</w:t>
            </w:r>
            <w:r>
              <w:rPr>
                <w:rFonts w:ascii="Arial" w:hAnsi="Arial" w:cs="Arial"/>
                <w:b/>
                <w:sz w:val="24"/>
              </w:rPr>
              <w:t xml:space="preserve"> Words</w:t>
            </w:r>
          </w:p>
        </w:tc>
        <w:tc>
          <w:tcPr>
            <w:tcW w:w="6696" w:type="dxa"/>
            <w:gridSpan w:val="3"/>
            <w:vAlign w:val="center"/>
          </w:tcPr>
          <w:p w14:paraId="0C5A3A54">
            <w:pPr>
              <w:spacing w:before="93" w:beforeLines="30" w:after="93" w:afterLines="30"/>
              <w:rPr>
                <w:rFonts w:hint="default" w:ascii="Arial" w:hAnsi="Arial" w:eastAsia="宋体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>Inequality:imbalance, disparity, unfairness</w:t>
            </w:r>
          </w:p>
        </w:tc>
      </w:tr>
      <w:tr w14:paraId="6C238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4" w:hRule="atLeast"/>
          <w:jc w:val="center"/>
        </w:trPr>
        <w:tc>
          <w:tcPr>
            <w:tcW w:w="1980" w:type="dxa"/>
            <w:vAlign w:val="center"/>
          </w:tcPr>
          <w:p w14:paraId="4A468C6B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Search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hint="eastAsia" w:ascii="Arial" w:hAnsi="Arial" w:cs="Arial"/>
                <w:b/>
                <w:sz w:val="24"/>
              </w:rPr>
              <w:t>Strategy</w:t>
            </w: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hint="eastAsia" w:ascii="Arial" w:hAnsi="Arial" w:cs="Arial"/>
                <w:b/>
                <w:sz w:val="24"/>
              </w:rPr>
              <w:t>(Search</w:t>
            </w:r>
            <w:r>
              <w:rPr>
                <w:rFonts w:ascii="Arial" w:hAnsi="Arial" w:cs="Arial"/>
                <w:b/>
                <w:sz w:val="24"/>
              </w:rPr>
              <w:t xml:space="preserve"> Query)</w:t>
            </w:r>
          </w:p>
        </w:tc>
        <w:tc>
          <w:tcPr>
            <w:tcW w:w="6696" w:type="dxa"/>
            <w:gridSpan w:val="3"/>
          </w:tcPr>
          <w:p w14:paraId="0F85C78E">
            <w:pPr>
              <w:spacing w:before="93" w:beforeLines="30" w:after="93" w:afterLines="30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Search</w:t>
            </w:r>
            <w:r>
              <w:rPr>
                <w:rFonts w:ascii="Arial" w:hAnsi="Arial" w:cs="Arial"/>
                <w:b/>
                <w:sz w:val="24"/>
              </w:rPr>
              <w:t xml:space="preserve"> Query:</w:t>
            </w:r>
          </w:p>
          <w:p w14:paraId="1A454E88">
            <w:pPr>
              <w:spacing w:before="93" w:beforeLines="30" w:after="93" w:afterLines="30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artificial intelligence AND inequality*</w:t>
            </w:r>
          </w:p>
          <w:p w14:paraId="6FE276DE">
            <w:pPr>
              <w:spacing w:before="93" w:beforeLines="30" w:after="93" w:afterLines="30"/>
              <w:rPr>
                <w:rFonts w:hint="default" w:ascii="Arial" w:hAnsi="Arial" w:eastAsia="宋体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</w:rPr>
              <w:t>Search</w:t>
            </w:r>
            <w:r>
              <w:rPr>
                <w:rFonts w:ascii="Arial" w:hAnsi="Arial" w:cs="Arial"/>
                <w:b/>
                <w:sz w:val="24"/>
              </w:rPr>
              <w:t xml:space="preserve"> Field:</w:t>
            </w: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>TEXT</w:t>
            </w:r>
          </w:p>
          <w:p w14:paraId="5DF71D14">
            <w:pPr>
              <w:spacing w:before="93" w:beforeLines="30" w:after="93" w:afterLines="30"/>
              <w:rPr>
                <w:rFonts w:hint="default" w:ascii="Arial" w:hAnsi="Arial" w:eastAsia="宋体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</w:rPr>
              <w:t>P</w:t>
            </w:r>
            <w:r>
              <w:rPr>
                <w:rFonts w:ascii="Arial" w:hAnsi="Arial" w:cs="Arial"/>
                <w:b/>
                <w:sz w:val="24"/>
              </w:rPr>
              <w:t>ublication Date:</w:t>
            </w: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>in 12 months</w:t>
            </w:r>
          </w:p>
        </w:tc>
      </w:tr>
      <w:tr w14:paraId="069B1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atLeast"/>
          <w:jc w:val="center"/>
        </w:trPr>
        <w:tc>
          <w:tcPr>
            <w:tcW w:w="1980" w:type="dxa"/>
            <w:vAlign w:val="center"/>
          </w:tcPr>
          <w:p w14:paraId="2917C233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D</w:t>
            </w:r>
            <w:r>
              <w:rPr>
                <w:rFonts w:ascii="Arial" w:hAnsi="Arial" w:cs="Arial"/>
                <w:b/>
                <w:sz w:val="24"/>
              </w:rPr>
              <w:t>atabases</w:t>
            </w:r>
          </w:p>
        </w:tc>
        <w:tc>
          <w:tcPr>
            <w:tcW w:w="6696" w:type="dxa"/>
            <w:gridSpan w:val="3"/>
            <w:vAlign w:val="center"/>
          </w:tcPr>
          <w:p w14:paraId="0F81EE2E">
            <w:pPr>
              <w:spacing w:before="93" w:beforeLines="30" w:after="93" w:afterLines="30"/>
              <w:jc w:val="left"/>
              <w:rPr>
                <w:rFonts w:hint="default" w:ascii="Arial" w:hAnsi="Arial" w:eastAsia="宋体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 w:val="0"/>
                <w:bCs/>
                <w:sz w:val="24"/>
                <w:lang w:val="en-US" w:eastAsia="zh-CN"/>
              </w:rPr>
              <w:t>EBSCOhost</w:t>
            </w:r>
          </w:p>
        </w:tc>
      </w:tr>
      <w:tr w14:paraId="19AB7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2" w:hRule="atLeast"/>
          <w:jc w:val="center"/>
        </w:trPr>
        <w:tc>
          <w:tcPr>
            <w:tcW w:w="1980" w:type="dxa"/>
            <w:vAlign w:val="center"/>
          </w:tcPr>
          <w:p w14:paraId="05F7B38D">
            <w:pPr>
              <w:spacing w:before="93" w:beforeLines="30" w:after="93" w:afterLines="30"/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hint="eastAsia" w:ascii="Arial" w:hAnsi="Arial" w:cs="Arial"/>
                <w:b/>
                <w:sz w:val="24"/>
              </w:rPr>
              <w:t>R</w:t>
            </w:r>
            <w:r>
              <w:rPr>
                <w:rFonts w:ascii="Arial" w:hAnsi="Arial" w:cs="Arial"/>
                <w:b/>
                <w:sz w:val="24"/>
              </w:rPr>
              <w:t>esults</w:t>
            </w:r>
            <w:r>
              <w:rPr>
                <w:rFonts w:hint="eastAsia" w:ascii="Arial" w:hAnsi="Arial" w:cs="Arial"/>
                <w:b/>
                <w:sz w:val="24"/>
              </w:rPr>
              <w:t>（</w:t>
            </w:r>
            <w:r>
              <w:rPr>
                <w:rFonts w:ascii="Arial" w:hAnsi="Arial" w:cs="Arial"/>
                <w:b/>
                <w:sz w:val="24"/>
              </w:rPr>
              <w:t>L</w:t>
            </w:r>
            <w:r>
              <w:rPr>
                <w:rFonts w:hint="eastAsia" w:ascii="Arial" w:hAnsi="Arial" w:cs="Arial"/>
                <w:b/>
                <w:sz w:val="24"/>
              </w:rPr>
              <w:t>ess</w:t>
            </w:r>
            <w:r>
              <w:rPr>
                <w:rFonts w:ascii="Arial" w:hAnsi="Arial" w:cs="Arial"/>
                <w:b/>
                <w:sz w:val="24"/>
              </w:rPr>
              <w:t xml:space="preserve"> than </w:t>
            </w:r>
            <w:r>
              <w:rPr>
                <w:rFonts w:hint="eastAsia" w:ascii="Arial" w:hAnsi="Arial" w:cs="Arial"/>
                <w:b/>
                <w:sz w:val="24"/>
              </w:rPr>
              <w:t>2</w:t>
            </w:r>
            <w:r>
              <w:rPr>
                <w:rFonts w:ascii="Arial" w:hAnsi="Arial" w:cs="Arial"/>
                <w:b/>
                <w:sz w:val="24"/>
              </w:rPr>
              <w:t>00</w:t>
            </w:r>
            <w:r>
              <w:rPr>
                <w:rFonts w:hint="eastAsia" w:ascii="Arial" w:hAnsi="Arial" w:cs="Arial"/>
                <w:b/>
                <w:sz w:val="24"/>
              </w:rPr>
              <w:t>）</w:t>
            </w:r>
          </w:p>
        </w:tc>
        <w:tc>
          <w:tcPr>
            <w:tcW w:w="6696" w:type="dxa"/>
            <w:gridSpan w:val="3"/>
            <w:vAlign w:val="center"/>
          </w:tcPr>
          <w:p w14:paraId="0AAFE9DD">
            <w:pPr>
              <w:spacing w:before="93" w:beforeLines="30" w:after="93" w:afterLines="30"/>
              <w:jc w:val="left"/>
              <w:rPr>
                <w:rFonts w:hint="default" w:ascii="Arial" w:hAnsi="Arial" w:eastAsia="宋体" w:cs="Arial"/>
                <w:b/>
                <w:sz w:val="24"/>
                <w:lang w:val="en-US" w:eastAsia="zh-CN"/>
              </w:rPr>
            </w:pPr>
            <w:r>
              <w:rPr>
                <w:rFonts w:hint="eastAsia" w:ascii="Arial" w:hAnsi="Arial" w:cs="Arial"/>
                <w:b/>
                <w:sz w:val="24"/>
                <w:lang w:val="en-US" w:eastAsia="zh-CN"/>
              </w:rPr>
              <w:t>192</w:t>
            </w:r>
          </w:p>
        </w:tc>
      </w:tr>
      <w:tr w14:paraId="412B5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19" w:hRule="atLeast"/>
          <w:jc w:val="center"/>
        </w:trPr>
        <w:tc>
          <w:tcPr>
            <w:tcW w:w="1980" w:type="dxa"/>
            <w:vAlign w:val="center"/>
          </w:tcPr>
          <w:p w14:paraId="574C1B0F">
            <w:pPr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>Bibliographic information of related articles</w:t>
            </w:r>
          </w:p>
          <w:p w14:paraId="62A460C0">
            <w:pPr>
              <w:jc w:val="left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hAnsi="Arial" w:cs="Arial"/>
                <w:b/>
                <w:sz w:val="24"/>
              </w:rPr>
              <w:t xml:space="preserve"> </w:t>
            </w:r>
            <w:r>
              <w:rPr>
                <w:rFonts w:hint="eastAsia" w:ascii="Arial" w:hAnsi="Arial" w:cs="Arial"/>
                <w:b/>
                <w:sz w:val="24"/>
              </w:rPr>
              <w:t>(</w:t>
            </w:r>
            <w:r>
              <w:rPr>
                <w:rFonts w:ascii="Arial" w:hAnsi="Arial" w:cs="Arial"/>
                <w:b/>
                <w:sz w:val="24"/>
              </w:rPr>
              <w:t>At least 5)</w:t>
            </w:r>
          </w:p>
        </w:tc>
        <w:tc>
          <w:tcPr>
            <w:tcW w:w="6696" w:type="dxa"/>
            <w:gridSpan w:val="3"/>
          </w:tcPr>
          <w:p w14:paraId="56900BDE">
            <w:pPr>
              <w:ind w:left="360" w:hanging="360" w:hangingChars="2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Bozkurt, V., &amp; Gursoy, D. (2025). The Artificial Intelligence Paradox: Opportunity or Threat for Humanity?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 </w:t>
            </w:r>
            <w:r>
              <w:rPr>
                <w:rStyle w:val="10"/>
                <w:rFonts w:hint="default" w:ascii="Segoe UI" w:hAnsi="Segoe UI" w:eastAsia="Segoe UI" w:cs="Segoe UI"/>
                <w:caps w:val="0"/>
                <w:color w:val="06071F"/>
                <w:spacing w:val="0"/>
                <w:sz w:val="18"/>
                <w:szCs w:val="18"/>
                <w:bdr w:val="none" w:color="auto" w:sz="0" w:space="0"/>
                <w:shd w:val="clear" w:fill="FDFDFE"/>
              </w:rPr>
              <w:t>International Journal of Human-Computer Interaction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, </w:t>
            </w:r>
            <w:r>
              <w:rPr>
                <w:rStyle w:val="10"/>
                <w:rFonts w:hint="default" w:ascii="Segoe UI" w:hAnsi="Segoe UI" w:eastAsia="Segoe UI" w:cs="Segoe UI"/>
                <w:caps w:val="0"/>
                <w:color w:val="06071F"/>
                <w:spacing w:val="0"/>
                <w:sz w:val="18"/>
                <w:szCs w:val="18"/>
                <w:bdr w:val="none" w:color="auto" w:sz="0" w:space="0"/>
                <w:shd w:val="clear" w:fill="FDFDFE"/>
              </w:rPr>
              <w:t>41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(1), 174-187.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instrText xml:space="preserve"> HYPERLINK "https://doi.org/10.1080/10447318.2023.2297114" \t "https://yiyan.baidu.com/chat/_blank"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t>https://doi.org/10.1080/10447318.2023.2297114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fldChar w:fldCharType="end"/>
            </w:r>
          </w:p>
          <w:p w14:paraId="668730FD">
            <w:pPr>
              <w:ind w:left="360" w:hanging="360" w:hangingChars="2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Upreti, A., &amp; Sridhar, V. (2024). Effect of automation of routine and non-routine tasks on labour demand and wages.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 </w:t>
            </w:r>
            <w:r>
              <w:rPr>
                <w:rStyle w:val="10"/>
                <w:rFonts w:hint="default" w:ascii="Segoe UI" w:hAnsi="Segoe UI" w:eastAsia="Segoe UI" w:cs="Segoe UI"/>
                <w:caps w:val="0"/>
                <w:color w:val="06071F"/>
                <w:spacing w:val="0"/>
                <w:sz w:val="18"/>
                <w:szCs w:val="18"/>
                <w:bdr w:val="none" w:color="auto" w:sz="0" w:space="0"/>
                <w:shd w:val="clear" w:fill="FDFDFE"/>
              </w:rPr>
              <w:t>IIMB Management Review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, 36(4), 289-308.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instrText xml:space="preserve"> HYPERLINK "https://doi.org/10.1016/j.iimb.2024.09.001" \t "https://yiyan.baidu.com/chat/_blank"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t>https://doi.org/10.1016/j.iimb.2024.09.001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fldChar w:fldCharType="end"/>
            </w:r>
          </w:p>
          <w:p w14:paraId="505CC900">
            <w:pPr>
              <w:ind w:left="360" w:hanging="360" w:hangingChars="2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Trajkovski, G. (2024). Bridging the public administration-AI divide: A skills perspective.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 </w:t>
            </w:r>
            <w:r>
              <w:rPr>
                <w:rStyle w:val="10"/>
                <w:rFonts w:hint="default" w:ascii="Segoe UI" w:hAnsi="Segoe UI" w:eastAsia="Segoe UI" w:cs="Segoe UI"/>
                <w:caps w:val="0"/>
                <w:color w:val="06071F"/>
                <w:spacing w:val="0"/>
                <w:sz w:val="18"/>
                <w:szCs w:val="18"/>
                <w:bdr w:val="none" w:color="auto" w:sz="0" w:space="0"/>
                <w:shd w:val="clear" w:fill="FDFDFE"/>
              </w:rPr>
              <w:t>Public Administration &amp; Development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, 44(5), 412-426.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instrText xml:space="preserve"> HYPERLINK "https://doi.org/10.1002/pad.2061" \t "https://yiyan.baidu.com/chat/_blank"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t>https://doi.org/10.1002/pad.2061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fldChar w:fldCharType="end"/>
            </w:r>
          </w:p>
          <w:p w14:paraId="26E7C7F8">
            <w:pPr>
              <w:ind w:left="360" w:hanging="360" w:hangingChars="2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Özkiziltan, D. (2024). Governing Engels' Pause: AI and the World of Work in Germany.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 </w:t>
            </w:r>
            <w:r>
              <w:rPr>
                <w:rStyle w:val="10"/>
                <w:rFonts w:hint="default" w:ascii="Segoe UI" w:hAnsi="Segoe UI" w:eastAsia="Segoe UI" w:cs="Segoe UI"/>
                <w:caps w:val="0"/>
                <w:color w:val="06071F"/>
                <w:spacing w:val="0"/>
                <w:sz w:val="18"/>
                <w:szCs w:val="18"/>
                <w:bdr w:val="none" w:color="auto" w:sz="0" w:space="0"/>
                <w:shd w:val="clear" w:fill="FDFDFE"/>
              </w:rPr>
              <w:t>ILR Review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, 77(5), 846-856. Retrieved from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instrText xml:space="preserve"> HYPERLINK "https://doi.org/10.1177/00197939241278956e" \t "https://yiyan.baidu.com/chat/_blank"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fldChar w:fldCharType="separate"/>
            </w:r>
            <w:r>
              <w:rPr>
                <w:rStyle w:val="11"/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t>https://doi.org/10.1177/00197939241278956e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  <w:fldChar w:fldCharType="end"/>
            </w:r>
          </w:p>
          <w:p w14:paraId="73877C74">
            <w:pPr>
              <w:ind w:left="360" w:hanging="360" w:hangingChars="2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Klinova, K. (2024). What will AI mean for economic inequality?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 </w:t>
            </w:r>
            <w:r>
              <w:rPr>
                <w:rStyle w:val="10"/>
                <w:rFonts w:hint="default" w:ascii="Segoe UI" w:hAnsi="Segoe UI" w:eastAsia="Segoe UI" w:cs="Segoe UI"/>
                <w:caps w:val="0"/>
                <w:color w:val="06071F"/>
                <w:spacing w:val="0"/>
                <w:sz w:val="18"/>
                <w:szCs w:val="18"/>
                <w:bdr w:val="none" w:color="auto" w:sz="0" w:space="0"/>
                <w:shd w:val="clear" w:fill="FDFDFE"/>
              </w:rPr>
              <w:t>MIT Technology Review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, 127(5), 28-29.</w:t>
            </w:r>
          </w:p>
          <w:p w14:paraId="44C14F69">
            <w:pPr>
              <w:ind w:left="360" w:hanging="360" w:hangingChars="20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Frick, W. (2024). AI is making economists rethink the story of automation.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 </w:t>
            </w:r>
            <w:r>
              <w:rPr>
                <w:rStyle w:val="10"/>
                <w:rFonts w:hint="default" w:ascii="Segoe UI" w:hAnsi="Segoe UI" w:eastAsia="Segoe UI" w:cs="Segoe UI"/>
                <w:caps w:val="0"/>
                <w:color w:val="06071F"/>
                <w:spacing w:val="0"/>
                <w:sz w:val="18"/>
                <w:szCs w:val="18"/>
                <w:bdr w:val="none" w:color="auto" w:sz="0" w:space="0"/>
                <w:shd w:val="clear" w:fill="FDFDFE"/>
              </w:rPr>
              <w:t>Harvard Business Review Digital Articles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6071F"/>
                <w:spacing w:val="0"/>
                <w:sz w:val="18"/>
                <w:szCs w:val="18"/>
                <w:shd w:val="clear" w:fill="FDFDFE"/>
              </w:rPr>
              <w:t>, 1-10.</w:t>
            </w:r>
          </w:p>
          <w:p w14:paraId="120118CA">
            <w:pPr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4955F5"/>
                <w:spacing w:val="0"/>
                <w:sz w:val="18"/>
                <w:szCs w:val="18"/>
                <w:u w:val="single"/>
                <w:bdr w:val="none" w:color="auto" w:sz="0" w:space="0"/>
                <w:shd w:val="clear" w:fill="FDFDFE"/>
              </w:rPr>
            </w:pPr>
          </w:p>
          <w:p w14:paraId="3E82F630">
            <w:pPr>
              <w:jc w:val="left"/>
              <w:rPr>
                <w:rFonts w:ascii="Arial" w:hAnsi="Arial" w:cs="Arial"/>
                <w:b/>
                <w:bCs/>
                <w:sz w:val="32"/>
                <w:szCs w:val="32"/>
              </w:rPr>
            </w:pPr>
          </w:p>
        </w:tc>
      </w:tr>
    </w:tbl>
    <w:p w14:paraId="30F5A74E">
      <w:pPr>
        <w:rPr>
          <w:rFonts w:ascii="Arial" w:hAnsi="Arial" w:cs="Arial"/>
        </w:rPr>
      </w:pPr>
      <w:bookmarkStart w:id="0" w:name="_GoBack"/>
      <w:bookmarkEnd w:id="0"/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CFB3CF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</w:docVars>
  <w:rsids>
    <w:rsidRoot w:val="001E4FDB"/>
    <w:rsid w:val="00050BD1"/>
    <w:rsid w:val="0005493E"/>
    <w:rsid w:val="0005568B"/>
    <w:rsid w:val="00097F5D"/>
    <w:rsid w:val="000C271F"/>
    <w:rsid w:val="00104C08"/>
    <w:rsid w:val="00111708"/>
    <w:rsid w:val="00111DBB"/>
    <w:rsid w:val="001325F7"/>
    <w:rsid w:val="00167814"/>
    <w:rsid w:val="00172CD0"/>
    <w:rsid w:val="001B11E6"/>
    <w:rsid w:val="001E4FDB"/>
    <w:rsid w:val="002134EC"/>
    <w:rsid w:val="00237D61"/>
    <w:rsid w:val="00240A77"/>
    <w:rsid w:val="00247E23"/>
    <w:rsid w:val="00256268"/>
    <w:rsid w:val="00264E78"/>
    <w:rsid w:val="0028521B"/>
    <w:rsid w:val="0029587B"/>
    <w:rsid w:val="002B1AB4"/>
    <w:rsid w:val="002D46DB"/>
    <w:rsid w:val="002F7910"/>
    <w:rsid w:val="003144D5"/>
    <w:rsid w:val="003A0912"/>
    <w:rsid w:val="003C7AB1"/>
    <w:rsid w:val="003D5812"/>
    <w:rsid w:val="003E5B07"/>
    <w:rsid w:val="004071C8"/>
    <w:rsid w:val="004144A4"/>
    <w:rsid w:val="00452BCF"/>
    <w:rsid w:val="0048598F"/>
    <w:rsid w:val="004A3E71"/>
    <w:rsid w:val="004C26F4"/>
    <w:rsid w:val="005050D4"/>
    <w:rsid w:val="0051332C"/>
    <w:rsid w:val="00525CEA"/>
    <w:rsid w:val="00532020"/>
    <w:rsid w:val="005720CB"/>
    <w:rsid w:val="00574E8A"/>
    <w:rsid w:val="00575642"/>
    <w:rsid w:val="005963FC"/>
    <w:rsid w:val="005A2771"/>
    <w:rsid w:val="005A561E"/>
    <w:rsid w:val="005F2B07"/>
    <w:rsid w:val="006421C9"/>
    <w:rsid w:val="00674F66"/>
    <w:rsid w:val="006A6EC7"/>
    <w:rsid w:val="006B07F5"/>
    <w:rsid w:val="006B6212"/>
    <w:rsid w:val="00700BFF"/>
    <w:rsid w:val="00715551"/>
    <w:rsid w:val="00737B0D"/>
    <w:rsid w:val="007620A6"/>
    <w:rsid w:val="00775F47"/>
    <w:rsid w:val="007C3A67"/>
    <w:rsid w:val="007E3318"/>
    <w:rsid w:val="007E6E74"/>
    <w:rsid w:val="007F1594"/>
    <w:rsid w:val="00812E14"/>
    <w:rsid w:val="00813D6F"/>
    <w:rsid w:val="008363D9"/>
    <w:rsid w:val="008D2508"/>
    <w:rsid w:val="008F197D"/>
    <w:rsid w:val="008F648D"/>
    <w:rsid w:val="00910701"/>
    <w:rsid w:val="00923027"/>
    <w:rsid w:val="00956EC7"/>
    <w:rsid w:val="00973CE4"/>
    <w:rsid w:val="009808D1"/>
    <w:rsid w:val="009E4F76"/>
    <w:rsid w:val="00A156F3"/>
    <w:rsid w:val="00A22A91"/>
    <w:rsid w:val="00A51028"/>
    <w:rsid w:val="00A7539C"/>
    <w:rsid w:val="00A846F1"/>
    <w:rsid w:val="00AA3123"/>
    <w:rsid w:val="00AD3665"/>
    <w:rsid w:val="00AE1BAC"/>
    <w:rsid w:val="00AF041F"/>
    <w:rsid w:val="00AF505F"/>
    <w:rsid w:val="00B16046"/>
    <w:rsid w:val="00B233AA"/>
    <w:rsid w:val="00B51CCD"/>
    <w:rsid w:val="00B74291"/>
    <w:rsid w:val="00BC5432"/>
    <w:rsid w:val="00BD19B4"/>
    <w:rsid w:val="00BD1F98"/>
    <w:rsid w:val="00BF0E80"/>
    <w:rsid w:val="00C0613E"/>
    <w:rsid w:val="00C220A1"/>
    <w:rsid w:val="00C22971"/>
    <w:rsid w:val="00C3051A"/>
    <w:rsid w:val="00C32B9D"/>
    <w:rsid w:val="00C357AE"/>
    <w:rsid w:val="00C405B7"/>
    <w:rsid w:val="00C40EC2"/>
    <w:rsid w:val="00C52E5F"/>
    <w:rsid w:val="00C90957"/>
    <w:rsid w:val="00CE013F"/>
    <w:rsid w:val="00CF7CC0"/>
    <w:rsid w:val="00D37BAE"/>
    <w:rsid w:val="00D82A1D"/>
    <w:rsid w:val="00D913BD"/>
    <w:rsid w:val="00DA208F"/>
    <w:rsid w:val="00E30628"/>
    <w:rsid w:val="00E34C9A"/>
    <w:rsid w:val="00E35719"/>
    <w:rsid w:val="00E55BC8"/>
    <w:rsid w:val="00EB0566"/>
    <w:rsid w:val="00EC001D"/>
    <w:rsid w:val="00EE668A"/>
    <w:rsid w:val="00EF39DA"/>
    <w:rsid w:val="00EF72C0"/>
    <w:rsid w:val="00F50112"/>
    <w:rsid w:val="00FC25CF"/>
    <w:rsid w:val="00FC2B7C"/>
    <w:rsid w:val="227F5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4"/>
    <w:uiPriority w:val="0"/>
    <w:rPr>
      <w:rFonts w:ascii="宋体" w:hAnsi="Courier New"/>
      <w:szCs w:val="21"/>
    </w:rPr>
  </w:style>
  <w:style w:type="paragraph" w:styleId="3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qFormat/>
    <w:uiPriority w:val="20"/>
    <w:rPr>
      <w:i/>
    </w:rPr>
  </w:style>
  <w:style w:type="character" w:styleId="11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2">
    <w:name w:val="页眉 字符"/>
    <w:basedOn w:val="9"/>
    <w:link w:val="5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9"/>
    <w:link w:val="4"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纯文本 字符"/>
    <w:basedOn w:val="9"/>
    <w:link w:val="2"/>
    <w:uiPriority w:val="0"/>
    <w:rPr>
      <w:rFonts w:ascii="宋体" w:hAnsi="Courier New" w:eastAsia="宋体" w:cs="Times New Roman"/>
      <w:szCs w:val="21"/>
    </w:rPr>
  </w:style>
  <w:style w:type="paragraph" w:customStyle="1" w:styleId="15">
    <w:name w:val="EndNote Bibliography Title"/>
    <w:basedOn w:val="1"/>
    <w:link w:val="16"/>
    <w:qFormat/>
    <w:uiPriority w:val="0"/>
    <w:pPr>
      <w:jc w:val="center"/>
    </w:pPr>
    <w:rPr>
      <w:sz w:val="20"/>
    </w:rPr>
  </w:style>
  <w:style w:type="character" w:customStyle="1" w:styleId="16">
    <w:name w:val="EndNote Bibliography Title Char"/>
    <w:basedOn w:val="9"/>
    <w:link w:val="15"/>
    <w:qFormat/>
    <w:uiPriority w:val="0"/>
    <w:rPr>
      <w:rFonts w:ascii="Times New Roman" w:hAnsi="Times New Roman" w:eastAsia="宋体" w:cs="Times New Roman"/>
      <w:sz w:val="20"/>
      <w:szCs w:val="24"/>
    </w:rPr>
  </w:style>
  <w:style w:type="paragraph" w:customStyle="1" w:styleId="17">
    <w:name w:val="EndNote Bibliography"/>
    <w:basedOn w:val="1"/>
    <w:link w:val="18"/>
    <w:qFormat/>
    <w:uiPriority w:val="0"/>
    <w:rPr>
      <w:sz w:val="20"/>
    </w:rPr>
  </w:style>
  <w:style w:type="character" w:customStyle="1" w:styleId="18">
    <w:name w:val="EndNote Bibliography Char"/>
    <w:basedOn w:val="9"/>
    <w:link w:val="17"/>
    <w:qFormat/>
    <w:uiPriority w:val="0"/>
    <w:rPr>
      <w:rFonts w:ascii="Times New Roman" w:hAnsi="Times New Roman" w:eastAsia="宋体" w:cs="Times New Roman"/>
      <w:sz w:val="20"/>
      <w:szCs w:val="24"/>
    </w:rPr>
  </w:style>
  <w:style w:type="character" w:customStyle="1" w:styleId="19">
    <w:name w:val="未处理的提及1"/>
    <w:basedOn w:val="9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0">
    <w:name w:val="批注框文本 字符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1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336</Words>
  <Characters>2226</Characters>
  <Lines>20</Lines>
  <Paragraphs>5</Paragraphs>
  <TotalTime>58</TotalTime>
  <ScaleCrop>false</ScaleCrop>
  <LinksUpToDate>false</LinksUpToDate>
  <CharactersWithSpaces>2523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2025-03-10T10:30:00Z</dcterms:created>
  <dc:creator>49545</dc:creator>
  <cp:lastModifiedBy>叶落长安キ</cp:lastModifiedBy>
  <cp:lastPrinted>2023-02-21T07:42:00Z</cp:lastPrinted>
  <dcterms:modified xsi:type="dcterms:W3CDTF">2025-03-15T14:09:38Z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776712b0aa81d26fb153c8a25f83019571a842f7bbd9aea579305e3132c06894</vt:lpwstr>
  </property>
  <property fmtid="{D5CDD505-2E9C-101B-9397-08002B2CF9AE}" pid="3" name="KSOTemplateDocerSaveRecord">
    <vt:lpwstr>eyJoZGlkIjoiNDI4NzAwNDM0NTU0OWUzMmMxZDdmNGNkMWE0MmM1Y2EiLCJ1c2VySWQiOiI3MzA5OTIwNTkifQ==</vt:lpwstr>
  </property>
  <property fmtid="{D5CDD505-2E9C-101B-9397-08002B2CF9AE}" pid="4" name="KSOProductBuildVer">
    <vt:lpwstr>2052-12.1.0.20305</vt:lpwstr>
  </property>
  <property fmtid="{D5CDD505-2E9C-101B-9397-08002B2CF9AE}" pid="5" name="ICV">
    <vt:lpwstr>18DEAC6C5E424A1D899221EC820C574A_12</vt:lpwstr>
  </property>
</Properties>
</file>