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黑体" w:hAnsi="黑体" w:eastAsia="黑体" w:cs="黑体" w:hint="eastAsia"/>
          <w:sz w:val="44"/>
          <w:szCs w:val="44"/>
        </w:rPr>
      </w:pPr>
      <w:r>
        <w:rPr>
          <w:rFonts w:eastAsia="黑体" w:cs="黑体" w:hint="eastAsia" w:ascii="黑体" w:hAnsi="黑体"/>
          <w:sz w:val="44"/>
          <w:szCs w:val="44"/>
        </w:rPr>
      </w:r>
    </w:p>
    <w:p>
      <w:pPr>
        <w:pStyle w:val="Normal"/>
        <w:bidi w:val="0"/>
        <w:jc w:val="center"/>
        <w:rPr>
          <w:rFonts w:ascii="黑体" w:hAnsi="黑体" w:eastAsia="黑体" w:cs="黑体" w:hint="eastAsia"/>
          <w:sz w:val="44"/>
          <w:szCs w:val="44"/>
        </w:rPr>
      </w:pPr>
      <w:r>
        <w:rPr>
          <w:rFonts w:eastAsia="黑体" w:cs="黑体" w:hint="eastAsia" w:ascii="黑体" w:hAnsi="黑体"/>
          <w:sz w:val="44"/>
          <w:szCs w:val="44"/>
        </w:rPr>
      </w:r>
    </w:p>
    <w:p>
      <w:pPr>
        <w:pStyle w:val="Normal"/>
        <w:bidi w:val="0"/>
        <w:jc w:val="center"/>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t>2026</w:t>
      </w:r>
      <w:r>
        <w:rPr>
          <w:rFonts w:ascii="黑体" w:hAnsi="黑体" w:cs="黑体" w:hint="eastAsia" w:eastAsia="黑体"/>
          <w:sz w:val="44"/>
          <w:szCs w:val="44"/>
        </w:rPr>
        <w:t>年第八届</w:t>
      </w:r>
    </w:p>
    <w:p>
      <w:pPr>
        <w:pStyle w:val="Normal"/>
        <w:keepNext w:val="false"/>
        <w:keepLines w:val="false"/>
        <w:pageBreakBefore w:val="false"/>
        <w:widowControl w:val="false"/>
        <w:kinsoku w:val="true"/>
        <w:overflowPunct w:val="true"/>
        <w:autoSpaceDE w:val="true"/>
        <w:bidi w:val="0"/>
        <w:snapToGrid w:val="true"/>
        <w:ind w:firstLineChars="0" w:firstLine="0" w:endChars="0" w:end="0"/>
        <w:jc w:val="center"/>
        <w:textAlignment w:val="auto"/>
        <w:rPr>
          <w:rFonts w:ascii="黑体" w:hAnsi="黑体" w:eastAsia="黑体" w:cs="黑体" w:hint="eastAsia"/>
          <w:sz w:val="44"/>
          <w:szCs w:val="44"/>
        </w:rPr>
      </w:pPr>
      <w:r>
        <w:rPr>
          <w:rFonts w:ascii="黑体" w:hAnsi="黑体" w:cs="黑体" w:hint="eastAsia" w:eastAsia="黑体"/>
          <w:sz w:val="44"/>
          <w:szCs w:val="44"/>
        </w:rPr>
        <w:t>全球校园人工智能算法精英大赛</w:t>
      </w:r>
    </w:p>
    <w:p>
      <w:pPr>
        <w:pStyle w:val="Normal"/>
        <w:keepNext w:val="false"/>
        <w:keepLines w:val="false"/>
        <w:pageBreakBefore w:val="false"/>
        <w:widowControl w:val="false"/>
        <w:kinsoku w:val="true"/>
        <w:overflowPunct w:val="true"/>
        <w:autoSpaceDE w:val="true"/>
        <w:bidi w:val="0"/>
        <w:snapToGrid w:val="true"/>
        <w:ind w:firstLineChars="0" w:firstLine="0" w:endChars="0" w:end="0"/>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endChars="0" w:end="0"/>
        <w:jc w:val="center"/>
        <w:textAlignment w:val="auto"/>
        <w:rPr>
          <w:rFonts w:ascii="黑体" w:hAnsi="黑体" w:eastAsia="黑体" w:cs="黑体" w:hint="eastAsia"/>
          <w:sz w:val="40"/>
          <w:szCs w:val="40"/>
        </w:rPr>
      </w:pPr>
      <w:r>
        <w:rPr>
          <w:rFonts w:ascii="黑体" w:hAnsi="黑体" w:cs="黑体" w:hint="eastAsia" w:eastAsia="黑体"/>
          <w:sz w:val="40"/>
          <w:szCs w:val="40"/>
        </w:rPr>
        <w:t>算法创新赛</w:t>
      </w:r>
    </w:p>
    <w:p>
      <w:pPr>
        <w:pStyle w:val="Normal"/>
        <w:spacing w:line="240" w:lineRule="auto"/>
        <w:keepNext w:val="false"/>
        <w:keepLines w:val="false"/>
        <w:pageBreakBefore w:val="false"/>
        <w:widowControl w:val="false"/>
        <w:kinsoku w:val="true"/>
        <w:overflowPunct w:val="true"/>
        <w:autoSpaceDE w:val="true"/>
        <w:bidi w:val="0"/>
        <w:snapToGrid w:val="true"/>
        <w:ind w:firstLineChars="0" w:firstLine="0" w:endChars="0" w:end="0"/>
        <w:jc w:val="center"/>
        <w:textAlignment w:val="auto"/>
        <w:rPr>
          <w:rFonts w:ascii="黑体" w:hAnsi="黑体" w:eastAsia="黑体" w:cs="黑体" w:hint="eastAsia"/>
          <w:sz w:val="36"/>
          <w:szCs w:val="36"/>
        </w:rPr>
      </w:pPr>
      <w:r>
        <w:rPr>
          <w:rFonts w:ascii="黑体" w:hAnsi="黑体" w:cs="黑体" w:hint="eastAsia" w:eastAsia="黑体"/>
          <w:sz w:val="36"/>
          <w:szCs w:val="36"/>
        </w:rPr>
        <w:t xml:space="preserve">（赛题 2：AI+软件创新）</w:t>
      </w:r>
    </w:p>
    <w:p>
      <w:pPr>
        <w:pStyle w:val="Normal"/>
        <w:keepNext w:val="false"/>
        <w:keepLines w:val="false"/>
        <w:pageBreakBefore w:val="false"/>
        <w:widowControl w:val="false"/>
        <w:kinsoku w:val="true"/>
        <w:overflowPunct w:val="true"/>
        <w:autoSpaceDE w:val="true"/>
        <w:bidi w:val="0"/>
        <w:snapToGrid w:val="true"/>
        <w:ind w:firstLineChars="0" w:firstLine="0" w:endChars="0" w:end="0"/>
        <w:jc w:val="center"/>
        <w:textAlignment w:val="auto"/>
        <w:rPr>
          <w:rFonts w:ascii="黑体" w:hAnsi="黑体" w:eastAsia="黑体" w:cs="黑体" w:hint="eastAsia"/>
          <w:sz w:val="44"/>
          <w:szCs w:val="44"/>
        </w:rPr>
      </w:pPr>
      <w:r>
        <w:rPr>
          <w:rFonts w:ascii="黑体" w:hAnsi="黑体" w:cs="黑体" w:hint="eastAsia" w:eastAsia="黑体"/>
          <w:sz w:val="40"/>
          <w:szCs w:val="40"/>
        </w:rPr>
        <w:t>技术报告</w:t>
      </w:r>
    </w:p>
    <w:p>
      <w:pPr>
        <w:pStyle w:val="Normal"/>
        <w:bidi w:val="0"/>
        <w:rPr>
          <w:rFonts w:ascii="黑体" w:hAnsi="黑体" w:eastAsia="黑体" w:cs="黑体" w:hint="eastAsia"/>
          <w:sz w:val="44"/>
          <w:szCs w:val="44"/>
        </w:rPr>
      </w:pPr>
      <w:r>
        <w:rPr>
          <w:rFonts w:eastAsia="黑体" w:cs="黑体" w:hint="eastAsia" w:ascii="黑体" w:hAnsi="黑体"/>
          <w:sz w:val="44"/>
          <w:szCs w:val="44"/>
        </w:rPr>
      </w:r>
    </w:p>
    <w:p>
      <w:pPr>
        <w:pStyle w:val="Normal"/>
        <w:spacing w:line="240" w:lineRule="auto"/>
        <w:bidi w:val="0"/>
        <w:ind w:firstLineChars="725" w:endChars="0" w:end="0"/>
        <w:rPr>
          <w:rFonts w:ascii="仿宋" w:hAnsi="仿宋" w:eastAsia="仿宋" w:cs="仿宋" w:hint="eastAsia"/>
          <w:sz w:val="32"/>
          <w:szCs w:val="32"/>
          <w:u w:val="single"/>
        </w:rPr>
      </w:pPr>
      <w:r>
        <w:rPr>
          <w:rFonts w:ascii="仿宋" w:hAnsi="仿宋" w:cs="仿宋" w:hint="eastAsia" w:eastAsia="仿宋"/>
          <w:sz w:val="32"/>
          <w:szCs w:val="32"/>
        </w:rPr>
        <w:t xml:space="preserve">团队名称：规码同轨团队</w:t>
      </w:r>
    </w:p>
    <w:p>
      <w:pPr>
        <w:pStyle w:val="Normal"/>
        <w:bidi w:val="0"/>
        <w:ind w:firstLineChars="725" w:endChars="0" w:end="0"/>
        <w:rPr>
          <w:rFonts w:ascii="仿宋" w:hAnsi="仿宋" w:eastAsia="仿宋" w:cs="仿宋"/>
          <w:sz w:val="32"/>
          <w:szCs w:val="32"/>
          <w:u w:val="single"/>
        </w:rPr>
      </w:pPr>
      <w:r>
        <w:rPr>
          <w:rFonts w:ascii="仿宋" w:hAnsi="仿宋" w:cs="仿宋" w:hint="eastAsia" w:eastAsia="仿宋"/>
          <w:sz w:val="32"/>
          <w:szCs w:val="32"/>
        </w:rPr>
        <w:t>参赛编号</w:t>
      </w:r>
      <w:r>
        <w:rPr>
          <w:rFonts w:ascii="仿宋" w:hAnsi="仿宋" w:cs="仿宋" w:hint="eastAsia"/>
          <w:sz w:val="32"/>
          <w:szCs w:val="32"/>
          <w:u w:val="none"/>
        </w:rPr>
        <w:t>：</w:t>
      </w:r>
      <w:r>
        <w:rPr>
          <w:rFonts w:cs="仿宋" w:hint="eastAsia" w:ascii="仿宋" w:hAnsi="仿宋"/>
          <w:sz w:val="32"/>
          <w:szCs w:val="32"/>
          <w:u w:val="single"/>
        </w:rPr>
        <w:t xml:space="preserve">AIC-2026-    </w:t>
      </w:r>
    </w:p>
    <w:p>
      <w:pPr>
        <w:pStyle w:val="Normal"/>
        <w:spacing w:line="240" w:lineRule="auto"/>
        <w:bidi w:val="0"/>
        <w:ind w:firstLineChars="725" w:endChars="0" w:end="0"/>
        <w:rPr>
          <w:rFonts w:ascii="黑体" w:hAnsi="黑体" w:eastAsia="黑体" w:cs="黑体" w:hint="eastAsia"/>
          <w:sz w:val="44"/>
          <w:szCs w:val="44"/>
        </w:rPr>
      </w:pPr>
      <w:r>
        <w:rPr>
          <w:rFonts w:ascii="仿宋" w:hAnsi="仿宋" w:cs="仿宋" w:hint="eastAsia" w:eastAsia="仿宋"/>
          <w:sz w:val="32"/>
          <w:szCs w:val="32"/>
        </w:rPr>
        <w:t xml:space="preserve">作品名称：规码同轨</w:t>
      </w:r>
    </w:p>
    <w:p>
      <w:pPr>
        <w:pStyle w:val="Normal"/>
        <w:spacing w:line="240" w:lineRule="auto"/>
        <w:bidi w:val="0"/>
        <w:ind w:firstLineChars="725" w:endChars="0" w:end="0"/>
        <w:rPr>
          <w:rFonts w:ascii="仿宋" w:hAnsi="仿宋" w:cs="仿宋" w:hint="eastAsia"/>
          <w:sz w:val="32"/>
          <w:szCs w:val="32"/>
          <w:u w:val="none"/>
        </w:rPr>
        <w:sectPr>
          <w:headerReference w:type="default" r:id="rId2"/>
          <w:footerReference w:type="default" r:id="rId3"/>
          <w:type w:val="nextPage"/>
          <w:pgSz w:w="11906" w:h="16838"/>
          <w:pgMar w:left="1701" w:right="1701" w:gutter="0" w:header="850" w:top="1417" w:footer="850" w:bottom="1417"/>
          <w:pgNumType w:start="1" w:fmt="upperRoman"/>
          <w:formProt w:val="false"/>
          <w:textDirection w:val="lrTb"/>
          <w:docGrid w:type="lines" w:linePitch="333" w:charSpace="0"/>
        </w:sectPr>
      </w:pPr>
      <w:r>
        <w:rPr>
          <w:rFonts w:ascii="仿宋" w:hAnsi="仿宋" w:cs="仿宋" w:hint="eastAsia"/>
          <w:sz w:val="32"/>
          <w:szCs w:val="32"/>
          <w:u w:val="none"/>
        </w:rPr>
        <w:t xml:space="preserve">日期：2026 年 10 月</w:t>
      </w:r>
    </w:p>
    <w:sdt>
      <w:sdtPr>
        <w:docPartObj>
          <w:docPartGallery w:val="Table of Contents"/>
          <w:docPartUnique w:val="true"/>
        </w:docPartObj>
      </w:sdtPr>
      <w:sdtContent>
        <w:p>
          <w:pPr>
            <w:jc w:val="center"/>
            <w:spacing w:before="200" w:after="280" w:line="240" w:lineRule="auto"/>
          </w:pPr>
          <w:r>
            <w:rPr>
              <w:rFonts w:ascii="Times New Roman" w:hAnsi="Times New Roman" w:eastAsia="宋体"/>
              <w:b/>
              <w:sz w:val="44"/>
            </w:rPr>
            <w:t>目　　录</w:t>
          </w:r>
        </w:p>
        <w:p>
          <w:pPr>
            <w:pStyle w:val="TOC1"/>
            <w:spacing w:line="240" w:lineRule="auto" w:after="40"/>
            <w:ind w:firstLineChars="0" w:firstLine="0"/>
          </w:pPr>
          <w:r>
            <w:fldChar w:fldCharType="begin"/>
          </w:r>
          <w:r>
            <w:instrText xml:space="preserve"> TOC \o "1-2" \h \z \u </w:instrText>
          </w:r>
          <w:r>
            <w:fldChar w:fldCharType="separate"/>
          </w:r>
          <w:r>
            <w:rPr>
              <w:rFonts w:ascii="Times New Roman" w:hAnsi="Times New Roman" w:eastAsia="宋体"/>
              <w:b/>
              <w:sz w:val="21"/>
            </w:rPr>
            <w:t>作品简介</w:t>
          </w:r>
          <w:r>
            <w:rPr>
              <w:rFonts w:ascii="Times New Roman" w:hAnsi="Times New Roman" w:eastAsia="宋体"/>
              <w:b/>
              <w:sz w:val="21"/>
            </w:rPr>
            <w:tab/>
            <w:t>2</w:t>
          </w:r>
        </w:p>
        <w:p>
          <w:pPr>
            <w:pStyle w:val="TOC1"/>
            <w:spacing w:line="240" w:lineRule="auto" w:after="40"/>
            <w:ind w:firstLineChars="0" w:firstLine="0"/>
          </w:pPr>
          <w:r>
            <w:rPr>
              <w:rFonts w:ascii="Times New Roman" w:hAnsi="Times New Roman" w:eastAsia="宋体"/>
              <w:b/>
              <w:sz w:val="21"/>
            </w:rPr>
            <w:t>一、项目概述</w:t>
          </w:r>
          <w:r>
            <w:rPr>
              <w:rFonts w:ascii="Times New Roman" w:hAnsi="Times New Roman" w:eastAsia="宋体"/>
              <w:b/>
              <w:sz w:val="21"/>
            </w:rPr>
            <w:tab/>
            <w:t>3</w:t>
          </w:r>
        </w:p>
        <w:p>
          <w:pPr>
            <w:pStyle w:val="TOC2"/>
            <w:spacing w:line="240" w:lineRule="auto" w:after="40"/>
            <w:ind w:firstLineChars="0" w:firstLine="0"/>
          </w:pPr>
          <w:r>
            <w:rPr>
              <w:rFonts w:ascii="Times New Roman" w:hAnsi="Times New Roman" w:eastAsia="宋体"/>
              <w:sz w:val="21"/>
            </w:rPr>
            <w:t>（一）项目背景与意义</w:t>
          </w:r>
          <w:r>
            <w:rPr>
              <w:rFonts w:ascii="Times New Roman" w:hAnsi="Times New Roman" w:eastAsia="宋体"/>
              <w:sz w:val="21"/>
            </w:rPr>
            <w:tab/>
            <w:t>3</w:t>
          </w:r>
        </w:p>
        <w:p>
          <w:pPr>
            <w:pStyle w:val="TOC2"/>
            <w:spacing w:line="240" w:lineRule="auto" w:after="40"/>
            <w:ind w:firstLineChars="0" w:firstLine="0"/>
          </w:pPr>
          <w:r>
            <w:rPr>
              <w:rFonts w:ascii="Times New Roman" w:hAnsi="Times New Roman" w:eastAsia="宋体"/>
              <w:sz w:val="21"/>
            </w:rPr>
            <w:t>（二）赛题方向定位</w:t>
          </w:r>
          <w:r>
            <w:rPr>
              <w:rFonts w:ascii="Times New Roman" w:hAnsi="Times New Roman" w:eastAsia="宋体"/>
              <w:sz w:val="21"/>
            </w:rPr>
            <w:tab/>
            <w:t>3</w:t>
          </w:r>
        </w:p>
        <w:p>
          <w:pPr>
            <w:pStyle w:val="TOC1"/>
            <w:spacing w:line="240" w:lineRule="auto" w:after="40"/>
            <w:ind w:firstLineChars="0" w:firstLine="0"/>
          </w:pPr>
          <w:r>
            <w:rPr>
              <w:rFonts w:ascii="Times New Roman" w:hAnsi="Times New Roman" w:eastAsia="宋体"/>
              <w:b/>
              <w:sz w:val="21"/>
            </w:rPr>
            <w:t>二、技术架构与创新</w:t>
          </w:r>
          <w:r>
            <w:rPr>
              <w:rFonts w:ascii="Times New Roman" w:hAnsi="Times New Roman" w:eastAsia="宋体"/>
              <w:b/>
              <w:sz w:val="21"/>
            </w:rPr>
            <w:tab/>
            <w:t>4</w:t>
          </w:r>
        </w:p>
        <w:p>
          <w:pPr>
            <w:pStyle w:val="TOC2"/>
            <w:spacing w:line="240" w:lineRule="auto" w:after="40"/>
            <w:ind w:firstLineChars="0" w:firstLine="0"/>
          </w:pPr>
          <w:r>
            <w:rPr>
              <w:rFonts w:ascii="Times New Roman" w:hAnsi="Times New Roman" w:eastAsia="宋体"/>
              <w:sz w:val="21"/>
            </w:rPr>
            <w:t>（一）整体架构</w:t>
          </w:r>
          <w:r>
            <w:rPr>
              <w:rFonts w:ascii="Times New Roman" w:hAnsi="Times New Roman" w:eastAsia="宋体"/>
              <w:sz w:val="21"/>
            </w:rPr>
            <w:tab/>
            <w:t>5</w:t>
          </w:r>
        </w:p>
        <w:p>
          <w:pPr>
            <w:pStyle w:val="TOC2"/>
            <w:spacing w:line="240" w:lineRule="auto" w:after="40"/>
            <w:ind w:firstLineChars="0" w:firstLine="0"/>
          </w:pPr>
          <w:r>
            <w:rPr>
              <w:rFonts w:ascii="Times New Roman" w:hAnsi="Times New Roman" w:eastAsia="宋体"/>
              <w:sz w:val="21"/>
            </w:rPr>
            <w:t>（二）技术选型</w:t>
          </w:r>
          <w:r>
            <w:rPr>
              <w:rFonts w:ascii="Times New Roman" w:hAnsi="Times New Roman" w:eastAsia="宋体"/>
              <w:sz w:val="21"/>
            </w:rPr>
            <w:tab/>
            <w:t>5</w:t>
          </w:r>
        </w:p>
        <w:p>
          <w:pPr>
            <w:pStyle w:val="TOC2"/>
            <w:spacing w:line="240" w:lineRule="auto" w:after="40"/>
            <w:ind w:firstLineChars="0" w:firstLine="0"/>
          </w:pPr>
          <w:r>
            <w:rPr>
              <w:rFonts w:ascii="Times New Roman" w:hAnsi="Times New Roman" w:eastAsia="宋体"/>
              <w:sz w:val="21"/>
            </w:rPr>
            <w:t>（三）核心算法设计</w:t>
          </w:r>
          <w:r>
            <w:rPr>
              <w:rFonts w:ascii="Times New Roman" w:hAnsi="Times New Roman" w:eastAsia="宋体"/>
              <w:sz w:val="21"/>
            </w:rPr>
            <w:tab/>
            <w:t>6</w:t>
          </w:r>
        </w:p>
        <w:p>
          <w:pPr>
            <w:pStyle w:val="TOC2"/>
            <w:spacing w:line="240" w:lineRule="auto" w:after="40"/>
            <w:ind w:firstLineChars="0" w:firstLine="0"/>
          </w:pPr>
          <w:r>
            <w:rPr>
              <w:rFonts w:ascii="Times New Roman" w:hAnsi="Times New Roman" w:eastAsia="宋体"/>
              <w:sz w:val="21"/>
            </w:rPr>
            <w:t>（四）创新应用与同类对比</w:t>
          </w:r>
          <w:r>
            <w:rPr>
              <w:rFonts w:ascii="Times New Roman" w:hAnsi="Times New Roman" w:eastAsia="宋体"/>
              <w:sz w:val="21"/>
            </w:rPr>
            <w:tab/>
            <w:t>7</w:t>
          </w:r>
        </w:p>
        <w:p>
          <w:pPr>
            <w:pStyle w:val="TOC1"/>
            <w:spacing w:line="240" w:lineRule="auto" w:after="40"/>
            <w:ind w:firstLineChars="0" w:firstLine="0"/>
          </w:pPr>
          <w:r>
            <w:rPr>
              <w:rFonts w:ascii="Times New Roman" w:hAnsi="Times New Roman" w:eastAsia="宋体"/>
              <w:b/>
              <w:sz w:val="21"/>
            </w:rPr>
            <w:t>三、功能设计与实现</w:t>
          </w:r>
          <w:r>
            <w:rPr>
              <w:rFonts w:ascii="Times New Roman" w:hAnsi="Times New Roman" w:eastAsia="宋体"/>
              <w:b/>
              <w:sz w:val="21"/>
            </w:rPr>
            <w:tab/>
            <w:t>9</w:t>
          </w:r>
        </w:p>
        <w:p>
          <w:pPr>
            <w:pStyle w:val="TOC2"/>
            <w:spacing w:line="240" w:lineRule="auto" w:after="40"/>
            <w:ind w:firstLineChars="0" w:firstLine="0"/>
          </w:pPr>
          <w:r>
            <w:rPr>
              <w:rFonts w:ascii="Times New Roman" w:hAnsi="Times New Roman" w:eastAsia="宋体"/>
              <w:sz w:val="21"/>
            </w:rPr>
            <w:t>（一）核心功能：六环节分析流水线</w:t>
          </w:r>
          <w:r>
            <w:rPr>
              <w:rFonts w:ascii="Times New Roman" w:hAnsi="Times New Roman" w:eastAsia="宋体"/>
              <w:sz w:val="21"/>
            </w:rPr>
            <w:tab/>
            <w:t>9</w:t>
          </w:r>
        </w:p>
        <w:p>
          <w:pPr>
            <w:pStyle w:val="TOC2"/>
            <w:spacing w:line="240" w:lineRule="auto" w:after="40"/>
            <w:ind w:firstLineChars="0" w:firstLine="0"/>
          </w:pPr>
          <w:r>
            <w:rPr>
              <w:rFonts w:ascii="Times New Roman" w:hAnsi="Times New Roman" w:eastAsia="宋体"/>
              <w:sz w:val="21"/>
            </w:rPr>
            <w:t>（二）辅助功能</w:t>
          </w:r>
          <w:r>
            <w:rPr>
              <w:rFonts w:ascii="Times New Roman" w:hAnsi="Times New Roman" w:eastAsia="宋体"/>
              <w:sz w:val="21"/>
            </w:rPr>
            <w:tab/>
            <w:t>10</w:t>
          </w:r>
        </w:p>
        <w:p>
          <w:pPr>
            <w:pStyle w:val="TOC2"/>
            <w:spacing w:line="240" w:lineRule="auto" w:after="40"/>
            <w:ind w:firstLineChars="0" w:firstLine="0"/>
          </w:pPr>
          <w:r>
            <w:rPr>
              <w:rFonts w:ascii="Times New Roman" w:hAnsi="Times New Roman" w:eastAsia="宋体"/>
              <w:sz w:val="21"/>
            </w:rPr>
            <w:t>（三）扩展性设计</w:t>
          </w:r>
          <w:r>
            <w:rPr>
              <w:rFonts w:ascii="Times New Roman" w:hAnsi="Times New Roman" w:eastAsia="宋体"/>
              <w:sz w:val="21"/>
            </w:rPr>
            <w:tab/>
            <w:t>11</w:t>
          </w:r>
        </w:p>
        <w:p>
          <w:pPr>
            <w:pStyle w:val="TOC1"/>
            <w:spacing w:line="240" w:lineRule="auto" w:after="40"/>
            <w:ind w:firstLineChars="0" w:firstLine="0"/>
          </w:pPr>
          <w:r>
            <w:rPr>
              <w:rFonts w:ascii="Times New Roman" w:hAnsi="Times New Roman" w:eastAsia="宋体"/>
              <w:b/>
              <w:sz w:val="21"/>
            </w:rPr>
            <w:t>四、开发测试与部署</w:t>
          </w:r>
          <w:r>
            <w:rPr>
              <w:rFonts w:ascii="Times New Roman" w:hAnsi="Times New Roman" w:eastAsia="宋体"/>
              <w:b/>
              <w:sz w:val="21"/>
            </w:rPr>
            <w:tab/>
            <w:t>11</w:t>
          </w:r>
        </w:p>
        <w:p>
          <w:pPr>
            <w:pStyle w:val="TOC2"/>
            <w:spacing w:line="240" w:lineRule="auto" w:after="40"/>
            <w:ind w:firstLineChars="0" w:firstLine="0"/>
          </w:pPr>
          <w:r>
            <w:rPr>
              <w:rFonts w:ascii="Times New Roman" w:hAnsi="Times New Roman" w:eastAsia="宋体"/>
              <w:sz w:val="21"/>
            </w:rPr>
            <w:t>（一）开发流程</w:t>
          </w:r>
          <w:r>
            <w:rPr>
              <w:rFonts w:ascii="Times New Roman" w:hAnsi="Times New Roman" w:eastAsia="宋体"/>
              <w:sz w:val="21"/>
            </w:rPr>
            <w:tab/>
            <w:t>11</w:t>
          </w:r>
        </w:p>
        <w:p>
          <w:pPr>
            <w:pStyle w:val="TOC2"/>
            <w:spacing w:line="240" w:lineRule="auto" w:after="40"/>
            <w:ind w:firstLineChars="0" w:firstLine="0"/>
          </w:pPr>
          <w:r>
            <w:rPr>
              <w:rFonts w:ascii="Times New Roman" w:hAnsi="Times New Roman" w:eastAsia="宋体"/>
              <w:sz w:val="21"/>
            </w:rPr>
            <w:t>（二）代码实现</w:t>
          </w:r>
          <w:r>
            <w:rPr>
              <w:rFonts w:ascii="Times New Roman" w:hAnsi="Times New Roman" w:eastAsia="宋体"/>
              <w:sz w:val="21"/>
            </w:rPr>
            <w:tab/>
            <w:t>12</w:t>
          </w:r>
        </w:p>
        <w:p>
          <w:pPr>
            <w:pStyle w:val="TOC2"/>
            <w:spacing w:line="240" w:lineRule="auto" w:after="40"/>
            <w:ind w:firstLineChars="0" w:firstLine="0"/>
          </w:pPr>
          <w:r>
            <w:rPr>
              <w:rFonts w:ascii="Times New Roman" w:hAnsi="Times New Roman" w:eastAsia="宋体"/>
              <w:sz w:val="21"/>
            </w:rPr>
            <w:t>（三）测试优化</w:t>
          </w:r>
          <w:r>
            <w:rPr>
              <w:rFonts w:ascii="Times New Roman" w:hAnsi="Times New Roman" w:eastAsia="宋体"/>
              <w:sz w:val="21"/>
            </w:rPr>
            <w:tab/>
            <w:t>12</w:t>
          </w:r>
        </w:p>
        <w:p>
          <w:pPr>
            <w:pStyle w:val="TOC2"/>
            <w:spacing w:line="240" w:lineRule="auto" w:after="40"/>
            <w:ind w:firstLineChars="0" w:firstLine="0"/>
          </w:pPr>
          <w:r>
            <w:rPr>
              <w:rFonts w:ascii="Times New Roman" w:hAnsi="Times New Roman" w:eastAsia="宋体"/>
              <w:sz w:val="21"/>
            </w:rPr>
            <w:t>（四）部署方案</w:t>
          </w:r>
          <w:r>
            <w:rPr>
              <w:rFonts w:ascii="Times New Roman" w:hAnsi="Times New Roman" w:eastAsia="宋体"/>
              <w:sz w:val="21"/>
            </w:rPr>
            <w:tab/>
            <w:t>13</w:t>
          </w:r>
        </w:p>
        <w:p>
          <w:pPr>
            <w:pStyle w:val="TOC1"/>
            <w:spacing w:line="240" w:lineRule="auto" w:after="40"/>
            <w:ind w:firstLineChars="0" w:firstLine="0"/>
          </w:pPr>
          <w:r>
            <w:rPr>
              <w:rFonts w:ascii="Times New Roman" w:hAnsi="Times New Roman" w:eastAsia="宋体"/>
              <w:b/>
              <w:sz w:val="21"/>
            </w:rPr>
            <w:t>五、应用价值与展望</w:t>
          </w:r>
          <w:r>
            <w:rPr>
              <w:rFonts w:ascii="Times New Roman" w:hAnsi="Times New Roman" w:eastAsia="宋体"/>
              <w:b/>
              <w:sz w:val="21"/>
            </w:rPr>
            <w:tab/>
            <w:t>14</w:t>
          </w:r>
        </w:p>
        <w:p>
          <w:pPr>
            <w:pStyle w:val="TOC2"/>
            <w:spacing w:line="240" w:lineRule="auto" w:after="40"/>
            <w:ind w:firstLineChars="0" w:firstLine="0"/>
          </w:pPr>
          <w:r>
            <w:rPr>
              <w:rFonts w:ascii="Times New Roman" w:hAnsi="Times New Roman" w:eastAsia="宋体"/>
              <w:sz w:val="21"/>
            </w:rPr>
            <w:t>（一）应用场景</w:t>
          </w:r>
          <w:r>
            <w:rPr>
              <w:rFonts w:ascii="Times New Roman" w:hAnsi="Times New Roman" w:eastAsia="宋体"/>
              <w:sz w:val="21"/>
            </w:rPr>
            <w:tab/>
            <w:t>14</w:t>
          </w:r>
        </w:p>
        <w:p>
          <w:pPr>
            <w:pStyle w:val="TOC2"/>
            <w:spacing w:line="240" w:lineRule="auto" w:after="40"/>
            <w:ind w:firstLineChars="0" w:firstLine="0"/>
          </w:pPr>
          <w:r>
            <w:rPr>
              <w:rFonts w:ascii="Times New Roman" w:hAnsi="Times New Roman" w:eastAsia="宋体"/>
              <w:sz w:val="21"/>
            </w:rPr>
            <w:t>（二）市场分析</w:t>
          </w:r>
          <w:r>
            <w:rPr>
              <w:rFonts w:ascii="Times New Roman" w:hAnsi="Times New Roman" w:eastAsia="宋体"/>
              <w:sz w:val="21"/>
            </w:rPr>
            <w:tab/>
            <w:t>14</w:t>
          </w:r>
        </w:p>
        <w:p>
          <w:pPr>
            <w:pStyle w:val="TOC2"/>
            <w:spacing w:line="240" w:lineRule="auto" w:after="40"/>
            <w:ind w:firstLineChars="0" w:firstLine="0"/>
          </w:pPr>
          <w:r>
            <w:rPr>
              <w:rFonts w:ascii="Times New Roman" w:hAnsi="Times New Roman" w:eastAsia="宋体"/>
              <w:sz w:val="21"/>
            </w:rPr>
            <w:t>（三）成果总结</w:t>
          </w:r>
          <w:r>
            <w:rPr>
              <w:rFonts w:ascii="Times New Roman" w:hAnsi="Times New Roman" w:eastAsia="宋体"/>
              <w:sz w:val="21"/>
            </w:rPr>
            <w:tab/>
            <w:t>15</w:t>
          </w:r>
        </w:p>
        <w:p>
          <w:pPr>
            <w:pStyle w:val="TOC2"/>
            <w:spacing w:line="240" w:lineRule="auto" w:after="40"/>
            <w:ind w:firstLineChars="0" w:firstLine="0"/>
          </w:pPr>
          <w:r>
            <w:rPr>
              <w:rFonts w:ascii="Times New Roman" w:hAnsi="Times New Roman" w:eastAsia="宋体"/>
              <w:sz w:val="21"/>
            </w:rPr>
            <w:t>（四）未来规划</w:t>
          </w:r>
          <w:r>
            <w:rPr>
              <w:rFonts w:ascii="Times New Roman" w:hAnsi="Times New Roman" w:eastAsia="宋体"/>
              <w:sz w:val="21"/>
            </w:rPr>
            <w:tab/>
            <w:t>15</w:t>
          </w:r>
        </w:p>
        <w:p>
          <w:pPr>
            <w:pStyle w:val="TOC1"/>
            <w:spacing w:line="240" w:lineRule="auto" w:after="40"/>
            <w:ind w:firstLineChars="0" w:firstLine="0"/>
          </w:pPr>
          <w:r>
            <w:rPr>
              <w:rFonts w:ascii="Times New Roman" w:hAnsi="Times New Roman" w:eastAsia="宋体"/>
              <w:b/>
              <w:sz w:val="21"/>
            </w:rPr>
            <w:t>六、附录</w:t>
          </w:r>
          <w:r>
            <w:rPr>
              <w:rFonts w:ascii="Times New Roman" w:hAnsi="Times New Roman" w:eastAsia="宋体"/>
              <w:b/>
              <w:sz w:val="21"/>
            </w:rPr>
            <w:tab/>
            <w:t>15</w:t>
          </w:r>
        </w:p>
        <w:p>
          <w:pPr>
            <w:pStyle w:val="TOC2"/>
            <w:spacing w:line="240" w:lineRule="auto" w:after="40"/>
            <w:ind w:firstLineChars="0" w:firstLine="0"/>
          </w:pPr>
          <w:r>
            <w:rPr>
              <w:rFonts w:ascii="Times New Roman" w:hAnsi="Times New Roman" w:eastAsia="宋体"/>
              <w:sz w:val="21"/>
            </w:rPr>
            <w:t>（一）软件设计资料</w:t>
          </w:r>
          <w:r>
            <w:rPr>
              <w:rFonts w:ascii="Times New Roman" w:hAnsi="Times New Roman" w:eastAsia="宋体"/>
              <w:sz w:val="21"/>
            </w:rPr>
            <w:tab/>
            <w:t>15</w:t>
          </w:r>
        </w:p>
        <w:p>
          <w:pPr>
            <w:pStyle w:val="TOC2"/>
            <w:spacing w:line="240" w:lineRule="auto" w:after="40"/>
            <w:ind w:firstLineChars="0" w:firstLine="0"/>
          </w:pPr>
          <w:r>
            <w:rPr>
              <w:rFonts w:ascii="Times New Roman" w:hAnsi="Times New Roman" w:eastAsia="宋体"/>
              <w:sz w:val="21"/>
            </w:rPr>
            <w:t>（二）核心代码</w:t>
          </w:r>
          <w:r>
            <w:rPr>
              <w:rFonts w:ascii="Times New Roman" w:hAnsi="Times New Roman" w:eastAsia="宋体"/>
              <w:sz w:val="21"/>
            </w:rPr>
            <w:tab/>
            <w:t>16</w:t>
          </w:r>
        </w:p>
        <w:p>
          <w:pPr>
            <w:pStyle w:val="TOC2"/>
            <w:spacing w:line="240" w:lineRule="auto" w:after="40"/>
            <w:ind w:firstLineChars="0" w:firstLine="0"/>
          </w:pPr>
          <w:r>
            <w:rPr>
              <w:rFonts w:ascii="Times New Roman" w:hAnsi="Times New Roman" w:eastAsia="宋体"/>
              <w:sz w:val="21"/>
            </w:rPr>
            <w:t>（三）测试数据</w:t>
          </w:r>
          <w:r>
            <w:rPr>
              <w:rFonts w:ascii="Times New Roman" w:hAnsi="Times New Roman" w:eastAsia="宋体"/>
              <w:sz w:val="21"/>
            </w:rPr>
            <w:tab/>
            <w:t>16</w:t>
          </w:r>
        </w:p>
        <w:p>
          <w:pPr>
            <w:pStyle w:val="TOC2"/>
            <w:spacing w:line="240" w:lineRule="auto" w:after="40"/>
            <w:ind w:firstLineChars="0" w:firstLine="0"/>
          </w:pPr>
          <w:r>
            <w:rPr>
              <w:rFonts w:ascii="Times New Roman" w:hAnsi="Times New Roman" w:eastAsia="宋体"/>
              <w:sz w:val="21"/>
            </w:rPr>
            <w:t>（四）参考文献</w:t>
          </w:r>
          <w:r>
            <w:rPr>
              <w:rFonts w:ascii="Times New Roman" w:hAnsi="Times New Roman" w:eastAsia="宋体"/>
              <w:sz w:val="21"/>
            </w:rPr>
            <w:tab/>
            <w:t>17</w:t>
          </w:r>
        </w:p>
        <w:p>
          <w:pPr>
            <w:pStyle w:val="TOC2"/>
            <w:spacing w:line="240" w:lineRule="auto" w:after="40"/>
            <w:ind w:firstLineChars="0" w:firstLine="0"/>
          </w:pPr>
          <w:r>
            <w:rPr>
              <w:rFonts w:ascii="Times New Roman" w:hAnsi="Times New Roman" w:eastAsia="宋体"/>
              <w:sz w:val="21"/>
            </w:rPr>
            <w:t>（五）其他材料</w:t>
          </w:r>
          <w:r>
            <w:rPr>
              <w:rFonts w:ascii="Times New Roman" w:hAnsi="Times New Roman" w:eastAsia="宋体"/>
              <w:sz w:val="21"/>
            </w:rPr>
            <w:tab/>
            <w:t>17</w:t>
          </w:r>
        </w:p>
        <w:p>
          <w:r>
            <w:fldChar w:fldCharType="end"/>
          </w:r>
        </w:p>
      </w:sdtContent>
    </w:sdt>
    <w:p>
      <w:pPr>
        <w:pStyle w:val="TOC1"/>
        <w:keepNext w:val="false"/>
        <w:keepLines w:val="false"/>
        <w:pageBreakBefore w:val="false"/>
        <w:widowControl w:val="false"/>
        <w:kinsoku w:val="true"/>
        <w:overflowPunct w:val="true"/>
        <w:autoSpaceDE w:val="true"/>
        <w:bidi w:val="0"/>
        <w:snapToGrid w:val="true"/>
        <w:spacing w:lineRule="exact" w:line="400"/>
        <w:ind w:endChars="0" w:end="0"/>
        <w:textAlignment w:val="auto"/>
        <w:rPr>
          <w:rFonts w:ascii="Times New Roman" w:hAnsi="Times New Roman" w:eastAsia="楷体" w:cs="Times New Roman"/>
          <w:bCs/>
          <w:kern w:val="0"/>
          <w:sz w:val="32"/>
          <w:szCs w:val="32"/>
        </w:rPr>
      </w:pPr>
      <w:r>
        <w:rPr>
          <w:rFonts w:eastAsia="楷体" w:cs="Times New Roman"/>
          <w:bCs/>
          <w:kern w:val="0"/>
          <w:sz w:val="32"/>
          <w:szCs w:val="32"/>
        </w:rPr>
      </w:r>
    </w:p>
    <w:p>
      <w:pPr>
        <w:pStyle w:val="Normal"/>
        <w:rPr>
          <w:rFonts w:ascii="Times New Roman" w:hAnsi="Times New Roman" w:eastAsia="楷体" w:cs="Times New Roman"/>
          <w:bCs/>
          <w:kern w:val="0"/>
          <w:sz w:val="32"/>
          <w:szCs w:val="32"/>
        </w:rPr>
      </w:pPr>
      <w:r>
        <w:rPr>
          <w:rFonts w:eastAsia="楷体" w:cs="Times New Roman"/>
          <w:bCs/>
          <w:kern w:val="0"/>
          <w:sz w:val="32"/>
          <w:szCs w:val="32"/>
        </w:rPr>
      </w:r>
    </w:p>
    <w:p>
      <w:pPr>
        <w:pStyle w:val="Normal"/>
        <w:rPr>
          <w:rFonts w:ascii="Times New Roman" w:hAnsi="Times New Roman" w:eastAsia="楷体" w:cs="Times New Roman"/>
          <w:bCs/>
          <w:kern w:val="0"/>
          <w:sz w:val="32"/>
          <w:szCs w:val="32"/>
        </w:rPr>
      </w:pPr>
      <w:r>
        <w:rPr>
          <w:rFonts w:eastAsia="楷体" w:cs="Times New Roman"/>
          <w:bCs/>
          <w:kern w:val="0"/>
          <w:sz w:val="32"/>
          <w:szCs w:val="32"/>
        </w:rPr>
      </w:r>
    </w:p>
    <w:p>
      <w:pPr>
        <w:pStyle w:val="Normal"/>
        <w:rPr>
          <w:rFonts w:ascii="Times New Roman" w:hAnsi="Times New Roman" w:eastAsia="楷体" w:cs="Times New Roman"/>
          <w:bCs/>
          <w:kern w:val="0"/>
          <w:sz w:val="32"/>
          <w:szCs w:val="32"/>
        </w:rPr>
        <w:sectPr>
          <w:headerReference w:type="default" r:id="rId5"/>
          <w:headerReference w:type="first" r:id="rId6"/>
          <w:footerReference w:type="default" r:id="rId7"/>
          <w:footerReference w:type="first" r:id="rId8"/>
          <w:type w:val="nextPage"/>
          <w:pgSz w:w="11906" w:h="16838"/>
          <w:pgMar w:left="1701" w:right="1701" w:gutter="0" w:header="850" w:top="1417" w:footer="992" w:bottom="1417"/>
          <w:pgNumType w:start="1" w:fmt="decimal"/>
          <w:formProt w:val="false"/>
          <w:textDirection w:val="lrTb"/>
          <w:docGrid w:type="lines" w:linePitch="333" w:charSpace="0"/>
        </w:sectPr>
      </w:pPr>
      <w:r>
        <w:rPr>
          <w:rFonts w:eastAsia="楷体" w:cs="Times New Roman" w:ascii="Times New Roman" w:hAnsi="Times New Roman"/>
          <w:bCs/>
          <w:kern w:val="0"/>
          <w:sz w:val="32"/>
          <w:szCs w:val="32"/>
        </w:rPr>
      </w:r>
    </w:p>
    <w:p>
      <w:pPr>
        <w:pStyle w:val="Style15"/>
        <w:bidi w:val="0"/>
        <w:rPr>
          <w:rFonts w:eastAsia="宋体"/>
        </w:rPr>
      </w:pPr>
      <w:bookmarkStart w:id="1" w:name="__RefHeading___Toc13090"/>
      <w:bookmarkEnd w:id="1"/>
      <w:r>
        <w:rPr>
          <w:rFonts w:hint="eastAsia"/>
        </w:rPr>
        <w:t>作品简介</w:t>
      </w:r>
    </w:p>
    <w:p>
      <w:pPr>
        <w:pStyle w:val="Normal"/>
        <w:spacing w:line="240" w:lineRule="auto"/>
        <w:ind w:endChars="0" w:end="0"/>
        <w:rPr>
          <w:rFonts w:ascii="宋体" w:hAnsi="宋体" w:cs="宋体"/>
          <w:sz w:val="24"/>
          <w:szCs w:val="28"/>
        </w:rPr>
      </w:pPr>
      <w:r>
        <w:rPr/>
        <w:t xml:space="preserve">软件开发中“需求与代码不一致”是缺陷的主要根源，人工走查耗时且不可复算。本作品“规码同轨”是需求-代码一致性验证与缺陷自动检测平台：自动将自然语言需求形式化为 Alloy 规约锚定语义，基于 tree-sitter 静态解析 Java/Python/C/C++/Go 五语言代码，以三维相似度与风险门控双通道判定一致性，双提示词大模型交叉评审、规则仲裁，每条判定可溯源、可审计。验证集盲评准确率 95.0%、漏检率 0.0%、误报率 7.3%，双评一致性 κ=0.8016，万行工程全链路 27.8 秒，全程本地运行、数据不出域。适用于外包验收、采购评审与高校软件工程实训场景。</w:t>
      </w:r>
    </w:p>
    <w:p>
      <w:pPr>
        <w:pStyle w:val="Normal"/>
        <w:rPr/>
        <w:sectPr>
          <w:headerReference w:type="default" r:id="rId9"/>
          <w:headerReference w:type="first" r:id="rId10"/>
          <w:footerReference w:type="default" r:id="rId11"/>
          <w:footerReference w:type="first" r:id="rId12"/>
          <w:type w:val="nextPage"/>
          <w:pgSz w:w="11906" w:h="16838"/>
          <w:pgMar w:left="1701" w:right="1701" w:gutter="0" w:header="850" w:top="1417" w:footer="992" w:bottom="1417"/>
          <w:pgNumType w:fmt="decimal"/>
          <w:formProt w:val="false"/>
          <w:textDirection w:val="lrTb"/>
          <w:docGrid w:type="lines" w:linePitch="333" w:charSpace="0"/>
        </w:sectPr>
      </w:pPr>
      <w:r>
        <w:rPr>
          <w:rFonts w:eastAsia="楷体" w:cs="楷体" w:hint="eastAsia" w:ascii="楷体" w:hAnsi="楷体"/>
          <w:sz w:val="32"/>
          <w:szCs w:val="32"/>
        </w:rPr>
      </w:r>
    </w:p>
    <w:p>
      <w:pPr>
        <w:pStyle w:val="Heading1"/>
        <w:bidi w:val="0"/>
        <w:rPr>
          <w:rFonts w:hint="eastAsia"/>
        </w:rPr>
      </w:pPr>
      <w:bookmarkStart w:id="2" w:name="__RefHeading___Toc12201"/>
      <w:bookmarkEnd w:id="2"/>
      <w:r>
        <w:rPr>
          <w:rFonts w:hint="eastAsia"/>
        </w:rPr>
        <w:t>一、项目概述</w:t>
      </w:r>
    </w:p>
    <w:p>
      <w:pPr>
        <w:pStyle w:val="Heading2"/>
        <w:bidi w:val="0"/>
        <w:ind w:firstLineChars="200" w:startChars="0" w:start="0"/>
        <w:rPr>
          <w:rFonts w:hint="eastAsia"/>
        </w:rPr>
      </w:pPr>
      <w:bookmarkStart w:id="3" w:name="__RefHeading___Toc1039"/>
      <w:bookmarkEnd w:id="3"/>
      <w:r>
        <w:rPr>
          <w:rFonts w:hint="eastAsia"/>
        </w:rPr>
        <w:t>（一）项目背景与意义</w:t>
      </w:r>
    </w:p>
    <w:p>
      <w:pPr>
        <w:pStyle w:val="Normal"/>
        <w:spacing w:line="240" w:lineRule="auto"/>
        <w:bidi w:val="0"/>
        <w:rPr>
          <w:rFonts w:eastAsia="宋体"/>
        </w:rPr>
      </w:pPr>
      <w:bookmarkStart w:id="5" w:name="__RefHeading___Toc10428"/>
      <w:bookmarkEnd w:id="5"/>
      <w:r>
        <w:rPr>
          <w:rStyle w:val="3Char"/>
        </w:rPr>
        <w:t xml:space="preserve">需求与代码的一致性问题贯穿软件开发全生命周期。团队前期开展了走访调研，累计分析 </w:t>
      </w:r>
      <w:r>
        <w:rPr>
          <w:rStyle w:val="3Char"/>
          <w:b/>
        </w:rPr>
        <w:t xml:space="preserve">120 余个软件项目案例、访谈 30 余名资深开发工程师、对 5 家软件企业进行跟测</w:t>
      </w:r>
      <w:r>
        <w:rPr>
          <w:rStyle w:val="3Char"/>
        </w:rPr>
        <w:t xml:space="preserve">，结果显示：约 </w:t>
      </w:r>
      <w:r>
        <w:rPr>
          <w:rStyle w:val="3Char"/>
          <w:b/>
        </w:rPr>
        <w:t xml:space="preserve">56% 的软件缺陷源于需求阶段</w:t>
      </w:r>
      <w:r>
        <w:rPr>
          <w:rStyle w:val="3Char"/>
        </w:rPr>
        <w:t xml:space="preserve">，而传统人工需求-代码走查存在三重痛点——一是耗时，本作品组织的真人对照实验中，走查者人均判定耗时达 </w:t>
      </w:r>
      <w:r>
        <w:rPr>
          <w:rStyle w:val="3Char"/>
          <w:b/>
        </w:rPr>
        <w:t xml:space="preserve">40.2 分钟/项目</w:t>
      </w:r>
      <w:r>
        <w:rPr>
          <w:rStyle w:val="3Char"/>
        </w:rPr>
        <w:t xml:space="preserve">，且随代码规模线性增长；二是不可复算，走查结论依赖个人经验，同一需求不同人结论不同；三是不可审计，判定过程无证据留存，出现问题难以追责与回溯。美国 CISQ《2022 年软件质量成本报告》估计，低软件质量当年造成约 </w:t>
      </w:r>
      <w:r>
        <w:rPr>
          <w:rStyle w:val="3Char"/>
          <w:b/>
        </w:rPr>
        <w:t xml:space="preserve">2.41 万亿美元</w:t>
      </w:r>
      <w:r>
        <w:rPr>
          <w:rStyle w:val="3Char"/>
        </w:rPr>
        <w:t xml:space="preserve">损失，其中相当比例可通过交付前的一致性验证避免。</w:t>
      </w:r>
    </w:p>
    <w:p>
      <w:pPr>
        <w:spacing w:before="0" w:after="0" w:line="240" w:lineRule="auto"/>
        <w:ind w:firstLineChars="200" w:firstLine="480"/>
      </w:pPr>
      <w:r>
        <w:rPr>
          <w:rFonts w:ascii="Times New Roman" w:hAnsi="Times New Roman" w:eastAsia="宋体"/>
          <w:sz w:val="24"/>
          <w:szCs w:val="24"/>
        </w:rPr>
        <w:t xml:space="preserve">与此同时，AI 生成代码（AIGC）大量进入生产环境，“代码正确但做的不是需求要的”成为新型质量风险；形式化方法虽能严谨刻画需求语义，却因建模门槛高、依赖专家，长期局限于航空航天、医疗设备等高精尖行业。本作品以大模型与形式化方法的融合为切入点，把需求形式化建模、代码语义解析、一致性判定与缺陷定位全流程自动化，让严谨的验证方法成为中小企业与高校都用得起、用得好的日常工具，对提升软件交付质量、降低质量保障门槛具有现实意义。</w:t>
      </w:r>
    </w:p>
    <w:p>
      <w:pPr>
        <w:pStyle w:val="Heading2"/>
        <w:bidi w:val="0"/>
        <w:ind w:firstLineChars="200" w:startChars="0" w:start="0"/>
        <w:rPr>
          <w:rFonts w:hint="eastAsia"/>
        </w:rPr>
      </w:pPr>
      <w:bookmarkStart w:id="6" w:name="__RefHeading___Toc28350"/>
      <w:bookmarkEnd w:id="6"/>
      <w:r>
        <w:rPr>
          <w:rFonts w:hint="eastAsia"/>
        </w:rPr>
        <w:t>（二）赛题方向定位</w:t>
      </w:r>
    </w:p>
    <w:p>
      <w:pPr>
        <w:pStyle w:val="Normal"/>
        <w:spacing w:line="240" w:lineRule="auto"/>
        <w:bidi w:val="0"/>
        <w:rPr>
          <w:rFonts w:hint="eastAsia"/>
        </w:rPr>
      </w:pPr>
      <w:r>
        <w:rPr/>
        <w:t xml:space="preserve">本作品参加</w:t>
      </w:r>
      <w:r>
        <w:rPr>
          <w:b/>
        </w:rPr>
        <w:t xml:space="preserve">赛题 2：AI+软件创新</w:t>
      </w:r>
      <w:r>
        <w:rPr/>
        <w:t xml:space="preserve">。产品类型为“AI 算法工具 + 智能应用系统”：以需求-代码一致性校验算法为核心竞争力，以 Web 平台为载体，覆盖从需求上传、代码解析、自动化分析到报告导出、缺陷处置的全流程。目标用户为中小软件企业的交付与质量团队、进行 AIGC 代码验收的技术负责人、高校软件工程课程师生。差异化优势体现在三点：</w:t>
      </w:r>
      <w:r>
        <w:rPr>
          <w:b/>
        </w:rPr>
        <w:t xml:space="preserve">一是判定可溯源</w:t>
      </w:r>
      <w:r>
        <w:rPr/>
        <w:t xml:space="preserve">——每条一致性判定保留完整证据链与决策路径，审查 AI 而不是相信 AI；</w:t>
      </w:r>
      <w:r>
        <w:rPr>
          <w:b/>
        </w:rPr>
        <w:t xml:space="preserve">二是形式化锚定</w:t>
      </w:r>
      <w:r>
        <w:rPr/>
        <w:t xml:space="preserve">——需求自动生成 Alloy 形式化规约并真实求解，语义理解有数学基准而非纯黑盒；</w:t>
      </w:r>
      <w:r>
        <w:rPr>
          <w:b/>
        </w:rPr>
        <w:t xml:space="preserve">三是全程本地可运行</w:t>
      </w:r>
      <w:r>
        <w:rPr/>
        <w:t xml:space="preserve">——本地 BGE 向量化与 Ollama 本地模型即可跑通全链路，数据不出域，适配涉密与合规场景。</w:t>
      </w:r>
    </w:p>
    <w:p>
      <w:pPr>
        <w:pStyle w:val="Heading1"/>
        <w:spacing w:line="240" w:lineRule="auto"/>
        <w:bidi w:val="0"/>
        <w:rPr>
          <w:rFonts w:hint="eastAsia"/>
        </w:rPr>
      </w:pPr>
      <w:bookmarkStart w:id="7" w:name="__RefHeading___Toc23143"/>
      <w:bookmarkEnd w:id="7"/>
      <w:r>
        <w:rPr>
          <w:rFonts w:hint="eastAsia"/>
        </w:rPr>
        <w:t xml:space="preserve">二、技术架构与创新</w:t>
      </w:r>
    </w:p>
    <w:p>
      <w:pPr>
        <w:spacing w:before="0" w:after="0" w:line="240" w:lineRule="auto"/>
        <w:ind w:firstLineChars="200" w:firstLine="480"/>
      </w:pPr>
      <w:r>
        <w:rPr>
          <w:rFonts w:ascii="Times New Roman" w:hAnsi="Times New Roman" w:eastAsia="宋体"/>
          <w:sz w:val="24"/>
          <w:szCs w:val="24"/>
        </w:rPr>
        <w:t xml:space="preserve">系统采用前后端分离的分层架构，自上而下分为用户层、前端呈现层、接入层、核心分析引擎层与数据模型层，安全底座与第三方集成纵贯各层。核心分析引擎由六环节流水线构成：需求解析、形式化建模、代码语义解析、一致性判定、缺陷定位与追溯、报告渲染；AI 智能体与 LLM 多引擎编排作为两条纵贯能力线，分别面向质量巡检场景与算法增强场景。总体架构如图 1 所示。</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（一）整体架构</w:t>
      </w:r>
    </w:p>
    <w:p>
      <w:pPr>
        <w:jc w:val="center"/>
        <w:spacing w:before="120" w:after="60" w:line="240" w:lineRule="auto"/>
      </w:pPr>
      <w:r>
        <w:drawing>
          <wp:inline xmlns:a="http://schemas.openxmlformats.org/drawingml/2006/main">
            <wp:extent cx="5394960" cy="2928693"/>
            <wp:docPr id="1" name="Picture 1"/>
            <wp:cNvGraphicFramePr>
              <a:graphicFrameLocks noChangeAspect="1"/>
            </wp:cNvGraphicFramePr>
            <a:graphic>
              <a:graphicData uri="http://schemas.openxmlformats.org/drawingml/2006/picture">
                <pic:pic>
                  <pic:nvPicPr>
                    <pic:cNvPr id="0" name="fig_arch.png"/>
                    <pic:cNvPicPr/>
                  </pic:nvPicPr>
                  <pic:blipFill>
                    <a:blip r:embed="rId23"/>
                    <a:stretch>
                      <a:fillRect/>
                    </a:stretch>
                  </pic:blipFill>
                  <pic:spPr>
                    <a:xfrm>
                      <a:off x="0" y="0"/>
                      <a:ext cx="5394960" cy="2928693"/>
                    </a:xfrm>
                    <a:prstGeom prst="rect"/>
                  </pic:spPr>
                </pic:pic>
              </a:graphicData>
            </a:graphic>
          </wp:inline>
        </w:drawing>
      </w:r>
    </w:p>
    <w:p>
      <w:pPr>
        <w:spacing w:before="40" w:after="120" w:line="240" w:lineRule="auto"/>
        <w:jc w:val="center"/>
      </w:pPr>
      <w:r>
        <w:rPr>
          <w:rFonts w:ascii="Times New Roman" w:hAnsi="Times New Roman" w:eastAsia="宋体"/>
          <w:b/>
          <w:sz w:val="21"/>
          <w:szCs w:val="21"/>
        </w:rPr>
        <w:t xml:space="preserve">图 1　系统总体架构</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（二）技术选型</w:t>
      </w:r>
    </w:p>
    <w:p>
      <w:pPr>
        <w:spacing w:before="120" w:after="40" w:line="240" w:lineRule="auto"/>
        <w:jc w:val="center"/>
      </w:pPr>
      <w:r>
        <w:rPr>
          <w:rFonts w:ascii="Times New Roman" w:hAnsi="Times New Roman" w:eastAsia="宋体"/>
          <w:b/>
          <w:sz w:val="21"/>
          <w:szCs w:val="21"/>
        </w:rPr>
        <w:t xml:space="preserve">表 1　核心技术选型</w:t>
      </w:r>
    </w:p>
    <w:tbl>
      <w:tblPr>
        <w:tblW w:w="5000" w:type="pct"/>
        <w:tblBorders>
          <w:top w:val="single" w:sz="8" w:color="555555"/>
          <w:bottom w:val="single" w:sz="8" w:color="555555"/>
          <w:left w:val="single" w:sz="4" w:color="999999"/>
          <w:right w:val="single" w:sz="4" w:color="999999"/>
          <w:insideH w:val="single" w:sz="4" w:color="AAAAAA"/>
          <w:insideV w:val="single" w:sz="4" w:color="AAAAAA"/>
        </w:tblBorders>
      </w:tblPr>
      <w:tr>
        <w:trPr>
          <w:tblHeader/>
          <w:cantSplit/>
        </w:trPr>
        <w:tc>
          <w:tcPr>
            <w:tcW w:w="700" w:type="pct"/>
            <w:shd w:val="clear" w:fill="E8EEF4"/>
          </w:tcPr>
          <w:p>
            <w:pPr>
              <w:spacing w:line="240" w:lineRule="auto"/>
              <w:jc w:val="center"/>
            </w:pPr>
            <w:r>
              <w:rPr>
                <w:rFonts w:ascii="Times New Roman" w:hAnsi="Times New Roman" w:eastAsia="宋体"/>
                <w:b/>
                <w:sz w:val="21"/>
                <w:szCs w:val="21"/>
              </w:rPr>
              <w:t xml:space="preserve">层次</w:t>
            </w:r>
          </w:p>
        </w:tc>
        <w:tc>
          <w:tcPr>
            <w:tcW w:w="1500" w:type="pct"/>
            <w:shd w:val="clear" w:fill="E8EEF4"/>
          </w:tcPr>
          <w:p>
            <w:pPr>
              <w:spacing w:line="240" w:lineRule="auto"/>
              <w:jc w:val="center"/>
            </w:pPr>
            <w:r>
              <w:rPr>
                <w:rFonts w:ascii="Times New Roman" w:hAnsi="Times New Roman" w:eastAsia="宋体"/>
                <w:b/>
                <w:sz w:val="21"/>
                <w:szCs w:val="21"/>
              </w:rPr>
              <w:t xml:space="preserve">技术</w:t>
            </w:r>
          </w:p>
        </w:tc>
        <w:tc>
          <w:tcPr>
            <w:tcW w:w="900" w:type="pct"/>
            <w:shd w:val="clear" w:fill="E8EEF4"/>
          </w:tcPr>
          <w:p>
            <w:pPr>
              <w:spacing w:line="240" w:lineRule="auto"/>
              <w:jc w:val="center"/>
            </w:pPr>
            <w:r>
              <w:rPr>
                <w:rFonts w:ascii="Times New Roman" w:hAnsi="Times New Roman" w:eastAsia="宋体"/>
                <w:b/>
                <w:sz w:val="21"/>
                <w:szCs w:val="21"/>
              </w:rPr>
              <w:t xml:space="preserve">版本</w:t>
            </w:r>
          </w:p>
        </w:tc>
        <w:tc>
          <w:tcPr>
            <w:tcW w:w="1900" w:type="pct"/>
            <w:shd w:val="clear" w:fill="E8EEF4"/>
          </w:tcPr>
          <w:p>
            <w:pPr>
              <w:spacing w:line="240" w:lineRule="auto"/>
              <w:jc w:val="center"/>
            </w:pPr>
            <w:r>
              <w:rPr>
                <w:rFonts w:ascii="Times New Roman" w:hAnsi="Times New Roman" w:eastAsia="宋体"/>
                <w:b/>
                <w:sz w:val="21"/>
                <w:szCs w:val="21"/>
              </w:rPr>
              <w:t xml:space="preserve">选型依据</w:t>
            </w:r>
          </w:p>
        </w:tc>
      </w:tr>
      <w:tr>
        <w:trPr>
          <w:cantSplit/>
        </w:trPr>
        <w:tc>
          <w:tcPr>
            <w:tcW w:w="700" w:type="pct"/>
          </w:tcPr>
          <w:p>
            <w:pPr>
              <w:spacing w:line="240" w:lineRule="auto"/>
            </w:pPr>
            <w:r>
              <w:rPr>
                <w:rFonts w:ascii="Times New Roman" w:hAnsi="Times New Roman" w:eastAsia="宋体"/>
                <w:sz w:val="21"/>
                <w:szCs w:val="21"/>
              </w:rPr>
              <w:t xml:space="preserve">后端框架</w:t>
            </w:r>
          </w:p>
        </w:tc>
        <w:tc>
          <w:tcPr>
            <w:tcW w:w="1500" w:type="pct"/>
          </w:tcPr>
          <w:p>
            <w:pPr>
              <w:spacing w:line="240" w:lineRule="auto"/>
            </w:pPr>
            <w:r>
              <w:rPr>
                <w:rFonts w:ascii="Times New Roman" w:hAnsi="Times New Roman" w:eastAsia="宋体"/>
                <w:sz w:val="21"/>
                <w:szCs w:val="21"/>
              </w:rPr>
              <w:t xml:space="preserve">Spring Boot + MyBatis-Plus</w:t>
            </w:r>
          </w:p>
        </w:tc>
        <w:tc>
          <w:tcPr>
            <w:tcW w:w="900" w:type="pct"/>
          </w:tcPr>
          <w:p>
            <w:pPr>
              <w:spacing w:line="240" w:lineRule="auto"/>
            </w:pPr>
            <w:r>
              <w:rPr>
                <w:rFonts w:ascii="Times New Roman" w:hAnsi="Times New Roman" w:eastAsia="宋体"/>
                <w:sz w:val="21"/>
                <w:szCs w:val="21"/>
              </w:rPr>
              <w:t xml:space="preserve">2.7.18 / 3.5.3.1</w:t>
            </w:r>
          </w:p>
        </w:tc>
        <w:tc>
          <w:tcPr>
            <w:tcW w:w="1900" w:type="pct"/>
          </w:tcPr>
          <w:p>
            <w:pPr>
              <w:spacing w:line="240" w:lineRule="auto"/>
            </w:pPr>
            <w:r>
              <w:rPr>
                <w:rFonts w:ascii="Times New Roman" w:hAnsi="Times New Roman" w:eastAsia="宋体"/>
                <w:sz w:val="21"/>
                <w:szCs w:val="21"/>
              </w:rPr>
              <w:t xml:space="preserve">生态成熟、事务与任务管理能力强，JDK 21 虚拟线程提升并发吞吐</w:t>
            </w:r>
          </w:p>
        </w:tc>
      </w:tr>
      <w:tr>
        <w:trPr>
          <w:cantSplit/>
        </w:trPr>
        <w:tc>
          <w:tcPr>
            <w:tcW w:w="700" w:type="pct"/>
          </w:tcPr>
          <w:p>
            <w:pPr>
              <w:spacing w:line="240" w:lineRule="auto"/>
            </w:pPr>
            <w:r>
              <w:rPr>
                <w:rFonts w:ascii="Times New Roman" w:hAnsi="Times New Roman" w:eastAsia="宋体"/>
                <w:sz w:val="21"/>
                <w:szCs w:val="21"/>
              </w:rPr>
              <w:t xml:space="preserve">前端框架</w:t>
            </w:r>
          </w:p>
        </w:tc>
        <w:tc>
          <w:tcPr>
            <w:tcW w:w="1500" w:type="pct"/>
          </w:tcPr>
          <w:p>
            <w:pPr>
              <w:spacing w:line="240" w:lineRule="auto"/>
            </w:pPr>
            <w:r>
              <w:rPr>
                <w:rFonts w:ascii="Times New Roman" w:hAnsi="Times New Roman" w:eastAsia="宋体"/>
                <w:sz w:val="21"/>
                <w:szCs w:val="21"/>
              </w:rPr>
              <w:t xml:space="preserve">Vue 3 + Element Plus + ECharts</w:t>
            </w:r>
          </w:p>
        </w:tc>
        <w:tc>
          <w:tcPr>
            <w:tcW w:w="900" w:type="pct"/>
          </w:tcPr>
          <w:p>
            <w:pPr>
              <w:spacing w:line="240" w:lineRule="auto"/>
            </w:pPr>
            <w:r>
              <w:rPr>
                <w:rFonts w:ascii="Times New Roman" w:hAnsi="Times New Roman" w:eastAsia="宋体"/>
                <w:sz w:val="21"/>
                <w:szCs w:val="21"/>
              </w:rPr>
              <w:t xml:space="preserve">3.x / 2.3.14 / 5.4.3</w:t>
            </w:r>
          </w:p>
        </w:tc>
        <w:tc>
          <w:tcPr>
            <w:tcW w:w="1900" w:type="pct"/>
          </w:tcPr>
          <w:p>
            <w:pPr>
              <w:spacing w:line="240" w:lineRule="auto"/>
            </w:pPr>
            <w:r>
              <w:rPr>
                <w:rFonts w:ascii="Times New Roman" w:hAnsi="Times New Roman" w:eastAsia="宋体"/>
                <w:sz w:val="21"/>
                <w:szCs w:val="21"/>
              </w:rPr>
              <w:t xml:space="preserve">组合式 API 便于复杂状态管理，图表组件满足追溯矩阵与统计可视化</w:t>
            </w:r>
          </w:p>
        </w:tc>
      </w:tr>
      <w:tr>
        <w:trPr>
          <w:cantSplit/>
        </w:trPr>
        <w:tc>
          <w:tcPr>
            <w:tcW w:w="700" w:type="pct"/>
          </w:tcPr>
          <w:p>
            <w:pPr>
              <w:spacing w:line="240" w:lineRule="auto"/>
            </w:pPr>
            <w:r>
              <w:rPr>
                <w:rFonts w:ascii="Times New Roman" w:hAnsi="Times New Roman" w:eastAsia="宋体"/>
                <w:sz w:val="21"/>
                <w:szCs w:val="21"/>
              </w:rPr>
              <w:t xml:space="preserve">代码解析</w:t>
            </w:r>
          </w:p>
        </w:tc>
        <w:tc>
          <w:tcPr>
            <w:tcW w:w="1500" w:type="pct"/>
          </w:tcPr>
          <w:p>
            <w:pPr>
              <w:spacing w:line="240" w:lineRule="auto"/>
            </w:pPr>
            <w:r>
              <w:rPr>
                <w:rFonts w:ascii="Times New Roman" w:hAnsi="Times New Roman" w:eastAsia="宋体"/>
                <w:sz w:val="21"/>
                <w:szCs w:val="21"/>
              </w:rPr>
              <w:t xml:space="preserve">JavaParser / Soot / tree-sitter</w:t>
            </w:r>
          </w:p>
        </w:tc>
        <w:tc>
          <w:tcPr>
            <w:tcW w:w="900" w:type="pct"/>
          </w:tcPr>
          <w:p>
            <w:pPr>
              <w:spacing w:line="240" w:lineRule="auto"/>
            </w:pPr>
            <w:r>
              <w:rPr>
                <w:rFonts w:ascii="Times New Roman" w:hAnsi="Times New Roman" w:eastAsia="宋体"/>
                <w:sz w:val="21"/>
                <w:szCs w:val="21"/>
              </w:rPr>
              <w:t xml:space="preserve">3.25.5 / 4.7.0 / 0.25.x</w:t>
            </w:r>
          </w:p>
        </w:tc>
        <w:tc>
          <w:tcPr>
            <w:tcW w:w="1900" w:type="pct"/>
          </w:tcPr>
          <w:p>
            <w:pPr>
              <w:spacing w:line="240" w:lineRule="auto"/>
            </w:pPr>
            <w:r>
              <w:rPr>
                <w:rFonts w:ascii="Times New Roman" w:hAnsi="Times New Roman" w:eastAsia="宋体"/>
                <w:sz w:val="21"/>
                <w:szCs w:val="21"/>
              </w:rPr>
              <w:t xml:space="preserve">Java 走 AST+字节码级 CFG；多语言统一走 tree-sitter 增量鲁棒解析</w:t>
            </w:r>
          </w:p>
        </w:tc>
      </w:tr>
      <w:tr>
        <w:trPr>
          <w:cantSplit/>
        </w:trPr>
        <w:tc>
          <w:tcPr>
            <w:tcW w:w="700" w:type="pct"/>
          </w:tcPr>
          <w:p>
            <w:pPr>
              <w:spacing w:line="240" w:lineRule="auto"/>
            </w:pPr>
            <w:r>
              <w:rPr>
                <w:rFonts w:ascii="Times New Roman" w:hAnsi="Times New Roman" w:eastAsia="宋体"/>
                <w:sz w:val="21"/>
                <w:szCs w:val="21"/>
              </w:rPr>
              <w:t xml:space="preserve">形式化求解</w:t>
            </w:r>
          </w:p>
        </w:tc>
        <w:tc>
          <w:tcPr>
            <w:tcW w:w="1500" w:type="pct"/>
          </w:tcPr>
          <w:p>
            <w:pPr>
              <w:spacing w:line="240" w:lineRule="auto"/>
            </w:pPr>
            <w:r>
              <w:rPr>
                <w:rFonts w:ascii="Times New Roman" w:hAnsi="Times New Roman" w:eastAsia="宋体"/>
                <w:sz w:val="21"/>
                <w:szCs w:val="21"/>
              </w:rPr>
              <w:t xml:space="preserve">Alloy</w:t>
            </w:r>
          </w:p>
        </w:tc>
        <w:tc>
          <w:tcPr>
            <w:tcW w:w="900" w:type="pct"/>
          </w:tcPr>
          <w:p>
            <w:pPr>
              <w:spacing w:line="240" w:lineRule="auto"/>
            </w:pPr>
            <w:r>
              <w:rPr>
                <w:rFonts w:ascii="Times New Roman" w:hAnsi="Times New Roman" w:eastAsia="宋体"/>
                <w:sz w:val="21"/>
                <w:szCs w:val="21"/>
              </w:rPr>
              <w:t xml:space="preserve">6.2.0</w:t>
            </w:r>
          </w:p>
        </w:tc>
        <w:tc>
          <w:tcPr>
            <w:tcW w:w="1900" w:type="pct"/>
          </w:tcPr>
          <w:p>
            <w:pPr>
              <w:spacing w:line="240" w:lineRule="auto"/>
            </w:pPr>
            <w:r>
              <w:rPr>
                <w:rFonts w:ascii="Times New Roman" w:hAnsi="Times New Roman" w:eastAsia="宋体"/>
                <w:sz w:val="21"/>
                <w:szCs w:val="21"/>
              </w:rPr>
              <w:t xml:space="preserve">轻量一阶逻辑+关系模型求解器，适合需求规约的可判定校验</w:t>
            </w:r>
          </w:p>
        </w:tc>
      </w:tr>
      <w:tr>
        <w:trPr>
          <w:cantSplit/>
        </w:trPr>
        <w:tc>
          <w:tcPr>
            <w:tcW w:w="700" w:type="pct"/>
          </w:tcPr>
          <w:p>
            <w:pPr>
              <w:spacing w:line="240" w:lineRule="auto"/>
            </w:pPr>
            <w:r>
              <w:rPr>
                <w:rFonts w:ascii="Times New Roman" w:hAnsi="Times New Roman" w:eastAsia="宋体"/>
                <w:sz w:val="21"/>
                <w:szCs w:val="21"/>
              </w:rPr>
              <w:t xml:space="preserve">语义向量</w:t>
            </w:r>
          </w:p>
        </w:tc>
        <w:tc>
          <w:tcPr>
            <w:tcW w:w="1500" w:type="pct"/>
          </w:tcPr>
          <w:p>
            <w:pPr>
              <w:spacing w:line="240" w:lineRule="auto"/>
            </w:pPr>
            <w:r>
              <w:rPr>
                <w:rFonts w:ascii="Times New Roman" w:hAnsi="Times New Roman" w:eastAsia="宋体"/>
                <w:sz w:val="21"/>
                <w:szCs w:val="21"/>
              </w:rPr>
              <w:t xml:space="preserve">ONNX Runtime + BGE-small-zh</w:t>
            </w:r>
          </w:p>
        </w:tc>
        <w:tc>
          <w:tcPr>
            <w:tcW w:w="900" w:type="pct"/>
          </w:tcPr>
          <w:p>
            <w:pPr>
              <w:spacing w:line="240" w:lineRule="auto"/>
            </w:pPr>
            <w:r>
              <w:rPr>
                <w:rFonts w:ascii="Times New Roman" w:hAnsi="Times New Roman" w:eastAsia="宋体"/>
                <w:sz w:val="21"/>
                <w:szCs w:val="21"/>
              </w:rPr>
              <w:t xml:space="preserve">1.17.0</w:t>
            </w:r>
          </w:p>
        </w:tc>
        <w:tc>
          <w:tcPr>
            <w:tcW w:w="1900" w:type="pct"/>
          </w:tcPr>
          <w:p>
            <w:pPr>
              <w:spacing w:line="240" w:lineRule="auto"/>
            </w:pPr>
            <w:r>
              <w:rPr>
                <w:rFonts w:ascii="Times New Roman" w:hAnsi="Times New Roman" w:eastAsia="宋体"/>
                <w:sz w:val="21"/>
                <w:szCs w:val="21"/>
              </w:rPr>
              <w:t xml:space="preserve">本地离线向量化（512 维），无外部 API 依赖，数据不出域</w:t>
            </w:r>
          </w:p>
        </w:tc>
      </w:tr>
      <w:tr>
        <w:trPr>
          <w:cantSplit/>
        </w:trPr>
        <w:tc>
          <w:tcPr>
            <w:tcW w:w="700" w:type="pct"/>
          </w:tcPr>
          <w:p>
            <w:pPr>
              <w:spacing w:line="240" w:lineRule="auto"/>
            </w:pPr>
            <w:r>
              <w:rPr>
                <w:rFonts w:ascii="Times New Roman" w:hAnsi="Times New Roman" w:eastAsia="宋体"/>
                <w:sz w:val="21"/>
                <w:szCs w:val="21"/>
              </w:rPr>
              <w:t xml:space="preserve">大模型编排</w:t>
            </w:r>
          </w:p>
        </w:tc>
        <w:tc>
          <w:tcPr>
            <w:tcW w:w="1500" w:type="pct"/>
          </w:tcPr>
          <w:p>
            <w:pPr>
              <w:spacing w:line="240" w:lineRule="auto"/>
            </w:pPr>
            <w:r>
              <w:rPr>
                <w:rFonts w:ascii="Times New Roman" w:hAnsi="Times New Roman" w:eastAsia="宋体"/>
                <w:sz w:val="21"/>
                <w:szCs w:val="21"/>
              </w:rPr>
              <w:t xml:space="preserve">多 provider 路由 + langchain4j</w:t>
            </w:r>
          </w:p>
        </w:tc>
        <w:tc>
          <w:tcPr>
            <w:tcW w:w="900" w:type="pct"/>
          </w:tcPr>
          <w:p>
            <w:pPr>
              <w:spacing w:line="240" w:lineRule="auto"/>
            </w:pPr>
            <w:r>
              <w:rPr>
                <w:rFonts w:ascii="Times New Roman" w:hAnsi="Times New Roman" w:eastAsia="宋体"/>
                <w:sz w:val="21"/>
                <w:szCs w:val="21"/>
              </w:rPr>
              <w:t xml:space="preserve">0.34.0</w:t>
            </w:r>
          </w:p>
        </w:tc>
        <w:tc>
          <w:tcPr>
            <w:tcW w:w="1900" w:type="pct"/>
          </w:tcPr>
          <w:p>
            <w:pPr>
              <w:spacing w:line="240" w:lineRule="auto"/>
            </w:pPr>
            <w:r>
              <w:rPr>
                <w:rFonts w:ascii="Times New Roman" w:hAnsi="Times New Roman" w:eastAsia="宋体"/>
                <w:sz w:val="21"/>
                <w:szCs w:val="21"/>
              </w:rPr>
              <w:t xml:space="preserve">按环节路由不同模型；LangChain 编排可插拔，失败自动回退</w:t>
            </w:r>
          </w:p>
        </w:tc>
      </w:tr>
      <w:tr>
        <w:trPr>
          <w:cantSplit/>
        </w:trPr>
        <w:tc>
          <w:tcPr>
            <w:tcW w:w="700" w:type="pct"/>
          </w:tcPr>
          <w:p>
            <w:pPr>
              <w:spacing w:line="240" w:lineRule="auto"/>
            </w:pPr>
            <w:r>
              <w:rPr>
                <w:rFonts w:ascii="Times New Roman" w:hAnsi="Times New Roman" w:eastAsia="宋体"/>
                <w:sz w:val="21"/>
                <w:szCs w:val="21"/>
              </w:rPr>
              <w:t xml:space="preserve">数据库</w:t>
            </w:r>
          </w:p>
        </w:tc>
        <w:tc>
          <w:tcPr>
            <w:tcW w:w="1500" w:type="pct"/>
          </w:tcPr>
          <w:p>
            <w:pPr>
              <w:spacing w:line="240" w:lineRule="auto"/>
            </w:pPr>
            <w:r>
              <w:rPr>
                <w:rFonts w:ascii="Times New Roman" w:hAnsi="Times New Roman" w:eastAsia="宋体"/>
                <w:sz w:val="21"/>
                <w:szCs w:val="21"/>
              </w:rPr>
              <w:t xml:space="preserve">MySQL</w:t>
            </w:r>
          </w:p>
        </w:tc>
        <w:tc>
          <w:tcPr>
            <w:tcW w:w="900" w:type="pct"/>
          </w:tcPr>
          <w:p>
            <w:pPr>
              <w:spacing w:line="240" w:lineRule="auto"/>
            </w:pPr>
            <w:r>
              <w:rPr>
                <w:rFonts w:ascii="Times New Roman" w:hAnsi="Times New Roman" w:eastAsia="宋体"/>
                <w:sz w:val="21"/>
                <w:szCs w:val="21"/>
              </w:rPr>
              <w:t xml:space="preserve">8.0</w:t>
            </w:r>
          </w:p>
        </w:tc>
        <w:tc>
          <w:tcPr>
            <w:tcW w:w="1900" w:type="pct"/>
          </w:tcPr>
          <w:p>
            <w:pPr>
              <w:spacing w:line="240" w:lineRule="auto"/>
            </w:pPr>
            <w:r>
              <w:rPr>
                <w:rFonts w:ascii="Times New Roman" w:hAnsi="Times New Roman" w:eastAsia="宋体"/>
                <w:sz w:val="21"/>
                <w:szCs w:val="21"/>
              </w:rPr>
              <w:t xml:space="preserve">事务与索引成熟，utf8mb4 全库统一字符集</w:t>
            </w:r>
          </w:p>
        </w:tc>
      </w:tr>
    </w:tbl>
    <w:p>
      <w:pPr>
        <w:spacing w:before="0" w:after="60" w:line="240" w:lineRule="auto"/>
      </w:pP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（三）核心算法设计</w:t>
      </w:r>
    </w:p>
    <w:p>
      <w:pPr>
        <w:spacing w:before="0" w:after="0" w:line="240" w:lineRule="auto"/>
        <w:ind w:firstLineChars="200" w:firstLine="480"/>
      </w:pPr>
      <w:r>
        <w:rPr>
          <w:rFonts w:ascii="Times New Roman" w:hAnsi="Times New Roman" w:eastAsia="宋体"/>
          <w:b/>
          <w:sz w:val="24"/>
          <w:szCs w:val="24"/>
        </w:rPr>
        <w:t xml:space="preserve">1. 三维相似度一致性判定。</w:t>
      </w:r>
      <w:r>
        <w:rPr>
          <w:rFonts w:ascii="Times New Roman" w:hAnsi="Times New Roman" w:eastAsia="宋体"/>
          <w:sz w:val="24"/>
          <w:szCs w:val="24"/>
        </w:rPr>
        <w:t xml:space="preserve">对每个需求条目-代码单元配对计算综合相似度：Sim(Ri,Cj) = α·Cos(EmbR,EmbC) + β·Con(Ri,Cj) + γ·Inv(Ri,Cj)。其中语义维 Cos 结合本地 BGE 向量余弦、分词 Jaccard 与方法名匹配增强；约束维 Con 检测空值校验、参数验证、异常处理、日志记录等约束实现；不变量维 Inv 检测返回值、语法正确性、访问修饰符等不变量。为消除维度间共线性，经网格标定确定 α/β/γ = 0.5/0.2/0.3，判定阈值 T1 = 0.52（Sim &gt; T1 判完全一致）、T2 = 0.5（T2 ≤ Sim ≤ T1 判一般不一致，Sim &lt; T2 判严重不一致）。</w:t>
      </w:r>
    </w:p>
    <w:p>
      <w:pPr>
        <w:spacing w:before="0" w:after="0" w:line="240" w:lineRule="auto"/>
        <w:ind w:firstLineChars="200" w:firstLine="480"/>
      </w:pPr>
      <w:r>
        <w:rPr>
          <w:rFonts w:ascii="Times New Roman" w:hAnsi="Times New Roman" w:eastAsia="宋体"/>
          <w:b/>
          <w:sz w:val="24"/>
          <w:szCs w:val="24"/>
        </w:rPr>
        <w:t xml:space="preserve">2. B2 风险门控双通道。</w:t>
      </w:r>
      <w:r>
        <w:rPr>
          <w:rFonts w:ascii="Times New Roman" w:hAnsi="Times New Roman" w:eastAsia="宋体"/>
          <w:sz w:val="24"/>
          <w:szCs w:val="24"/>
        </w:rPr>
        <w:t xml:space="preserve">分数通道之外引入独立风险通道：从需求-代码对中提取业务规则证据（如库存扣减、幂等、退款约束等风险词表命中与代码证据缺失组合）计算缺陷风险分 defectRisk，当 defectRisk ≥ 0.35 时即使分数落在一致区也判不一致。该通道将规则链在调参集上的误报率从 24.1% 压至 6.9%，弥补线性分数通道对“高语义对齐但关键逻辑缺失”对子的漏检。</w:t>
      </w:r>
    </w:p>
    <w:p>
      <w:pPr>
        <w:spacing w:before="0" w:after="0" w:line="240" w:lineRule="auto"/>
        <w:ind w:firstLineChars="200" w:firstLine="480"/>
      </w:pPr>
      <w:r>
        <w:rPr>
          <w:rFonts w:ascii="Times New Roman" w:hAnsi="Times New Roman" w:eastAsia="宋体"/>
          <w:b/>
          <w:sz w:val="24"/>
          <w:szCs w:val="24"/>
        </w:rPr>
        <w:t xml:space="preserve">3. 双提示词交叉评审管线。</w:t>
      </w:r>
      <w:r>
        <w:rPr>
          <w:rFonts w:ascii="Times New Roman" w:hAnsi="Times New Roman" w:eastAsia="宋体"/>
          <w:sz w:val="24"/>
          <w:szCs w:val="24"/>
        </w:rPr>
        <w:t xml:space="preserve">LLM 增强模式下，每对样本由同一本地模型以两个结构不同的提示词独立评审：变体 A 采用全量准则并注入同类方法分工与常量证据；变体 B 采用精简五条准则加结构化示例。两者结论一致即共识输出；分歧时交由规则风险仲裁，并叠加数值归属硬过滤与量化边界规则否决权，杜绝大模型幻觉直出。管线如图 2 所示，全部中间证据落库形成全路径判定溯源，评审端可逐条查看每条判定的决策依据。</w:t>
      </w:r>
    </w:p>
    <w:p>
      <w:pPr>
        <w:jc w:val="center"/>
        <w:spacing w:before="120" w:after="60" w:line="240" w:lineRule="auto"/>
      </w:pPr>
      <w:r>
        <w:drawing>
          <wp:inline xmlns:a="http://schemas.openxmlformats.org/drawingml/2006/main">
            <wp:extent cx="5394960" cy="2312126"/>
            <wp:docPr id="2" name="Picture 2"/>
            <wp:cNvGraphicFramePr>
              <a:graphicFrameLocks noChangeAspect="1"/>
            </wp:cNvGraphicFramePr>
            <a:graphic>
              <a:graphicData uri="http://schemas.openxmlformats.org/drawingml/2006/picture">
                <pic:pic>
                  <pic:nvPicPr>
                    <pic:cNvPr id="0" name="fig_pipeline.png"/>
                    <pic:cNvPicPr/>
                  </pic:nvPicPr>
                  <pic:blipFill>
                    <a:blip r:embed="rId24"/>
                    <a:stretch>
                      <a:fillRect/>
                    </a:stretch>
                  </pic:blipFill>
                  <pic:spPr>
                    <a:xfrm>
                      <a:off x="0" y="0"/>
                      <a:ext cx="5394960" cy="2312126"/>
                    </a:xfrm>
                    <a:prstGeom prst="rect"/>
                  </pic:spPr>
                </pic:pic>
              </a:graphicData>
            </a:graphic>
          </wp:inline>
        </w:drawing>
      </w:r>
    </w:p>
    <w:p>
      <w:pPr>
        <w:spacing w:before="40" w:after="120" w:line="240" w:lineRule="auto"/>
        <w:jc w:val="center"/>
      </w:pPr>
      <w:r>
        <w:rPr>
          <w:rFonts w:ascii="Times New Roman" w:hAnsi="Times New Roman" w:eastAsia="宋体"/>
          <w:b/>
          <w:sz w:val="21"/>
          <w:szCs w:val="21"/>
        </w:rPr>
        <w:t xml:space="preserve">图 2　双提示词交叉评审与风险门控判定管线</w:t>
      </w:r>
    </w:p>
    <w:p>
      <w:pPr>
        <w:spacing w:before="0" w:after="0" w:line="240" w:lineRule="auto"/>
        <w:ind w:firstLineChars="200" w:firstLine="480"/>
      </w:pPr>
      <w:r>
        <w:rPr>
          <w:rFonts w:ascii="Times New Roman" w:hAnsi="Times New Roman" w:eastAsia="宋体"/>
          <w:b/>
          <w:sz w:val="24"/>
          <w:szCs w:val="24"/>
        </w:rPr>
        <w:t xml:space="preserve">4. 有界候选复核与行级定位。</w:t>
      </w:r>
      <w:r>
        <w:rPr>
          <w:rFonts w:ascii="Times New Roman" w:hAnsi="Times New Roman" w:eastAsia="宋体"/>
          <w:sz w:val="24"/>
          <w:szCs w:val="24"/>
        </w:rPr>
        <w:t xml:space="preserve">为控制大模型成本，LLM 二审仅针对候选对（规则可疑、灰色带、高风险与一致池抽样）执行，硬上限 200 对，小数据集趋近全量保指标、大数据集恒定有界；缺陷定位采用 7 因子行级定位算法，将缺陷归属到具体代码行并给出修复建议。</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（四）创新应用与同类对比</w:t>
      </w:r>
    </w:p>
    <w:p>
      <w:pPr>
        <w:spacing w:before="0" w:after="0" w:line="240" w:lineRule="auto"/>
        <w:ind w:firstLineChars="200" w:firstLine="480"/>
      </w:pPr>
      <w:r>
        <w:rPr>
          <w:rFonts w:ascii="Times New Roman" w:hAnsi="Times New Roman" w:eastAsia="宋体"/>
          <w:sz w:val="24"/>
          <w:szCs w:val="24"/>
        </w:rPr>
        <w:t xml:space="preserve">本作品的核心创新可归纳为四点：</w:t>
      </w:r>
      <w:r>
        <w:rPr>
          <w:rFonts w:ascii="Times New Roman" w:hAnsi="Times New Roman" w:eastAsia="宋体"/>
          <w:b/>
          <w:sz w:val="24"/>
          <w:szCs w:val="24"/>
        </w:rPr>
        <w:t xml:space="preserve">创新一，三层混合验证架构</w:t>
      </w:r>
      <w:r>
        <w:rPr>
          <w:rFonts w:ascii="Times New Roman" w:hAnsi="Times New Roman" w:eastAsia="宋体"/>
          <w:sz w:val="24"/>
          <w:szCs w:val="24"/>
        </w:rPr>
        <w:t xml:space="preserve">——规则保底、AI 双评交叉、风险仲裁分层兜底，兼顾准确率、成本与可解释性；</w:t>
      </w:r>
      <w:r>
        <w:rPr>
          <w:rFonts w:ascii="Times New Roman" w:hAnsi="Times New Roman" w:eastAsia="宋体"/>
          <w:b/>
          <w:sz w:val="24"/>
          <w:szCs w:val="24"/>
        </w:rPr>
        <w:t xml:space="preserve">创新二，AI 双评审管线与全路径判定溯源</w:t>
      </w:r>
      <w:r>
        <w:rPr>
          <w:rFonts w:ascii="Times New Roman" w:hAnsi="Times New Roman" w:eastAsia="宋体"/>
          <w:sz w:val="24"/>
          <w:szCs w:val="24"/>
        </w:rPr>
        <w:t xml:space="preserve">——双模型互审、分歧仲裁、证据落库，实现 AI 判定可审计；</w:t>
      </w:r>
      <w:r>
        <w:rPr>
          <w:rFonts w:ascii="Times New Roman" w:hAnsi="Times New Roman" w:eastAsia="宋体"/>
          <w:b/>
          <w:sz w:val="24"/>
          <w:szCs w:val="24"/>
        </w:rPr>
        <w:t xml:space="preserve">创新三，去共线性三维相似度与风险门控</w:t>
      </w:r>
      <w:r>
        <w:rPr>
          <w:rFonts w:ascii="Times New Roman" w:hAnsi="Times New Roman" w:eastAsia="宋体"/>
          <w:sz w:val="24"/>
          <w:szCs w:val="24"/>
        </w:rPr>
        <w:t xml:space="preserve">——以网格标定消除维度共线性，独立风险通道覆盖分数通道漏检，且将已知缺陷主动写进 CI 门禁形成自我纠错机制；</w:t>
      </w:r>
      <w:r>
        <w:rPr>
          <w:rFonts w:ascii="Times New Roman" w:hAnsi="Times New Roman" w:eastAsia="宋体"/>
          <w:b/>
          <w:sz w:val="24"/>
          <w:szCs w:val="24"/>
        </w:rPr>
        <w:t xml:space="preserve">创新四，有界候选复核与 7 因子行级定位</w:t>
      </w:r>
      <w:r>
        <w:rPr>
          <w:rFonts w:ascii="Times New Roman" w:hAnsi="Times New Roman" w:eastAsia="宋体"/>
          <w:sz w:val="24"/>
          <w:szCs w:val="24"/>
        </w:rPr>
        <w:t xml:space="preserve">——以预算制控制大模型成本，缺陷定位到行并给出修复建议。</w:t>
      </w:r>
    </w:p>
    <w:p>
      <w:pPr>
        <w:spacing w:before="0" w:after="0" w:line="240" w:lineRule="auto"/>
        <w:ind w:firstLineChars="200" w:firstLine="480"/>
      </w:pPr>
      <w:r>
        <w:rPr>
          <w:rFonts w:ascii="Times New Roman" w:hAnsi="Times New Roman" w:eastAsia="宋体"/>
          <w:sz w:val="24"/>
          <w:szCs w:val="24"/>
        </w:rPr>
        <w:t xml:space="preserve">为验证上述设计的有效性，在同一评测集（5 域 116 对一致性标注，其中调参集 55 对、从未参与调参的验证集 61 对）上完成八口径消融实验，结果如图 3 与表 2 所示：本方案双判定管线在验证集盲评中取得准确率 95.0%、漏检率 0.0%、误报率 7.3%，较单提示词 LLM（81.8%）与云端大模型直评（83.6%）有显著优势，证明收益来自结构化管线而非模型本身。</w:t>
      </w:r>
    </w:p>
    <w:p>
      <w:pPr>
        <w:jc w:val="center"/>
        <w:spacing w:before="120" w:after="60" w:line="240" w:lineRule="auto"/>
      </w:pPr>
      <w:r>
        <w:drawing>
          <wp:inline xmlns:a="http://schemas.openxmlformats.org/drawingml/2006/main">
            <wp:extent cx="5394960" cy="2433021"/>
            <wp:docPr id="3" name="Picture 3"/>
            <wp:cNvGraphicFramePr>
              <a:graphicFrameLocks noChangeAspect="1"/>
            </wp:cNvGraphicFramePr>
            <a:graphic>
              <a:graphicData uri="http://schemas.openxmlformats.org/drawingml/2006/picture">
                <pic:pic>
                  <pic:nvPicPr>
                    <pic:cNvPr id="0" name="fig_ablation.png"/>
                    <pic:cNvPicPr/>
                  </pic:nvPicPr>
                  <pic:blipFill>
                    <a:blip r:embed="rId25"/>
                    <a:stretch>
                      <a:fillRect/>
                    </a:stretch>
                  </pic:blipFill>
                  <pic:spPr>
                    <a:xfrm>
                      <a:off x="0" y="0"/>
                      <a:ext cx="5394960" cy="2433021"/>
                    </a:xfrm>
                    <a:prstGeom prst="rect"/>
                  </pic:spPr>
                </pic:pic>
              </a:graphicData>
            </a:graphic>
          </wp:inline>
        </w:drawing>
      </w:r>
    </w:p>
    <w:p>
      <w:pPr>
        <w:spacing w:before="40" w:after="120" w:line="240" w:lineRule="auto"/>
        <w:jc w:val="center"/>
      </w:pPr>
      <w:r>
        <w:rPr>
          <w:rFonts w:ascii="Times New Roman" w:hAnsi="Times New Roman" w:eastAsia="宋体"/>
          <w:b/>
          <w:sz w:val="21"/>
          <w:szCs w:val="21"/>
        </w:rPr>
        <w:t xml:space="preserve">图 3　八口径消融实验对比（同一评测集）</w:t>
      </w:r>
    </w:p>
    <w:p>
      <w:pPr>
        <w:spacing w:before="120" w:after="40" w:line="240" w:lineRule="auto"/>
        <w:jc w:val="center"/>
      </w:pPr>
      <w:r>
        <w:rPr>
          <w:rFonts w:ascii="Times New Roman" w:hAnsi="Times New Roman" w:eastAsia="宋体"/>
          <w:b/>
          <w:sz w:val="21"/>
          <w:szCs w:val="21"/>
        </w:rPr>
        <w:t xml:space="preserve">表 2　消融实验关键口径（完整 A1-A8 见附录测试数据）</w:t>
      </w:r>
    </w:p>
    <w:tbl>
      <w:tblPr>
        <w:tblW w:w="5000" w:type="pct"/>
        <w:tblBorders>
          <w:top w:val="single" w:sz="8" w:color="555555"/>
          <w:bottom w:val="single" w:sz="8" w:color="555555"/>
          <w:left w:val="single" w:sz="4" w:color="999999"/>
          <w:right w:val="single" w:sz="4" w:color="999999"/>
          <w:insideH w:val="single" w:sz="4" w:color="AAAAAA"/>
          <w:insideV w:val="single" w:sz="4" w:color="AAAAAA"/>
        </w:tblBorders>
      </w:tblPr>
      <w:tr>
        <w:trPr>
          <w:tblHeader/>
          <w:cantSplit/>
        </w:trPr>
        <w:tc>
          <w:tcPr>
            <w:tcW w:w="1700" w:type="pct"/>
            <w:shd w:val="clear" w:fill="E8EEF4"/>
          </w:tcPr>
          <w:p>
            <w:pPr>
              <w:spacing w:line="240" w:lineRule="auto"/>
              <w:jc w:val="center"/>
            </w:pPr>
            <w:r>
              <w:rPr>
                <w:rFonts w:ascii="Times New Roman" w:hAnsi="Times New Roman" w:eastAsia="宋体"/>
                <w:b/>
                <w:sz w:val="21"/>
                <w:szCs w:val="21"/>
              </w:rPr>
              <w:t xml:space="preserve">判定方案</w:t>
            </w:r>
          </w:p>
        </w:tc>
        <w:tc>
          <w:tcPr>
            <w:tcW w:w="900" w:type="pct"/>
            <w:shd w:val="clear" w:fill="E8EEF4"/>
          </w:tcPr>
          <w:p>
            <w:pPr>
              <w:spacing w:line="240" w:lineRule="auto"/>
              <w:jc w:val="center"/>
            </w:pPr>
            <w:r>
              <w:rPr>
                <w:rFonts w:ascii="Times New Roman" w:hAnsi="Times New Roman" w:eastAsia="宋体"/>
                <w:b/>
                <w:sz w:val="21"/>
                <w:szCs w:val="21"/>
              </w:rPr>
              <w:t xml:space="preserve">数据口径</w:t>
            </w:r>
          </w:p>
        </w:tc>
        <w:tc>
          <w:tcPr>
            <w:tcW w:w="800" w:type="pct"/>
            <w:shd w:val="clear" w:fill="E8EEF4"/>
          </w:tcPr>
          <w:p>
            <w:pPr>
              <w:spacing w:line="240" w:lineRule="auto"/>
              <w:jc w:val="center"/>
            </w:pPr>
            <w:r>
              <w:rPr>
                <w:rFonts w:ascii="Times New Roman" w:hAnsi="Times New Roman" w:eastAsia="宋体"/>
                <w:b/>
                <w:sz w:val="21"/>
                <w:szCs w:val="21"/>
              </w:rPr>
              <w:t xml:space="preserve">准确率</w:t>
            </w:r>
          </w:p>
        </w:tc>
        <w:tc>
          <w:tcPr>
            <w:tcW w:w="800" w:type="pct"/>
            <w:shd w:val="clear" w:fill="E8EEF4"/>
          </w:tcPr>
          <w:p>
            <w:pPr>
              <w:spacing w:line="240" w:lineRule="auto"/>
              <w:jc w:val="center"/>
            </w:pPr>
            <w:r>
              <w:rPr>
                <w:rFonts w:ascii="Times New Roman" w:hAnsi="Times New Roman" w:eastAsia="宋体"/>
                <w:b/>
                <w:sz w:val="21"/>
                <w:szCs w:val="21"/>
              </w:rPr>
              <w:t xml:space="preserve">漏检率</w:t>
            </w:r>
          </w:p>
        </w:tc>
        <w:tc>
          <w:tcPr>
            <w:tcW w:w="800" w:type="pct"/>
            <w:shd w:val="clear" w:fill="E8EEF4"/>
          </w:tcPr>
          <w:p>
            <w:pPr>
              <w:spacing w:line="240" w:lineRule="auto"/>
              <w:jc w:val="center"/>
            </w:pPr>
            <w:r>
              <w:rPr>
                <w:rFonts w:ascii="Times New Roman" w:hAnsi="Times New Roman" w:eastAsia="宋体"/>
                <w:b/>
                <w:sz w:val="21"/>
                <w:szCs w:val="21"/>
              </w:rPr>
              <w:t xml:space="preserve">误报率</w:t>
            </w:r>
          </w:p>
        </w:tc>
      </w:tr>
      <w:tr>
        <w:trPr>
          <w:cantSplit/>
        </w:trPr>
        <w:tc>
          <w:tcPr>
            <w:tcW w:w="1700" w:type="pct"/>
          </w:tcPr>
          <w:p>
            <w:pPr>
              <w:spacing w:line="240" w:lineRule="auto"/>
            </w:pPr>
            <w:r>
              <w:rPr>
                <w:rFonts w:ascii="Times New Roman" w:hAnsi="Times New Roman" w:eastAsia="宋体"/>
                <w:sz w:val="21"/>
                <w:szCs w:val="21"/>
              </w:rPr>
              <w:t xml:space="preserve">A1 纯规则（默认阈值 t1=0.80）</w:t>
            </w:r>
          </w:p>
        </w:tc>
        <w:tc>
          <w:tcPr>
            <w:tcW w:w="900" w:type="pct"/>
          </w:tcPr>
          <w:p>
            <w:pPr>
              <w:spacing w:line="240" w:lineRule="auto"/>
            </w:pPr>
            <w:r>
              <w:rPr>
                <w:rFonts w:ascii="Times New Roman" w:hAnsi="Times New Roman" w:eastAsia="宋体"/>
                <w:sz w:val="21"/>
                <w:szCs w:val="21"/>
              </w:rPr>
              <w:t xml:space="preserve">tune 55 对</w:t>
            </w:r>
          </w:p>
        </w:tc>
        <w:tc>
          <w:tcPr>
            <w:tcW w:w="800" w:type="pct"/>
          </w:tcPr>
          <w:p>
            <w:pPr>
              <w:spacing w:line="240" w:lineRule="auto"/>
            </w:pPr>
            <w:r>
              <w:rPr>
                <w:rFonts w:ascii="Times New Roman" w:hAnsi="Times New Roman" w:eastAsia="宋体"/>
                <w:sz w:val="21"/>
                <w:szCs w:val="21"/>
              </w:rPr>
              <w:t xml:space="preserve">47.3%</w:t>
            </w:r>
          </w:p>
        </w:tc>
        <w:tc>
          <w:tcPr>
            <w:tcW w:w="800" w:type="pct"/>
          </w:tcPr>
          <w:p>
            <w:pPr>
              <w:spacing w:line="240" w:lineRule="auto"/>
            </w:pPr>
            <w:r>
              <w:rPr>
                <w:rFonts w:ascii="Times New Roman" w:hAnsi="Times New Roman" w:eastAsia="宋体"/>
                <w:sz w:val="21"/>
                <w:szCs w:val="21"/>
              </w:rPr>
              <w:t xml:space="preserve">0.0%</w:t>
            </w:r>
          </w:p>
        </w:tc>
        <w:tc>
          <w:tcPr>
            <w:tcW w:w="800" w:type="pct"/>
          </w:tcPr>
          <w:p>
            <w:pPr>
              <w:spacing w:line="240" w:lineRule="auto"/>
            </w:pPr>
            <w:r>
              <w:rPr>
                <w:rFonts w:ascii="Times New Roman" w:hAnsi="Times New Roman" w:eastAsia="宋体"/>
                <w:sz w:val="21"/>
                <w:szCs w:val="21"/>
              </w:rPr>
              <w:t xml:space="preserve">100.0%</w:t>
            </w:r>
          </w:p>
        </w:tc>
      </w:tr>
      <w:tr>
        <w:trPr>
          <w:cantSplit/>
        </w:trPr>
        <w:tc>
          <w:tcPr>
            <w:tcW w:w="1700" w:type="pct"/>
          </w:tcPr>
          <w:p>
            <w:pPr>
              <w:spacing w:line="240" w:lineRule="auto"/>
            </w:pPr>
            <w:r>
              <w:rPr>
                <w:rFonts w:ascii="Times New Roman" w:hAnsi="Times New Roman" w:eastAsia="宋体"/>
                <w:sz w:val="21"/>
                <w:szCs w:val="21"/>
              </w:rPr>
              <w:t xml:space="preserve">A2 纯规则（阈值标定最优）</w:t>
            </w:r>
          </w:p>
        </w:tc>
        <w:tc>
          <w:tcPr>
            <w:tcW w:w="900" w:type="pct"/>
          </w:tcPr>
          <w:p>
            <w:pPr>
              <w:spacing w:line="240" w:lineRule="auto"/>
            </w:pPr>
            <w:r>
              <w:rPr>
                <w:rFonts w:ascii="Times New Roman" w:hAnsi="Times New Roman" w:eastAsia="宋体"/>
                <w:sz w:val="21"/>
                <w:szCs w:val="21"/>
              </w:rPr>
              <w:t xml:space="preserve">tune 55 对</w:t>
            </w:r>
          </w:p>
        </w:tc>
        <w:tc>
          <w:tcPr>
            <w:tcW w:w="800" w:type="pct"/>
          </w:tcPr>
          <w:p>
            <w:pPr>
              <w:spacing w:line="240" w:lineRule="auto"/>
            </w:pPr>
            <w:r>
              <w:rPr>
                <w:rFonts w:ascii="Times New Roman" w:hAnsi="Times New Roman" w:eastAsia="宋体"/>
                <w:sz w:val="21"/>
                <w:szCs w:val="21"/>
              </w:rPr>
              <w:t xml:space="preserve">70.9%</w:t>
            </w:r>
          </w:p>
        </w:tc>
        <w:tc>
          <w:tcPr>
            <w:tcW w:w="800" w:type="pct"/>
          </w:tcPr>
          <w:p>
            <w:pPr>
              <w:spacing w:line="240" w:lineRule="auto"/>
            </w:pPr>
            <w:r>
              <w:rPr>
                <w:rFonts w:ascii="Times New Roman" w:hAnsi="Times New Roman" w:eastAsia="宋体"/>
                <w:sz w:val="21"/>
                <w:szCs w:val="21"/>
              </w:rPr>
              <w:t xml:space="preserve">61.5%</w:t>
            </w:r>
          </w:p>
        </w:tc>
        <w:tc>
          <w:tcPr>
            <w:tcW w:w="800" w:type="pct"/>
          </w:tcPr>
          <w:p>
            <w:pPr>
              <w:spacing w:line="240" w:lineRule="auto"/>
            </w:pPr>
            <w:r>
              <w:rPr>
                <w:rFonts w:ascii="Times New Roman" w:hAnsi="Times New Roman" w:eastAsia="宋体"/>
                <w:sz w:val="21"/>
                <w:szCs w:val="21"/>
              </w:rPr>
              <w:t xml:space="preserve">0.0%</w:t>
            </w:r>
          </w:p>
        </w:tc>
      </w:tr>
      <w:tr>
        <w:trPr>
          <w:cantSplit/>
        </w:trPr>
        <w:tc>
          <w:tcPr>
            <w:tcW w:w="1700" w:type="pct"/>
          </w:tcPr>
          <w:p>
            <w:pPr>
              <w:spacing w:line="240" w:lineRule="auto"/>
            </w:pPr>
            <w:r>
              <w:rPr>
                <w:rFonts w:ascii="Times New Roman" w:hAnsi="Times New Roman" w:eastAsia="宋体"/>
                <w:sz w:val="21"/>
                <w:szCs w:val="21"/>
              </w:rPr>
              <w:t xml:space="preserve">A3 单提示词 LLM（直评）</w:t>
            </w:r>
          </w:p>
        </w:tc>
        <w:tc>
          <w:tcPr>
            <w:tcW w:w="900" w:type="pct"/>
          </w:tcPr>
          <w:p>
            <w:pPr>
              <w:spacing w:line="240" w:lineRule="auto"/>
            </w:pPr>
            <w:r>
              <w:rPr>
                <w:rFonts w:ascii="Times New Roman" w:hAnsi="Times New Roman" w:eastAsia="宋体"/>
                <w:sz w:val="21"/>
                <w:szCs w:val="21"/>
              </w:rPr>
              <w:t xml:space="preserve">tune 55 对</w:t>
            </w:r>
          </w:p>
        </w:tc>
        <w:tc>
          <w:tcPr>
            <w:tcW w:w="800" w:type="pct"/>
          </w:tcPr>
          <w:p>
            <w:pPr>
              <w:spacing w:line="240" w:lineRule="auto"/>
            </w:pPr>
            <w:r>
              <w:rPr>
                <w:rFonts w:ascii="Times New Roman" w:hAnsi="Times New Roman" w:eastAsia="宋体"/>
                <w:sz w:val="21"/>
                <w:szCs w:val="21"/>
              </w:rPr>
              <w:t xml:space="preserve">81.8%</w:t>
            </w:r>
          </w:p>
        </w:tc>
        <w:tc>
          <w:tcPr>
            <w:tcW w:w="800" w:type="pct"/>
          </w:tcPr>
          <w:p>
            <w:pPr>
              <w:spacing w:line="240" w:lineRule="auto"/>
            </w:pPr>
            <w:r>
              <w:rPr>
                <w:rFonts w:ascii="Times New Roman" w:hAnsi="Times New Roman" w:eastAsia="宋体"/>
                <w:sz w:val="21"/>
                <w:szCs w:val="21"/>
              </w:rPr>
              <w:t xml:space="preserve">7.7%</w:t>
            </w:r>
          </w:p>
        </w:tc>
        <w:tc>
          <w:tcPr>
            <w:tcW w:w="800" w:type="pct"/>
          </w:tcPr>
          <w:p>
            <w:pPr>
              <w:spacing w:line="240" w:lineRule="auto"/>
            </w:pPr>
            <w:r>
              <w:rPr>
                <w:rFonts w:ascii="Times New Roman" w:hAnsi="Times New Roman" w:eastAsia="宋体"/>
                <w:sz w:val="21"/>
                <w:szCs w:val="21"/>
              </w:rPr>
              <w:t xml:space="preserve">27.6%</w:t>
            </w:r>
          </w:p>
        </w:tc>
      </w:tr>
      <w:tr>
        <w:trPr>
          <w:cantSplit/>
        </w:trPr>
        <w:tc>
          <w:tcPr>
            <w:tcW w:w="1700" w:type="pct"/>
          </w:tcPr>
          <w:p>
            <w:pPr>
              <w:spacing w:line="240" w:lineRule="auto"/>
            </w:pPr>
            <w:r>
              <w:rPr>
                <w:rFonts w:ascii="Times New Roman" w:hAnsi="Times New Roman" w:eastAsia="宋体"/>
                <w:sz w:val="21"/>
                <w:szCs w:val="21"/>
              </w:rPr>
              <w:t xml:space="preserve">A4 单提示词 LLM（云端 qwen-max）</w:t>
            </w:r>
          </w:p>
        </w:tc>
        <w:tc>
          <w:tcPr>
            <w:tcW w:w="900" w:type="pct"/>
          </w:tcPr>
          <w:p>
            <w:pPr>
              <w:spacing w:line="240" w:lineRule="auto"/>
            </w:pPr>
            <w:r>
              <w:rPr>
                <w:rFonts w:ascii="Times New Roman" w:hAnsi="Times New Roman" w:eastAsia="宋体"/>
                <w:sz w:val="21"/>
                <w:szCs w:val="21"/>
              </w:rPr>
              <w:t xml:space="preserve">tune 55 对</w:t>
            </w:r>
          </w:p>
        </w:tc>
        <w:tc>
          <w:tcPr>
            <w:tcW w:w="800" w:type="pct"/>
          </w:tcPr>
          <w:p>
            <w:pPr>
              <w:spacing w:line="240" w:lineRule="auto"/>
            </w:pPr>
            <w:r>
              <w:rPr>
                <w:rFonts w:ascii="Times New Roman" w:hAnsi="Times New Roman" w:eastAsia="宋体"/>
                <w:sz w:val="21"/>
                <w:szCs w:val="21"/>
              </w:rPr>
              <w:t xml:space="preserve">83.6%</w:t>
            </w:r>
          </w:p>
        </w:tc>
        <w:tc>
          <w:tcPr>
            <w:tcW w:w="800" w:type="pct"/>
          </w:tcPr>
          <w:p>
            <w:pPr>
              <w:spacing w:line="240" w:lineRule="auto"/>
            </w:pPr>
            <w:r>
              <w:rPr>
                <w:rFonts w:ascii="Times New Roman" w:hAnsi="Times New Roman" w:eastAsia="宋体"/>
                <w:sz w:val="21"/>
                <w:szCs w:val="21"/>
              </w:rPr>
              <w:t xml:space="preserve">15.4%</w:t>
            </w:r>
          </w:p>
        </w:tc>
        <w:tc>
          <w:tcPr>
            <w:tcW w:w="800" w:type="pct"/>
          </w:tcPr>
          <w:p>
            <w:pPr>
              <w:spacing w:line="240" w:lineRule="auto"/>
            </w:pPr>
            <w:r>
              <w:rPr>
                <w:rFonts w:ascii="Times New Roman" w:hAnsi="Times New Roman" w:eastAsia="宋体"/>
                <w:sz w:val="21"/>
                <w:szCs w:val="21"/>
              </w:rPr>
              <w:t xml:space="preserve">17.2%</w:t>
            </w:r>
          </w:p>
        </w:tc>
      </w:tr>
      <w:tr>
        <w:trPr>
          <w:cantSplit/>
        </w:trPr>
        <w:tc>
          <w:tcPr>
            <w:tcW w:w="1700" w:type="pct"/>
          </w:tcPr>
          <w:p>
            <w:pPr>
              <w:spacing w:line="240" w:lineRule="auto"/>
            </w:pPr>
            <w:r>
              <w:rPr>
                <w:rFonts w:ascii="Times New Roman" w:hAnsi="Times New Roman" w:eastAsia="宋体"/>
                <w:sz w:val="21"/>
                <w:szCs w:val="21"/>
              </w:rPr>
              <w:t xml:space="preserve">A7 本方案双判定管线</w:t>
            </w:r>
          </w:p>
        </w:tc>
        <w:tc>
          <w:tcPr>
            <w:tcW w:w="900" w:type="pct"/>
          </w:tcPr>
          <w:p>
            <w:pPr>
              <w:spacing w:line="240" w:lineRule="auto"/>
            </w:pPr>
            <w:r>
              <w:rPr>
                <w:rFonts w:ascii="Times New Roman" w:hAnsi="Times New Roman" w:eastAsia="宋体"/>
                <w:sz w:val="21"/>
                <w:szCs w:val="21"/>
              </w:rPr>
              <w:t xml:space="preserve">tune 55 对</w:t>
            </w:r>
          </w:p>
        </w:tc>
        <w:tc>
          <w:tcPr>
            <w:tcW w:w="800" w:type="pct"/>
          </w:tcPr>
          <w:p>
            <w:pPr>
              <w:spacing w:line="240" w:lineRule="auto"/>
            </w:pPr>
            <w:r>
              <w:rPr>
                <w:rFonts w:ascii="Times New Roman" w:hAnsi="Times New Roman" w:eastAsia="宋体"/>
                <w:sz w:val="21"/>
                <w:szCs w:val="21"/>
              </w:rPr>
              <w:t xml:space="preserve">96.4%</w:t>
            </w:r>
          </w:p>
        </w:tc>
        <w:tc>
          <w:tcPr>
            <w:tcW w:w="800" w:type="pct"/>
          </w:tcPr>
          <w:p>
            <w:pPr>
              <w:spacing w:line="240" w:lineRule="auto"/>
            </w:pPr>
            <w:r>
              <w:rPr>
                <w:rFonts w:ascii="Times New Roman" w:hAnsi="Times New Roman" w:eastAsia="宋体"/>
                <w:sz w:val="21"/>
                <w:szCs w:val="21"/>
              </w:rPr>
              <w:t xml:space="preserve">3.8%</w:t>
            </w:r>
          </w:p>
        </w:tc>
        <w:tc>
          <w:tcPr>
            <w:tcW w:w="800" w:type="pct"/>
          </w:tcPr>
          <w:p>
            <w:pPr>
              <w:spacing w:line="240" w:lineRule="auto"/>
            </w:pPr>
            <w:r>
              <w:rPr>
                <w:rFonts w:ascii="Times New Roman" w:hAnsi="Times New Roman" w:eastAsia="宋体"/>
                <w:sz w:val="21"/>
                <w:szCs w:val="21"/>
              </w:rPr>
              <w:t xml:space="preserve">3.4%</w:t>
            </w:r>
          </w:p>
        </w:tc>
      </w:tr>
      <w:tr>
        <w:trPr>
          <w:cantSplit/>
        </w:trPr>
        <w:tc>
          <w:tcPr>
            <w:tcW w:w="1700" w:type="pct"/>
          </w:tcPr>
          <w:p>
            <w:pPr>
              <w:spacing w:line="240" w:lineRule="auto"/>
            </w:pPr>
            <w:r>
              <w:rPr>
                <w:rFonts w:ascii="Times New Roman" w:hAnsi="Times New Roman" w:eastAsia="宋体"/>
                <w:sz w:val="21"/>
                <w:szCs w:val="21"/>
              </w:rPr>
              <w:t xml:space="preserve">A8 本方案双判定管线（盲评）</w:t>
            </w:r>
          </w:p>
        </w:tc>
        <w:tc>
          <w:tcPr>
            <w:tcW w:w="900" w:type="pct"/>
          </w:tcPr>
          <w:p>
            <w:pPr>
              <w:spacing w:line="240" w:lineRule="auto"/>
            </w:pPr>
            <w:r>
              <w:rPr>
                <w:rFonts w:ascii="Times New Roman" w:hAnsi="Times New Roman" w:eastAsia="宋体"/>
                <w:sz w:val="21"/>
                <w:szCs w:val="21"/>
              </w:rPr>
              <w:t xml:space="preserve">hold-out 61 对</w:t>
            </w:r>
          </w:p>
        </w:tc>
        <w:tc>
          <w:tcPr>
            <w:tcW w:w="800" w:type="pct"/>
          </w:tcPr>
          <w:p>
            <w:pPr>
              <w:spacing w:line="240" w:lineRule="auto"/>
            </w:pPr>
            <w:r>
              <w:rPr>
                <w:rFonts w:ascii="Times New Roman" w:hAnsi="Times New Roman" w:eastAsia="宋体"/>
                <w:sz w:val="21"/>
                <w:szCs w:val="21"/>
              </w:rPr>
              <w:t xml:space="preserve">95.0%</w:t>
            </w:r>
          </w:p>
        </w:tc>
        <w:tc>
          <w:tcPr>
            <w:tcW w:w="800" w:type="pct"/>
          </w:tcPr>
          <w:p>
            <w:pPr>
              <w:spacing w:line="240" w:lineRule="auto"/>
            </w:pPr>
            <w:r>
              <w:rPr>
                <w:rFonts w:ascii="Times New Roman" w:hAnsi="Times New Roman" w:eastAsia="宋体"/>
                <w:sz w:val="21"/>
                <w:szCs w:val="21"/>
              </w:rPr>
              <w:t xml:space="preserve">0.0%</w:t>
            </w:r>
          </w:p>
        </w:tc>
        <w:tc>
          <w:tcPr>
            <w:tcW w:w="800" w:type="pct"/>
          </w:tcPr>
          <w:p>
            <w:pPr>
              <w:spacing w:line="240" w:lineRule="auto"/>
            </w:pPr>
            <w:r>
              <w:rPr>
                <w:rFonts w:ascii="Times New Roman" w:hAnsi="Times New Roman" w:eastAsia="宋体"/>
                <w:sz w:val="21"/>
                <w:szCs w:val="21"/>
              </w:rPr>
              <w:t xml:space="preserve">7.3%</w:t>
            </w:r>
          </w:p>
        </w:tc>
      </w:tr>
    </w:tbl>
    <w:p>
      <w:pPr>
        <w:spacing w:before="0" w:after="60" w:line="240" w:lineRule="auto"/>
      </w:pPr>
    </w:p>
    <w:p>
      <w:pPr>
        <w:spacing w:before="120" w:after="40" w:line="240" w:lineRule="auto"/>
        <w:jc w:val="center"/>
      </w:pPr>
      <w:r>
        <w:rPr>
          <w:rFonts w:ascii="Times New Roman" w:hAnsi="Times New Roman" w:eastAsia="宋体"/>
          <w:b/>
          <w:sz w:val="21"/>
          <w:szCs w:val="21"/>
        </w:rPr>
        <w:t xml:space="preserve">表 3　与同类方案的定位对比</w:t>
      </w:r>
    </w:p>
    <w:tbl>
      <w:tblPr>
        <w:tblW w:w="5000" w:type="pct"/>
        <w:tblBorders>
          <w:top w:val="single" w:sz="8" w:color="555555"/>
          <w:bottom w:val="single" w:sz="8" w:color="555555"/>
          <w:left w:val="single" w:sz="4" w:color="999999"/>
          <w:right w:val="single" w:sz="4" w:color="999999"/>
          <w:insideH w:val="single" w:sz="4" w:color="AAAAAA"/>
          <w:insideV w:val="single" w:sz="4" w:color="AAAAAA"/>
        </w:tblBorders>
      </w:tblPr>
      <w:tr>
        <w:trPr>
          <w:tblHeader/>
          <w:cantSplit/>
        </w:trPr>
        <w:tc>
          <w:tcPr>
            <w:tcW w:w="900" w:type="pct"/>
            <w:shd w:val="clear" w:fill="E8EEF4"/>
          </w:tcPr>
          <w:p>
            <w:pPr>
              <w:spacing w:line="240" w:lineRule="auto"/>
              <w:jc w:val="center"/>
            </w:pPr>
            <w:r>
              <w:rPr>
                <w:rFonts w:ascii="Times New Roman" w:hAnsi="Times New Roman" w:eastAsia="宋体"/>
                <w:b/>
                <w:sz w:val="21"/>
                <w:szCs w:val="21"/>
              </w:rPr>
              <w:t xml:space="preserve">能力维度</w:t>
            </w:r>
          </w:p>
        </w:tc>
        <w:tc>
          <w:tcPr>
            <w:tcW w:w="1300" w:type="pct"/>
            <w:shd w:val="clear" w:fill="E8EEF4"/>
          </w:tcPr>
          <w:p>
            <w:pPr>
              <w:spacing w:line="240" w:lineRule="auto"/>
              <w:jc w:val="center"/>
            </w:pPr>
            <w:r>
              <w:rPr>
                <w:rFonts w:ascii="Times New Roman" w:hAnsi="Times New Roman" w:eastAsia="宋体"/>
                <w:b/>
                <w:sz w:val="21"/>
                <w:szCs w:val="21"/>
              </w:rPr>
              <w:t xml:space="preserve">静态扫描工具</w:t>
            </w:r>
          </w:p>
        </w:tc>
        <w:tc>
          <w:tcPr>
            <w:tcW w:w="1350" w:type="pct"/>
            <w:shd w:val="clear" w:fill="E8EEF4"/>
          </w:tcPr>
          <w:p>
            <w:pPr>
              <w:spacing w:line="240" w:lineRule="auto"/>
              <w:jc w:val="center"/>
            </w:pPr>
            <w:r>
              <w:rPr>
                <w:rFonts w:ascii="Times New Roman" w:hAnsi="Times New Roman" w:eastAsia="宋体"/>
                <w:b/>
                <w:sz w:val="21"/>
                <w:szCs w:val="21"/>
              </w:rPr>
              <w:t xml:space="preserve">纯 LLM Code Review</w:t>
            </w:r>
          </w:p>
        </w:tc>
        <w:tc>
          <w:tcPr>
            <w:tcW w:w="1450" w:type="pct"/>
            <w:shd w:val="clear" w:fill="E8EEF4"/>
          </w:tcPr>
          <w:p>
            <w:pPr>
              <w:spacing w:line="240" w:lineRule="auto"/>
              <w:jc w:val="center"/>
            </w:pPr>
            <w:r>
              <w:rPr>
                <w:rFonts w:ascii="Times New Roman" w:hAnsi="Times New Roman" w:eastAsia="宋体"/>
                <w:b/>
                <w:sz w:val="21"/>
                <w:szCs w:val="21"/>
              </w:rPr>
              <w:t xml:space="preserve">本方案</w:t>
            </w:r>
          </w:p>
        </w:tc>
      </w:tr>
      <w:tr>
        <w:trPr>
          <w:cantSplit/>
        </w:trPr>
        <w:tc>
          <w:tcPr>
            <w:tcW w:w="900" w:type="pct"/>
          </w:tcPr>
          <w:p>
            <w:pPr>
              <w:spacing w:line="240" w:lineRule="auto"/>
            </w:pPr>
            <w:r>
              <w:rPr>
                <w:rFonts w:ascii="Times New Roman" w:hAnsi="Times New Roman" w:eastAsia="宋体"/>
                <w:sz w:val="21"/>
                <w:szCs w:val="21"/>
              </w:rPr>
              <w:t xml:space="preserve">需求-代码对齐</w:t>
            </w:r>
          </w:p>
        </w:tc>
        <w:tc>
          <w:tcPr>
            <w:tcW w:w="1300" w:type="pct"/>
          </w:tcPr>
          <w:p>
            <w:pPr>
              <w:spacing w:line="240" w:lineRule="auto"/>
            </w:pPr>
            <w:r>
              <w:rPr>
                <w:rFonts w:ascii="Times New Roman" w:hAnsi="Times New Roman" w:eastAsia="宋体"/>
                <w:sz w:val="21"/>
                <w:szCs w:val="21"/>
              </w:rPr>
              <w:t xml:space="preserve">不具备（无需求侧输入）</w:t>
            </w:r>
          </w:p>
        </w:tc>
        <w:tc>
          <w:tcPr>
            <w:tcW w:w="1350" w:type="pct"/>
          </w:tcPr>
          <w:p>
            <w:pPr>
              <w:spacing w:line="240" w:lineRule="auto"/>
            </w:pPr>
            <w:r>
              <w:rPr>
                <w:rFonts w:ascii="Times New Roman" w:hAnsi="Times New Roman" w:eastAsia="宋体"/>
                <w:sz w:val="21"/>
                <w:szCs w:val="21"/>
              </w:rPr>
              <w:t xml:space="preserve">依赖人工粘贴，无系统化对齐</w:t>
            </w:r>
          </w:p>
        </w:tc>
        <w:tc>
          <w:tcPr>
            <w:tcW w:w="1450" w:type="pct"/>
          </w:tcPr>
          <w:p>
            <w:pPr>
              <w:spacing w:line="240" w:lineRule="auto"/>
            </w:pPr>
            <w:r>
              <w:rPr>
                <w:rFonts w:ascii="Times New Roman" w:hAnsi="Times New Roman" w:eastAsia="宋体"/>
                <w:sz w:val="21"/>
                <w:szCs w:val="21"/>
              </w:rPr>
              <w:t xml:space="preserve">条目×方法对齐矩阵 + 双向追溯</w:t>
            </w:r>
          </w:p>
        </w:tc>
      </w:tr>
      <w:tr>
        <w:trPr>
          <w:cantSplit/>
        </w:trPr>
        <w:tc>
          <w:tcPr>
            <w:tcW w:w="900" w:type="pct"/>
          </w:tcPr>
          <w:p>
            <w:pPr>
              <w:spacing w:line="240" w:lineRule="auto"/>
            </w:pPr>
            <w:r>
              <w:rPr>
                <w:rFonts w:ascii="Times New Roman" w:hAnsi="Times New Roman" w:eastAsia="宋体"/>
                <w:sz w:val="21"/>
                <w:szCs w:val="21"/>
              </w:rPr>
              <w:t xml:space="preserve">形式化锚定</w:t>
            </w:r>
          </w:p>
        </w:tc>
        <w:tc>
          <w:tcPr>
            <w:tcW w:w="1300" w:type="pct"/>
          </w:tcPr>
          <w:p>
            <w:pPr>
              <w:spacing w:line="240" w:lineRule="auto"/>
            </w:pPr>
            <w:r>
              <w:rPr>
                <w:rFonts w:ascii="Times New Roman" w:hAnsi="Times New Roman" w:eastAsia="宋体"/>
                <w:sz w:val="21"/>
                <w:szCs w:val="21"/>
              </w:rPr>
              <w:t xml:space="preserve">无</w:t>
            </w:r>
          </w:p>
        </w:tc>
        <w:tc>
          <w:tcPr>
            <w:tcW w:w="1350" w:type="pct"/>
          </w:tcPr>
          <w:p>
            <w:pPr>
              <w:spacing w:line="240" w:lineRule="auto"/>
            </w:pPr>
            <w:r>
              <w:rPr>
                <w:rFonts w:ascii="Times New Roman" w:hAnsi="Times New Roman" w:eastAsia="宋体"/>
                <w:sz w:val="21"/>
                <w:szCs w:val="21"/>
              </w:rPr>
              <w:t xml:space="preserve">无</w:t>
            </w:r>
          </w:p>
        </w:tc>
        <w:tc>
          <w:tcPr>
            <w:tcW w:w="1450" w:type="pct"/>
          </w:tcPr>
          <w:p>
            <w:pPr>
              <w:spacing w:line="240" w:lineRule="auto"/>
            </w:pPr>
            <w:r>
              <w:rPr>
                <w:rFonts w:ascii="Times New Roman" w:hAnsi="Times New Roman" w:eastAsia="宋体"/>
                <w:sz w:val="21"/>
                <w:szCs w:val="21"/>
              </w:rPr>
              <w:t xml:space="preserve">Alloy 规约自动生成与求解</w:t>
            </w:r>
          </w:p>
        </w:tc>
      </w:tr>
      <w:tr>
        <w:trPr>
          <w:cantSplit/>
        </w:trPr>
        <w:tc>
          <w:tcPr>
            <w:tcW w:w="900" w:type="pct"/>
          </w:tcPr>
          <w:p>
            <w:pPr>
              <w:spacing w:line="240" w:lineRule="auto"/>
            </w:pPr>
            <w:r>
              <w:rPr>
                <w:rFonts w:ascii="Times New Roman" w:hAnsi="Times New Roman" w:eastAsia="宋体"/>
                <w:sz w:val="21"/>
                <w:szCs w:val="21"/>
              </w:rPr>
              <w:t xml:space="preserve">判定可审计性</w:t>
            </w:r>
          </w:p>
        </w:tc>
        <w:tc>
          <w:tcPr>
            <w:tcW w:w="1300" w:type="pct"/>
          </w:tcPr>
          <w:p>
            <w:pPr>
              <w:spacing w:line="240" w:lineRule="auto"/>
            </w:pPr>
            <w:r>
              <w:rPr>
                <w:rFonts w:ascii="Times New Roman" w:hAnsi="Times New Roman" w:eastAsia="宋体"/>
                <w:sz w:val="21"/>
                <w:szCs w:val="21"/>
              </w:rPr>
              <w:t xml:space="preserve">规则可解释但无需求语义</w:t>
            </w:r>
          </w:p>
        </w:tc>
        <w:tc>
          <w:tcPr>
            <w:tcW w:w="1350" w:type="pct"/>
          </w:tcPr>
          <w:p>
            <w:pPr>
              <w:spacing w:line="240" w:lineRule="auto"/>
            </w:pPr>
            <w:r>
              <w:rPr>
                <w:rFonts w:ascii="Times New Roman" w:hAnsi="Times New Roman" w:eastAsia="宋体"/>
                <w:sz w:val="21"/>
                <w:szCs w:val="21"/>
              </w:rPr>
              <w:t xml:space="preserve">黑盒输出，幻觉不可溯源</w:t>
            </w:r>
          </w:p>
        </w:tc>
        <w:tc>
          <w:tcPr>
            <w:tcW w:w="1450" w:type="pct"/>
          </w:tcPr>
          <w:p>
            <w:pPr>
              <w:spacing w:line="240" w:lineRule="auto"/>
            </w:pPr>
            <w:r>
              <w:rPr>
                <w:rFonts w:ascii="Times New Roman" w:hAnsi="Times New Roman" w:eastAsia="宋体"/>
                <w:sz w:val="21"/>
                <w:szCs w:val="21"/>
              </w:rPr>
              <w:t xml:space="preserve">判定溯源面板 + 审计哈希链</w:t>
            </w:r>
          </w:p>
        </w:tc>
      </w:tr>
      <w:tr>
        <w:trPr>
          <w:cantSplit/>
        </w:trPr>
        <w:tc>
          <w:tcPr>
            <w:tcW w:w="900" w:type="pct"/>
          </w:tcPr>
          <w:p>
            <w:pPr>
              <w:spacing w:line="240" w:lineRule="auto"/>
            </w:pPr>
            <w:r>
              <w:rPr>
                <w:rFonts w:ascii="Times New Roman" w:hAnsi="Times New Roman" w:eastAsia="宋体"/>
                <w:sz w:val="21"/>
                <w:szCs w:val="21"/>
              </w:rPr>
              <w:t xml:space="preserve">误报控制</w:t>
            </w:r>
          </w:p>
        </w:tc>
        <w:tc>
          <w:tcPr>
            <w:tcW w:w="1300" w:type="pct"/>
          </w:tcPr>
          <w:p>
            <w:pPr>
              <w:spacing w:line="240" w:lineRule="auto"/>
            </w:pPr>
            <w:r>
              <w:rPr>
                <w:rFonts w:ascii="Times New Roman" w:hAnsi="Times New Roman" w:eastAsia="宋体"/>
                <w:sz w:val="21"/>
                <w:szCs w:val="21"/>
              </w:rPr>
              <w:t xml:space="preserve">依赖人工维护规则</w:t>
            </w:r>
          </w:p>
        </w:tc>
        <w:tc>
          <w:tcPr>
            <w:tcW w:w="1350" w:type="pct"/>
          </w:tcPr>
          <w:p>
            <w:pPr>
              <w:spacing w:line="240" w:lineRule="auto"/>
            </w:pPr>
            <w:r>
              <w:rPr>
                <w:rFonts w:ascii="Times New Roman" w:hAnsi="Times New Roman" w:eastAsia="宋体"/>
                <w:sz w:val="21"/>
                <w:szCs w:val="21"/>
              </w:rPr>
              <w:t xml:space="preserve">实测误报 27.6%</w:t>
            </w:r>
          </w:p>
        </w:tc>
        <w:tc>
          <w:tcPr>
            <w:tcW w:w="1450" w:type="pct"/>
          </w:tcPr>
          <w:p>
            <w:pPr>
              <w:spacing w:line="240" w:lineRule="auto"/>
            </w:pPr>
            <w:r>
              <w:rPr>
                <w:rFonts w:ascii="Times New Roman" w:hAnsi="Times New Roman" w:eastAsia="宋体"/>
                <w:sz w:val="21"/>
                <w:szCs w:val="21"/>
              </w:rPr>
              <w:t xml:space="preserve">7.3%（盲评口径）</w:t>
            </w:r>
          </w:p>
        </w:tc>
      </w:tr>
      <w:tr>
        <w:trPr>
          <w:cantSplit/>
        </w:trPr>
        <w:tc>
          <w:tcPr>
            <w:tcW w:w="900" w:type="pct"/>
          </w:tcPr>
          <w:p>
            <w:pPr>
              <w:spacing w:line="240" w:lineRule="auto"/>
            </w:pPr>
            <w:r>
              <w:rPr>
                <w:rFonts w:ascii="Times New Roman" w:hAnsi="Times New Roman" w:eastAsia="宋体"/>
                <w:sz w:val="21"/>
                <w:szCs w:val="21"/>
              </w:rPr>
              <w:t xml:space="preserve">数据本地化</w:t>
            </w:r>
          </w:p>
        </w:tc>
        <w:tc>
          <w:tcPr>
            <w:tcW w:w="1300" w:type="pct"/>
          </w:tcPr>
          <w:p>
            <w:pPr>
              <w:spacing w:line="240" w:lineRule="auto"/>
            </w:pPr>
            <w:r>
              <w:rPr>
                <w:rFonts w:ascii="Times New Roman" w:hAnsi="Times New Roman" w:eastAsia="宋体"/>
                <w:sz w:val="21"/>
                <w:szCs w:val="21"/>
              </w:rPr>
              <w:t xml:space="preserve">支持私有部署</w:t>
            </w:r>
          </w:p>
        </w:tc>
        <w:tc>
          <w:tcPr>
            <w:tcW w:w="1350" w:type="pct"/>
          </w:tcPr>
          <w:p>
            <w:pPr>
              <w:spacing w:line="240" w:lineRule="auto"/>
            </w:pPr>
            <w:r>
              <w:rPr>
                <w:rFonts w:ascii="Times New Roman" w:hAnsi="Times New Roman" w:eastAsia="宋体"/>
                <w:sz w:val="21"/>
                <w:szCs w:val="21"/>
              </w:rPr>
              <w:t xml:space="preserve">主流为云端，代码出域</w:t>
            </w:r>
          </w:p>
        </w:tc>
        <w:tc>
          <w:tcPr>
            <w:tcW w:w="1450" w:type="pct"/>
          </w:tcPr>
          <w:p>
            <w:pPr>
              <w:spacing w:line="240" w:lineRule="auto"/>
            </w:pPr>
            <w:r>
              <w:rPr>
                <w:rFonts w:ascii="Times New Roman" w:hAnsi="Times New Roman" w:eastAsia="宋体"/>
                <w:sz w:val="21"/>
                <w:szCs w:val="21"/>
              </w:rPr>
              <w:t xml:space="preserve">本地 BGE + Ollama 全链路可离线</w:t>
            </w:r>
          </w:p>
        </w:tc>
      </w:tr>
    </w:tbl>
    <w:p>
      <w:pPr>
        <w:spacing w:before="0" w:after="60" w:line="240" w:lineRule="auto"/>
      </w:pPr>
    </w:p>
    <w:p>
      <w:pPr>
        <w:pStyle w:val="Heading1"/>
        <w:spacing w:line="240" w:lineRule="auto"/>
        <w:bidi w:val="0"/>
        <w:rPr>
          <w:rFonts w:hint="eastAsia"/>
        </w:rPr>
      </w:pPr>
      <w:bookmarkStart w:id="7" w:name="__RefHeading___Toc23143"/>
      <w:bookmarkEnd w:id="7"/>
      <w:r>
        <w:rPr>
          <w:rFonts w:hint="eastAsia"/>
        </w:rPr>
        <w:t xml:space="preserve">三、功能设计与实现</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（一）核心功能：六环节分析流水线</w:t>
      </w:r>
    </w:p>
    <w:p>
      <w:pPr>
        <w:spacing w:before="0" w:after="0" w:line="240" w:lineRule="auto"/>
        <w:ind w:firstLineChars="200" w:firstLine="480"/>
      </w:pPr>
      <w:r>
        <w:rPr>
          <w:rFonts w:ascii="Times New Roman" w:hAnsi="Times New Roman" w:eastAsia="宋体"/>
          <w:b/>
          <w:sz w:val="24"/>
          <w:szCs w:val="24"/>
        </w:rPr>
        <w:t xml:space="preserve">需求解析与形式化建模</w:t>
      </w:r>
      <w:r>
        <w:rPr>
          <w:rFonts w:ascii="Times New Roman" w:hAnsi="Times New Roman" w:eastAsia="宋体"/>
          <w:sz w:val="24"/>
          <w:szCs w:val="24"/>
        </w:rPr>
        <w:t xml:space="preserve">：支持 Word/PDF/Markdown/TXT 四格式需求文档自动解析，基于 Kripke 语义模型做结构化要素抽取，自动生成 Alloy 形式化规约并调用求解器做真实语义校验，校验失败可配置阻断后续分析，保证“需求侧理解”有形式化基准。</w:t>
      </w:r>
      <w:r>
        <w:rPr>
          <w:rFonts w:ascii="Times New Roman" w:hAnsi="Times New Roman" w:eastAsia="宋体"/>
          <w:b/>
          <w:sz w:val="24"/>
          <w:szCs w:val="24"/>
        </w:rPr>
        <w:t xml:space="preserve">代码语义解析</w:t>
      </w:r>
      <w:r>
        <w:rPr>
          <w:rFonts w:ascii="Times New Roman" w:hAnsi="Times New Roman" w:eastAsia="宋体"/>
          <w:sz w:val="24"/>
          <w:szCs w:val="24"/>
        </w:rPr>
        <w:t xml:space="preserve">：Java 工程走 JavaParser AST 与 Soot 4.7.0 字节码级控制流图（含异常边、编译降级链与多 JDK 版本适配），Python/C/C++/Go 工程走 tree-sitter 解析链路并构建同等 schema 的 AST 级 CFG，输出方法级语义单元、逻辑描述与圈复杂度；每种语言配有该语言特有的基础缺陷信号。</w:t>
      </w:r>
      <w:r>
        <w:rPr>
          <w:rFonts w:ascii="Times New Roman" w:hAnsi="Times New Roman" w:eastAsia="宋体"/>
          <w:b/>
          <w:sz w:val="24"/>
          <w:szCs w:val="24"/>
        </w:rPr>
        <w:t xml:space="preserve">一致性判定与缺陷输出</w:t>
      </w:r>
      <w:r>
        <w:rPr>
          <w:rFonts w:ascii="Times New Roman" w:hAnsi="Times New Roman" w:eastAsia="宋体"/>
          <w:sz w:val="24"/>
          <w:szCs w:val="24"/>
        </w:rPr>
        <w:t xml:space="preserve">：全量配对计算三维相似度并经双通道判定，自动识别需求缺失、代码超范围实现、业务逻辑不一致、约束条件不满足四类缺陷，输出需求-代码双向追溯矩阵、判定溯源面板与五类格式报告，WebSocket 实时推送分析进度。</w:t>
      </w:r>
    </w:p>
    <w:p>
      <w:pPr>
        <w:spacing w:before="0" w:after="0" w:line="240" w:lineRule="auto"/>
        <w:ind w:firstLineChars="200" w:firstLine="480"/>
      </w:pPr>
      <w:r>
        <w:rPr>
          <w:rFonts w:ascii="Times New Roman" w:hAnsi="Times New Roman" w:eastAsia="宋体"/>
          <w:b/>
          <w:sz w:val="24"/>
          <w:szCs w:val="24"/>
        </w:rPr>
        <w:t xml:space="preserve">AI 智能体巡检</w:t>
      </w:r>
      <w:r>
        <w:rPr>
          <w:rFonts w:ascii="Times New Roman" w:hAnsi="Times New Roman" w:eastAsia="宋体"/>
          <w:sz w:val="24"/>
          <w:szCs w:val="24"/>
        </w:rPr>
        <w:t xml:space="preserve">：内置 ReAct 型智能体，具备 12 个工具（项目查询、趋势统计、缺陷检索、一致性查询、缺陷解释、缺陷状态更新、重跑分析等），支持 SSE 流式对话与写操作人工确认，并可通过 cron 定时巡检项目质量自动生成巡检报告，把“事后查”变为“日常巡”。</w:t>
      </w:r>
    </w:p>
    <w:p>
      <w:pPr>
        <w:spacing w:before="120" w:after="40" w:line="240" w:lineRule="auto"/>
        <w:jc w:val="center"/>
      </w:pPr>
      <w:r>
        <w:rPr>
          <w:rFonts w:ascii="Times New Roman" w:hAnsi="Times New Roman" w:eastAsia="宋体"/>
          <w:b/>
          <w:sz w:val="21"/>
          <w:szCs w:val="21"/>
        </w:rPr>
        <w:t xml:space="preserve">表 4　五语言解析支持与特色信号</w:t>
      </w:r>
    </w:p>
    <w:tbl>
      <w:tblPr>
        <w:tblW w:w="5000" w:type="pct"/>
        <w:tblBorders>
          <w:top w:val="single" w:sz="8" w:color="555555"/>
          <w:bottom w:val="single" w:sz="8" w:color="555555"/>
          <w:left w:val="single" w:sz="4" w:color="999999"/>
          <w:right w:val="single" w:sz="4" w:color="999999"/>
          <w:insideH w:val="single" w:sz="4" w:color="AAAAAA"/>
          <w:insideV w:val="single" w:sz="4" w:color="AAAAAA"/>
        </w:tblBorders>
      </w:tblPr>
      <w:tr>
        <w:trPr>
          <w:tblHeader/>
          <w:cantSplit/>
        </w:trPr>
        <w:tc>
          <w:tcPr>
            <w:tcW w:w="600" w:type="pct"/>
            <w:shd w:val="clear" w:fill="E8EEF4"/>
          </w:tcPr>
          <w:p>
            <w:pPr>
              <w:spacing w:line="240" w:lineRule="auto"/>
              <w:jc w:val="center"/>
            </w:pPr>
            <w:r>
              <w:rPr>
                <w:rFonts w:ascii="Times New Roman" w:hAnsi="Times New Roman" w:eastAsia="宋体"/>
                <w:b/>
                <w:sz w:val="21"/>
                <w:szCs w:val="21"/>
              </w:rPr>
              <w:t xml:space="preserve">语言</w:t>
            </w:r>
          </w:p>
        </w:tc>
        <w:tc>
          <w:tcPr>
            <w:tcW w:w="1500" w:type="pct"/>
            <w:shd w:val="clear" w:fill="E8EEF4"/>
          </w:tcPr>
          <w:p>
            <w:pPr>
              <w:spacing w:line="240" w:lineRule="auto"/>
              <w:jc w:val="center"/>
            </w:pPr>
            <w:r>
              <w:rPr>
                <w:rFonts w:ascii="Times New Roman" w:hAnsi="Times New Roman" w:eastAsia="宋体"/>
                <w:b/>
                <w:sz w:val="21"/>
                <w:szCs w:val="21"/>
              </w:rPr>
              <w:t xml:space="preserve">解析与 CFG</w:t>
            </w:r>
          </w:p>
        </w:tc>
        <w:tc>
          <w:tcPr>
            <w:tcW w:w="1700" w:type="pct"/>
            <w:shd w:val="clear" w:fill="E8EEF4"/>
          </w:tcPr>
          <w:p>
            <w:pPr>
              <w:spacing w:line="240" w:lineRule="auto"/>
              <w:jc w:val="center"/>
            </w:pPr>
            <w:r>
              <w:rPr>
                <w:rFonts w:ascii="Times New Roman" w:hAnsi="Times New Roman" w:eastAsia="宋体"/>
                <w:b/>
                <w:sz w:val="21"/>
                <w:szCs w:val="21"/>
              </w:rPr>
              <w:t xml:space="preserve">特色缺陷信号</w:t>
            </w:r>
          </w:p>
        </w:tc>
        <w:tc>
          <w:tcPr>
            <w:tcW w:w="1200" w:type="pct"/>
            <w:shd w:val="clear" w:fill="E8EEF4"/>
          </w:tcPr>
          <w:p>
            <w:pPr>
              <w:spacing w:line="240" w:lineRule="auto"/>
              <w:jc w:val="center"/>
            </w:pPr>
            <w:r>
              <w:rPr>
                <w:rFonts w:ascii="Times New Roman" w:hAnsi="Times New Roman" w:eastAsia="宋体"/>
                <w:b/>
                <w:sz w:val="21"/>
                <w:szCs w:val="21"/>
              </w:rPr>
              <w:t xml:space="preserve">示例工程</w:t>
            </w:r>
          </w:p>
        </w:tc>
      </w:tr>
      <w:tr>
        <w:trPr>
          <w:cantSplit/>
        </w:trPr>
        <w:tc>
          <w:tcPr>
            <w:tcW w:w="600" w:type="pct"/>
          </w:tcPr>
          <w:p>
            <w:pPr>
              <w:spacing w:line="240" w:lineRule="auto"/>
            </w:pPr>
            <w:r>
              <w:rPr>
                <w:rFonts w:ascii="Times New Roman" w:hAnsi="Times New Roman" w:eastAsia="宋体"/>
                <w:sz w:val="21"/>
                <w:szCs w:val="21"/>
              </w:rPr>
              <w:t xml:space="preserve">Java</w:t>
            </w:r>
          </w:p>
        </w:tc>
        <w:tc>
          <w:tcPr>
            <w:tcW w:w="1500" w:type="pct"/>
          </w:tcPr>
          <w:p>
            <w:pPr>
              <w:spacing w:line="240" w:lineRule="auto"/>
            </w:pPr>
            <w:r>
              <w:rPr>
                <w:rFonts w:ascii="Times New Roman" w:hAnsi="Times New Roman" w:eastAsia="宋体"/>
                <w:sz w:val="21"/>
                <w:szCs w:val="21"/>
              </w:rPr>
              <w:t xml:space="preserve">JavaParser AST + Soot 字节码 CFG</w:t>
            </w:r>
          </w:p>
        </w:tc>
        <w:tc>
          <w:tcPr>
            <w:tcW w:w="1700" w:type="pct"/>
          </w:tcPr>
          <w:p>
            <w:pPr>
              <w:spacing w:line="240" w:lineRule="auto"/>
            </w:pPr>
            <w:r>
              <w:rPr>
                <w:rFonts w:ascii="Times New Roman" w:hAnsi="Times New Roman" w:eastAsia="宋体"/>
                <w:sz w:val="21"/>
                <w:szCs w:val="21"/>
              </w:rPr>
              <w:t xml:space="preserve">注入 / 死循环 / 资源泄露等通用信号</w:t>
            </w:r>
          </w:p>
        </w:tc>
        <w:tc>
          <w:tcPr>
            <w:tcW w:w="1200" w:type="pct"/>
          </w:tcPr>
          <w:p>
            <w:pPr>
              <w:spacing w:line="240" w:lineRule="auto"/>
            </w:pPr>
            <w:r>
              <w:rPr>
                <w:rFonts w:ascii="Times New Roman" w:hAnsi="Times New Roman" w:eastAsia="宋体"/>
                <w:sz w:val="21"/>
                <w:szCs w:val="21"/>
              </w:rPr>
              <w:t xml:space="preserve">ecommerce-order 等 3 个</w:t>
            </w:r>
          </w:p>
        </w:tc>
      </w:tr>
      <w:tr>
        <w:trPr>
          <w:cantSplit/>
        </w:trPr>
        <w:tc>
          <w:tcPr>
            <w:tcW w:w="600" w:type="pct"/>
          </w:tcPr>
          <w:p>
            <w:pPr>
              <w:spacing w:line="240" w:lineRule="auto"/>
            </w:pPr>
            <w:r>
              <w:rPr>
                <w:rFonts w:ascii="Times New Roman" w:hAnsi="Times New Roman" w:eastAsia="宋体"/>
                <w:sz w:val="21"/>
                <w:szCs w:val="21"/>
              </w:rPr>
              <w:t xml:space="preserve">Python</w:t>
            </w:r>
          </w:p>
        </w:tc>
        <w:tc>
          <w:tcPr>
            <w:tcW w:w="1500" w:type="pct"/>
          </w:tcPr>
          <w:p>
            <w:pPr>
              <w:spacing w:line="240" w:lineRule="auto"/>
            </w:pPr>
            <w:r>
              <w:rPr>
                <w:rFonts w:ascii="Times New Roman" w:hAnsi="Times New Roman" w:eastAsia="宋体"/>
                <w:sz w:val="21"/>
                <w:szCs w:val="21"/>
              </w:rPr>
              <w:t xml:space="preserve">tree-sitter-python + AST 级 CFG</w:t>
            </w:r>
          </w:p>
        </w:tc>
        <w:tc>
          <w:tcPr>
            <w:tcW w:w="1700" w:type="pct"/>
          </w:tcPr>
          <w:p>
            <w:pPr>
              <w:spacing w:line="240" w:lineRule="auto"/>
            </w:pPr>
            <w:r>
              <w:rPr>
                <w:rFonts w:ascii="Times New Roman" w:hAnsi="Times New Roman" w:eastAsia="宋体"/>
                <w:sz w:val="21"/>
                <w:szCs w:val="21"/>
              </w:rPr>
              <w:t xml:space="preserve">可变默认参数 / SQL f-string / 裸 except 等 5 类</w:t>
            </w:r>
          </w:p>
        </w:tc>
        <w:tc>
          <w:tcPr>
            <w:tcW w:w="1200" w:type="pct"/>
          </w:tcPr>
          <w:p>
            <w:pPr>
              <w:spacing w:line="240" w:lineRule="auto"/>
            </w:pPr>
            <w:r>
              <w:rPr>
                <w:rFonts w:ascii="Times New Roman" w:hAnsi="Times New Roman" w:eastAsia="宋体"/>
                <w:sz w:val="21"/>
                <w:szCs w:val="21"/>
              </w:rPr>
              <w:t xml:space="preserve">python-inventory</w:t>
            </w:r>
          </w:p>
        </w:tc>
      </w:tr>
      <w:tr>
        <w:trPr>
          <w:cantSplit/>
        </w:trPr>
        <w:tc>
          <w:tcPr>
            <w:tcW w:w="600" w:type="pct"/>
          </w:tcPr>
          <w:p>
            <w:pPr>
              <w:spacing w:line="240" w:lineRule="auto"/>
            </w:pPr>
            <w:r>
              <w:rPr>
                <w:rFonts w:ascii="Times New Roman" w:hAnsi="Times New Roman" w:eastAsia="宋体"/>
                <w:sz w:val="21"/>
                <w:szCs w:val="21"/>
              </w:rPr>
              <w:t xml:space="preserve">C / C++</w:t>
            </w:r>
          </w:p>
        </w:tc>
        <w:tc>
          <w:tcPr>
            <w:tcW w:w="1500" w:type="pct"/>
          </w:tcPr>
          <w:p>
            <w:pPr>
              <w:spacing w:line="240" w:lineRule="auto"/>
            </w:pPr>
            <w:r>
              <w:rPr>
                <w:rFonts w:ascii="Times New Roman" w:hAnsi="Times New Roman" w:eastAsia="宋体"/>
                <w:sz w:val="21"/>
                <w:szCs w:val="21"/>
              </w:rPr>
              <w:t xml:space="preserve">tree-sitter-c/cpp + C 系 CFG</w:t>
            </w:r>
          </w:p>
        </w:tc>
        <w:tc>
          <w:tcPr>
            <w:tcW w:w="1700" w:type="pct"/>
          </w:tcPr>
          <w:p>
            <w:pPr>
              <w:spacing w:line="240" w:lineRule="auto"/>
            </w:pPr>
            <w:r>
              <w:rPr>
                <w:rFonts w:ascii="Times New Roman" w:hAnsi="Times New Roman" w:eastAsia="宋体"/>
                <w:sz w:val="21"/>
                <w:szCs w:val="21"/>
              </w:rPr>
              <w:t xml:space="preserve">malloc 泄漏 / 危险函数 CWE-120 / 裸 catch 等 5 类</w:t>
            </w:r>
          </w:p>
        </w:tc>
        <w:tc>
          <w:tcPr>
            <w:tcW w:w="1200" w:type="pct"/>
          </w:tcPr>
          <w:p>
            <w:pPr>
              <w:spacing w:line="240" w:lineRule="auto"/>
            </w:pPr>
            <w:r>
              <w:rPr>
                <w:rFonts w:ascii="Times New Roman" w:hAnsi="Times New Roman" w:eastAsia="宋体"/>
                <w:sz w:val="21"/>
                <w:szCs w:val="21"/>
              </w:rPr>
              <w:t xml:space="preserve">cpp-loglib（C++ 类+纯 C 混编）</w:t>
            </w:r>
          </w:p>
        </w:tc>
      </w:tr>
      <w:tr>
        <w:trPr>
          <w:cantSplit/>
        </w:trPr>
        <w:tc>
          <w:tcPr>
            <w:tcW w:w="600" w:type="pct"/>
          </w:tcPr>
          <w:p>
            <w:pPr>
              <w:spacing w:line="240" w:lineRule="auto"/>
            </w:pPr>
            <w:r>
              <w:rPr>
                <w:rFonts w:ascii="Times New Roman" w:hAnsi="Times New Roman" w:eastAsia="宋体"/>
                <w:sz w:val="21"/>
                <w:szCs w:val="21"/>
              </w:rPr>
              <w:t xml:space="preserve">Go</w:t>
            </w:r>
          </w:p>
        </w:tc>
        <w:tc>
          <w:tcPr>
            <w:tcW w:w="1500" w:type="pct"/>
          </w:tcPr>
          <w:p>
            <w:pPr>
              <w:spacing w:line="240" w:lineRule="auto"/>
            </w:pPr>
            <w:r>
              <w:rPr>
                <w:rFonts w:ascii="Times New Roman" w:hAnsi="Times New Roman" w:eastAsia="宋体"/>
                <w:sz w:val="21"/>
                <w:szCs w:val="21"/>
              </w:rPr>
              <w:t xml:space="preserve">tree-sitter-go + for-switch CFG</w:t>
            </w:r>
          </w:p>
        </w:tc>
        <w:tc>
          <w:tcPr>
            <w:tcW w:w="1700" w:type="pct"/>
          </w:tcPr>
          <w:p>
            <w:pPr>
              <w:spacing w:line="240" w:lineRule="auto"/>
            </w:pPr>
            <w:r>
              <w:rPr>
                <w:rFonts w:ascii="Times New Roman" w:hAnsi="Times New Roman" w:eastAsia="宋体"/>
                <w:sz w:val="21"/>
                <w:szCs w:val="21"/>
              </w:rPr>
              <w:t xml:space="preserve">错误未处理 / 错误被 _ 丢弃 / 锁未释放 / panic 滥用等 5 类</w:t>
            </w:r>
          </w:p>
        </w:tc>
        <w:tc>
          <w:tcPr>
            <w:tcW w:w="1200" w:type="pct"/>
          </w:tcPr>
          <w:p>
            <w:pPr>
              <w:spacing w:line="240" w:lineRule="auto"/>
            </w:pPr>
            <w:r>
              <w:rPr>
                <w:rFonts w:ascii="Times New Roman" w:hAnsi="Times New Roman" w:eastAsia="宋体"/>
                <w:sz w:val="21"/>
                <w:szCs w:val="21"/>
              </w:rPr>
              <w:t xml:space="preserve">go-taskrunner</w:t>
            </w:r>
          </w:p>
        </w:tc>
      </w:tr>
    </w:tbl>
    <w:p>
      <w:pPr>
        <w:spacing w:before="0" w:after="60" w:line="240" w:lineRule="auto"/>
      </w:pP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（二）辅助功能</w:t>
      </w:r>
    </w:p>
    <w:p>
      <w:pPr>
        <w:spacing w:before="0" w:after="0" w:line="240" w:lineRule="auto"/>
        <w:ind w:firstLineChars="200" w:firstLine="480"/>
      </w:pPr>
      <w:r>
        <w:rPr>
          <w:rFonts w:ascii="Times New Roman" w:hAnsi="Times New Roman" w:eastAsia="宋体"/>
          <w:sz w:val="24"/>
          <w:szCs w:val="24"/>
        </w:rPr>
        <w:t xml:space="preserve">平台提供 32 个管理页面：项目管理、需求/代码管理、分析任务、结果与缺陷工单闭环、质量洞察（缺陷趋势、组合概览、缺陷模式）、阈值实验室与评测中心两个实验性模块；管理端涵盖用户与菜单配置、审计日志（哈希链防篡改）、数据库备份加密、数据变更台账、系统状态与 LLM 配置。第三方集成支持 Jira/禅道缺陷同步与企业微信/钉钉通知，便于嵌入企业既有研发流程。上传文件全量加密存储，密钥支持轮换，生产配置对关键密钥强制 fail-fast 注入。</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（三）扩展性设计</w:t>
      </w:r>
    </w:p>
    <w:p>
      <w:pPr>
        <w:spacing w:before="0" w:after="0" w:line="240" w:lineRule="auto"/>
        <w:ind w:firstLineChars="200" w:firstLine="480"/>
      </w:pPr>
      <w:r>
        <w:rPr>
          <w:rFonts w:ascii="Times New Roman" w:hAnsi="Times New Roman" w:eastAsia="宋体"/>
          <w:sz w:val="24"/>
          <w:szCs w:val="24"/>
        </w:rPr>
        <w:t xml:space="preserve">解析层与规约层抽象为 SPI 扩展点：代码解析实现 CodeParser 接口、规约生成与校验分别实现 SpecGenerator/SpecVerifier 接口，注册为 Spring 组件后由 Registry 按语言标识自动索引，配置 code-language/spec-language 即可切换语言或接入 TLA+ 等新规约语言，主流程零改动。五语言解析器即基于该机制实现，其中 C 与 C++ 通过 CFamilyCodeParser 抽象基类共享解析逻辑，证明接口中性化设计可支撑低成本横向扩展。</w:t>
      </w:r>
    </w:p>
    <w:p>
      <w:pPr>
        <w:pStyle w:val="Heading1"/>
        <w:spacing w:line="240" w:lineRule="auto"/>
        <w:bidi w:val="0"/>
        <w:rPr>
          <w:rFonts w:hint="eastAsia"/>
        </w:rPr>
      </w:pPr>
      <w:bookmarkStart w:id="7" w:name="__RefHeading___Toc23143"/>
      <w:bookmarkEnd w:id="7"/>
      <w:r>
        <w:rPr>
          <w:rFonts w:hint="eastAsia"/>
        </w:rPr>
        <w:t xml:space="preserve">四、开发测试与部署</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（一）开发流程</w:t>
      </w:r>
    </w:p>
    <w:p>
      <w:pPr>
        <w:spacing w:before="0" w:after="0" w:line="240" w:lineRule="auto"/>
        <w:ind w:firstLineChars="200" w:firstLine="480"/>
      </w:pPr>
      <w:r>
        <w:rPr>
          <w:rFonts w:ascii="Times New Roman" w:hAnsi="Times New Roman" w:eastAsia="宋体"/>
          <w:sz w:val="24"/>
          <w:szCs w:val="24"/>
        </w:rPr>
        <w:t xml:space="preserve">采用“差距编号台账驱动”的迭代模式：所有改进项以 GAP/AUD 编号集中登记，按批次实施、每批次带验收标准与回归要求，累计完成 18 个改进批次。工程全程 CI 门禁：推送即触发公平性合规扫描、gitleaks 密钥扫描、后端 541 项单元测试（JDK 21 + MySQL 8.0 service）与前端构建，四道门禁全绿方可合入；评测基线（准确率、误报率、性能）同样以自动化测试门禁固化，任何使基线退化的提交会被阻断。</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（二）代码实现</w:t>
      </w:r>
    </w:p>
    <w:p>
      <w:pPr>
        <w:spacing w:before="0" w:after="0" w:line="240" w:lineRule="auto"/>
        <w:ind w:firstLineChars="200" w:firstLine="480"/>
      </w:pPr>
      <w:r>
        <w:rPr>
          <w:rFonts w:ascii="Times New Roman" w:hAnsi="Times New Roman" w:eastAsia="宋体"/>
          <w:sz w:val="24"/>
          <w:szCs w:val="24"/>
        </w:rPr>
        <w:t xml:space="preserve">后端 19 个控制器、18 个实体、33 个工具类；前端 32 个页面。核心判定逻辑（一致性分级与风险门控双通道）实现节选如下，完整代码随作品材料提交：</w:t>
      </w:r>
    </w:p>
    <w:tbl>
      <w:tblPr>
        <w:tblW w:w="5000" w:type="pct"/>
        <w:tblBorders>
          <w:top w:val="single" w:sz="4" w:color="BBBBBB"/>
          <w:bottom w:val="single" w:sz="4" w:color="BBBBBB"/>
          <w:left w:val="single" w:sz="4" w:color="BBBBBB"/>
          <w:right w:val="single" w:sz="4" w:color="BBBBBB"/>
        </w:tblBorders>
      </w:tblPr>
      <w:tr>
        <w:tc>
          <w:tcPr>
            <w:shd w:val="clear" w:fill="F6F8FA"/>
          </w:tcPr>
          <w:p>
            <w:pPr>
              <w:spacing w:line="240" w:lineRule="auto"/>
            </w:pPr>
            <w:r>
              <w:rPr>
                <w:rFonts w:ascii="Consolas" w:hAnsi="Consolas" w:eastAsia="宋体"/>
                <w:sz w:val="18"/>
              </w:rPr>
              <w:t xml:space="preserve">// B2 风险门控双通道判定：分数通道 OR 独立风险通道</w:t>
            </w:r>
          </w:p>
          <w:p>
            <w:pPr>
              <w:spacing w:line="240" w:lineRule="auto"/>
            </w:pPr>
            <w:r>
              <w:rPr>
                <w:rFonts w:ascii="Consolas" w:hAnsi="Consolas" w:eastAsia="宋体"/>
                <w:sz w:val="18"/>
              </w:rPr>
              <w:t xml:space="preserve">public static String determineStatus(double sim, double t1,</w:t>
            </w:r>
          </w:p>
          <w:p>
            <w:pPr>
              <w:spacing w:line="240" w:lineRule="auto"/>
            </w:pPr>
            <w:r>
              <w:rPr>
                <w:rFonts w:ascii="Consolas" w:hAnsi="Consolas" w:eastAsia="宋体"/>
                <w:sz w:val="18"/>
              </w:rPr>
              <w:t xml:space="preserve">                                      double t2, boolean riskDetected) {</w:t>
            </w:r>
          </w:p>
          <w:p>
            <w:pPr>
              <w:spacing w:line="240" w:lineRule="auto"/>
            </w:pPr>
            <w:r>
              <w:rPr>
                <w:rFonts w:ascii="Consolas" w:hAnsi="Consolas" w:eastAsia="宋体"/>
                <w:sz w:val="18"/>
              </w:rPr>
              <w:t xml:space="preserve">    // 一致：Sim &gt; t1 且无风险信号；否则按分数分级</w:t>
            </w:r>
          </w:p>
          <w:p>
            <w:pPr>
              <w:spacing w:line="240" w:lineRule="auto"/>
            </w:pPr>
            <w:r>
              <w:rPr>
                <w:rFonts w:ascii="Consolas" w:hAnsi="Consolas" w:eastAsia="宋体"/>
                <w:sz w:val="18"/>
              </w:rPr>
              <w:t xml:space="preserve">    if (!riskDetected &amp;&amp; isConsistent(sim, t1)) return "consistent";</w:t>
            </w:r>
          </w:p>
          <w:p>
            <w:pPr>
              <w:spacing w:line="240" w:lineRule="auto"/>
            </w:pPr>
            <w:r>
              <w:rPr>
                <w:rFonts w:ascii="Consolas" w:hAnsi="Consolas" w:eastAsia="宋体"/>
                <w:sz w:val="18"/>
              </w:rPr>
              <w:t xml:space="preserve">    if (sim &gt;= t2) return "general_inconsistent";   // 一般不一致</w:t>
            </w:r>
          </w:p>
          <w:p>
            <w:pPr>
              <w:spacing w:line="240" w:lineRule="auto"/>
            </w:pPr>
            <w:r>
              <w:rPr>
                <w:rFonts w:ascii="Consolas" w:hAnsi="Consolas" w:eastAsia="宋体"/>
                <w:sz w:val="18"/>
              </w:rPr>
              <w:t xml:space="preserve">    return "serious_inconsistent";                  // 严重不一致</w:t>
            </w:r>
          </w:p>
          <w:p>
            <w:pPr>
              <w:spacing w:line="240" w:lineRule="auto"/>
            </w:pPr>
            <w:r>
              <w:rPr>
                <w:rFonts w:ascii="Consolas" w:hAnsi="Consolas" w:eastAsia="宋体"/>
                <w:sz w:val="18"/>
              </w:rPr>
              <w:t xml:space="preserve">}</w:t>
            </w:r>
          </w:p>
        </w:tc>
      </w:tr>
    </w:tbl>
    <w:p>
      <w:pPr>
        <w:spacing w:before="0" w:after="80" w:line="240" w:lineRule="auto"/>
      </w:pPr>
    </w:p>
    <w:p>
      <w:pPr>
        <w:spacing w:before="0" w:after="0" w:line="240" w:lineRule="auto"/>
        <w:ind w:firstLineChars="200" w:firstLine="480"/>
      </w:pPr>
      <w:r>
        <w:rPr>
          <w:rFonts w:ascii="Times New Roman" w:hAnsi="Times New Roman" w:eastAsia="宋体"/>
          <w:sz w:val="24"/>
          <w:szCs w:val="24"/>
        </w:rPr>
        <w:t xml:space="preserve">多语言扩展点接口（五语言解析器均实现该接口并注册进 ParserRegistry）：</w:t>
      </w:r>
    </w:p>
    <w:tbl>
      <w:tblPr>
        <w:tblW w:w="5000" w:type="pct"/>
        <w:tblBorders>
          <w:top w:val="single" w:sz="4" w:color="BBBBBB"/>
          <w:bottom w:val="single" w:sz="4" w:color="BBBBBB"/>
          <w:left w:val="single" w:sz="4" w:color="BBBBBB"/>
          <w:right w:val="single" w:sz="4" w:color="BBBBBB"/>
        </w:tblBorders>
      </w:tblPr>
      <w:tr>
        <w:tc>
          <w:tcPr>
            <w:shd w:val="clear" w:fill="F6F8FA"/>
          </w:tcPr>
          <w:p>
            <w:pPr>
              <w:spacing w:line="240" w:lineRule="auto"/>
            </w:pPr>
            <w:r>
              <w:rPr>
                <w:rFonts w:ascii="Consolas" w:hAnsi="Consolas" w:eastAsia="宋体"/>
                <w:sz w:val="18"/>
              </w:rPr>
              <w:t xml:space="preserve">public interface CodeParser {</w:t>
            </w:r>
          </w:p>
          <w:p>
            <w:pPr>
              <w:spacing w:line="240" w:lineRule="auto"/>
            </w:pPr>
            <w:r>
              <w:rPr>
                <w:rFonts w:ascii="Consolas" w:hAnsi="Consolas" w:eastAsia="宋体"/>
                <w:sz w:val="18"/>
              </w:rPr>
              <w:t xml:space="preserve">    String language();                      // java / python / c / cpp / go</w:t>
            </w:r>
          </w:p>
          <w:p>
            <w:pPr>
              <w:spacing w:line="240" w:lineRule="auto"/>
            </w:pPr>
            <w:r>
              <w:rPr>
                <w:rFonts w:ascii="Consolas" w:hAnsi="Consolas" w:eastAsia="宋体"/>
                <w:sz w:val="18"/>
              </w:rPr>
              <w:t xml:space="preserve">    ProjectParseResult parseProject(String path, CompileResult cr);</w:t>
            </w:r>
          </w:p>
          <w:p>
            <w:pPr>
              <w:spacing w:line="240" w:lineRule="auto"/>
            </w:pPr>
            <w:r>
              <w:rPr>
                <w:rFonts w:ascii="Consolas" w:hAnsi="Consolas" w:eastAsia="宋体"/>
                <w:sz w:val="18"/>
              </w:rPr>
              <w:t xml:space="preserve">}</w:t>
            </w:r>
          </w:p>
        </w:tc>
      </w:tr>
    </w:tbl>
    <w:p>
      <w:pPr>
        <w:spacing w:before="0" w:after="80" w:line="240" w:lineRule="auto"/>
      </w:pP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（三）测试优化</w:t>
      </w:r>
    </w:p>
    <w:p>
      <w:pPr>
        <w:spacing w:before="0" w:after="0" w:line="240" w:lineRule="auto"/>
        <w:ind w:firstLineChars="200" w:firstLine="480"/>
      </w:pPr>
      <w:r>
        <w:rPr>
          <w:rFonts w:ascii="Times New Roman" w:hAnsi="Times New Roman" w:eastAsia="宋体"/>
          <w:b/>
          <w:sz w:val="24"/>
          <w:szCs w:val="24"/>
        </w:rPr>
        <w:t xml:space="preserve">评测体系与盲评协议。</w:t>
      </w:r>
      <w:r>
        <w:rPr>
          <w:rFonts w:ascii="Times New Roman" w:hAnsi="Times New Roman" w:eastAsia="宋体"/>
          <w:sz w:val="24"/>
          <w:szCs w:val="24"/>
        </w:rPr>
        <w:t xml:space="preserve">构建 5 域 116 对一致性标注集（电商订单、接口服务、考试系统、工单、图书管理），按 55/61 划分调参集与验证集，验证集全程冻结、从未参与调参；双评审独立标注计算一致性 κ=0.8016（好一致性）。最终盲评：准确率 95.0%、漏检率 0.0%、误报率 7.3%，与调参集 94.5% 差距不超过 1.4 个百分点，无过拟合迹象；SRS 设定的三项验收指标（≥80%、≤15%、≤10%）全部达标。</w:t>
      </w:r>
    </w:p>
    <w:p>
      <w:pPr>
        <w:spacing w:before="0" w:after="0" w:line="240" w:lineRule="auto"/>
        <w:ind w:firstLineChars="200" w:firstLine="480"/>
      </w:pPr>
      <w:r>
        <w:rPr>
          <w:rFonts w:ascii="Times New Roman" w:hAnsi="Times New Roman" w:eastAsia="宋体"/>
          <w:b/>
          <w:sz w:val="24"/>
          <w:szCs w:val="24"/>
        </w:rPr>
        <w:t xml:space="preserve">人工基线对照。</w:t>
      </w:r>
      <w:r>
        <w:rPr>
          <w:rFonts w:ascii="Times New Roman" w:hAnsi="Times New Roman" w:eastAsia="宋体"/>
          <w:sz w:val="24"/>
          <w:szCs w:val="24"/>
        </w:rPr>
        <w:t xml:space="preserve">组织 3 名不同经验水平的走查者（初级/中级/高级）对 5 个项目开展限时走查实验：人均缺陷检出率 78.1%、误报率 19.5%、平均 40.2 分钟/项目；同口径下 TraceGuard 盲评检出显著优于人工均值、误报率降低约 12 个百分点、单项目耗时降至秒级到分钟级，且结论可复算、可审计。</w:t>
      </w:r>
    </w:p>
    <w:p>
      <w:pPr>
        <w:spacing w:before="0" w:after="0" w:line="240" w:lineRule="auto"/>
        <w:ind w:firstLineChars="200" w:firstLine="480"/>
      </w:pPr>
      <w:r>
        <w:rPr>
          <w:rFonts w:ascii="Times New Roman" w:hAnsi="Times New Roman" w:eastAsia="宋体"/>
          <w:b/>
          <w:sz w:val="24"/>
          <w:szCs w:val="24"/>
        </w:rPr>
        <w:t xml:space="preserve">性能与可靠性。</w:t>
      </w:r>
      <w:r>
        <w:rPr>
          <w:rFonts w:ascii="Times New Roman" w:hAnsi="Times New Roman" w:eastAsia="宋体"/>
          <w:sz w:val="24"/>
          <w:szCs w:val="24"/>
        </w:rPr>
        <w:t xml:space="preserve">经预扫描、向量预解析、CFG 缓存与并行度调优等十项工程优化，规则链路千行工程全流程 1.97 秒、万行工程 27.8 秒；增量分析端到端实测千行二次分析 </w:t>
      </w:r>
      <w:r>
        <w:rPr>
          <w:rFonts w:ascii="Times New Roman" w:hAnsi="Times New Roman" w:eastAsia="宋体"/>
          <w:b/>
          <w:sz w:val="24"/>
          <w:szCs w:val="24"/>
        </w:rPr>
        <w:t xml:space="preserve">-76%</w:t>
      </w:r>
      <w:r>
        <w:rPr>
          <w:rFonts w:ascii="Times New Roman" w:hAnsi="Times New Roman" w:eastAsia="宋体"/>
          <w:sz w:val="24"/>
          <w:szCs w:val="24"/>
        </w:rPr>
        <w:t xml:space="preserve">（25.0s → 6.0s）、万行 </w:t>
      </w:r>
      <w:r>
        <w:rPr>
          <w:rFonts w:ascii="Times New Roman" w:hAnsi="Times New Roman" w:eastAsia="宋体"/>
          <w:b/>
          <w:sz w:val="24"/>
          <w:szCs w:val="24"/>
        </w:rPr>
        <w:t xml:space="preserve">-20%</w:t>
      </w:r>
      <w:r>
        <w:rPr>
          <w:rFonts w:ascii="Times New Roman" w:hAnsi="Times New Roman" w:eastAsia="宋体"/>
          <w:sz w:val="24"/>
          <w:szCs w:val="24"/>
        </w:rPr>
        <w:t xml:space="preserve">（图 4）；通过 72 小时稳定性冒烟与并发基准测试。</w:t>
      </w:r>
    </w:p>
    <w:p>
      <w:pPr>
        <w:jc w:val="center"/>
        <w:spacing w:before="120" w:after="60" w:line="240" w:lineRule="auto"/>
      </w:pPr>
      <w:r>
        <w:drawing>
          <wp:inline xmlns:a="http://schemas.openxmlformats.org/drawingml/2006/main">
            <wp:extent cx="4023360" cy="2283529"/>
            <wp:docPr id="4" name="Picture 4"/>
            <wp:cNvGraphicFramePr>
              <a:graphicFrameLocks noChangeAspect="1"/>
            </wp:cNvGraphicFramePr>
            <a:graphic>
              <a:graphicData uri="http://schemas.openxmlformats.org/drawingml/2006/picture">
                <pic:pic>
                  <pic:nvPicPr>
                    <pic:cNvPr id="0" name="fig_incr.png"/>
                    <pic:cNvPicPr/>
                  </pic:nvPicPr>
                  <pic:blipFill>
                    <a:blip r:embed="rId26"/>
                    <a:stretch>
                      <a:fillRect/>
                    </a:stretch>
                  </pic:blipFill>
                  <pic:spPr>
                    <a:xfrm>
                      <a:off x="0" y="0"/>
                      <a:ext cx="4023360" cy="2283529"/>
                    </a:xfrm>
                    <a:prstGeom prst="rect"/>
                  </pic:spPr>
                </pic:pic>
              </a:graphicData>
            </a:graphic>
          </wp:inline>
        </w:drawing>
      </w:r>
    </w:p>
    <w:p>
      <w:pPr>
        <w:spacing w:before="40" w:after="120" w:line="240" w:lineRule="auto"/>
        <w:jc w:val="center"/>
      </w:pPr>
      <w:r>
        <w:rPr>
          <w:rFonts w:ascii="Times New Roman" w:hAnsi="Times New Roman" w:eastAsia="宋体"/>
          <w:b/>
          <w:sz w:val="21"/>
          <w:szCs w:val="21"/>
        </w:rPr>
        <w:t xml:space="preserve">图 4　增量分析端到端实测（含解析、向量化、入库全口径）</w:t>
      </w:r>
    </w:p>
    <w:p>
      <w:pPr>
        <w:spacing w:before="0" w:after="0" w:line="240" w:lineRule="auto"/>
        <w:ind w:firstLineChars="200" w:firstLine="480"/>
      </w:pPr>
      <w:r>
        <w:rPr>
          <w:rFonts w:ascii="Times New Roman" w:hAnsi="Times New Roman" w:eastAsia="宋体"/>
          <w:b/>
          <w:sz w:val="24"/>
          <w:szCs w:val="24"/>
        </w:rPr>
        <w:t xml:space="preserve">阈值标定与实验可复现。</w:t>
      </w:r>
      <w:r>
        <w:rPr>
          <w:rFonts w:ascii="Times New Roman" w:hAnsi="Times New Roman" w:eastAsia="宋体"/>
          <w:sz w:val="24"/>
          <w:szCs w:val="24"/>
        </w:rPr>
        <w:t xml:space="preserve">三维权重、判定阈值与风险门控均经网格标定并固化进 CI 门禁测试；管理端提供阈值实验室与评测中心，评审可在界面上调整参数并对内置标注集即时复算全部指标，95% 不是宣称而是每次可复算的数字。</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（四）部署方案</w:t>
      </w:r>
    </w:p>
    <w:p>
      <w:pPr>
        <w:spacing w:before="0" w:after="0" w:line="240" w:lineRule="auto"/>
        <w:ind w:firstLineChars="200" w:firstLine="480"/>
      </w:pPr>
      <w:r>
        <w:rPr>
          <w:rFonts w:ascii="Times New Roman" w:hAnsi="Times New Roman" w:eastAsia="宋体"/>
          <w:sz w:val="24"/>
          <w:szCs w:val="24"/>
        </w:rPr>
        <w:t xml:space="preserve">提供三种部署形态：</w:t>
      </w:r>
      <w:r>
        <w:rPr>
          <w:rFonts w:ascii="Times New Roman" w:hAnsi="Times New Roman" w:eastAsia="宋体"/>
          <w:b/>
          <w:sz w:val="24"/>
          <w:szCs w:val="24"/>
        </w:rPr>
        <w:t xml:space="preserve">Docker Compose 一键部署</w:t>
      </w:r>
      <w:r>
        <w:rPr>
          <w:rFonts w:ascii="Times New Roman" w:hAnsi="Times New Roman" w:eastAsia="宋体"/>
          <w:sz w:val="24"/>
          <w:szCs w:val="24"/>
        </w:rPr>
        <w:t xml:space="preserve">（MySQL+后端+前端三容器，健康检查编排，评审 10 分钟即可完成安装-登录-分析-看报告全流程，配套预置演示数据脚本与评审体验指南）；</w:t>
      </w:r>
      <w:r>
        <w:rPr>
          <w:rFonts w:ascii="Times New Roman" w:hAnsi="Times New Roman" w:eastAsia="宋体"/>
          <w:b/>
          <w:sz w:val="24"/>
          <w:szCs w:val="24"/>
        </w:rPr>
        <w:t xml:space="preserve">Windows 原生安装包</w:t>
      </w:r>
      <w:r>
        <w:rPr>
          <w:rFonts w:ascii="Times New Roman" w:hAnsi="Times New Roman" w:eastAsia="宋体"/>
          <w:sz w:val="24"/>
          <w:szCs w:val="24"/>
        </w:rPr>
        <w:t xml:space="preserve">（Inno Setup 打包，提供安装向导）与 PowerShell 一键部署脚本；</w:t>
      </w:r>
      <w:r>
        <w:rPr>
          <w:rFonts w:ascii="Times New Roman" w:hAnsi="Times New Roman" w:eastAsia="宋体"/>
          <w:b/>
          <w:sz w:val="24"/>
          <w:szCs w:val="24"/>
        </w:rPr>
        <w:t xml:space="preserve">手工部署</w:t>
      </w:r>
      <w:r>
        <w:rPr>
          <w:rFonts w:ascii="Times New Roman" w:hAnsi="Times New Roman" w:eastAsia="宋体"/>
          <w:sz w:val="24"/>
          <w:szCs w:val="24"/>
        </w:rPr>
        <w:t xml:space="preserve">（JAR + nginx）。生产配置对 JWT、存储加密、备份加密、LLM 配置四类密钥强制环境注入、缺失即拒绝启动；浏览器兼容 Chrome/Edge/Firefox 100+，构建产物经 autoprefixer 前缀补全。</w:t>
      </w:r>
    </w:p>
    <w:p>
      <w:pPr>
        <w:pStyle w:val="Heading1"/>
        <w:spacing w:line="240" w:lineRule="auto"/>
        <w:bidi w:val="0"/>
        <w:rPr>
          <w:rFonts w:hint="eastAsia"/>
        </w:rPr>
      </w:pPr>
      <w:bookmarkStart w:id="7" w:name="__RefHeading___Toc23143"/>
      <w:bookmarkEnd w:id="7"/>
      <w:r>
        <w:rPr>
          <w:rFonts w:hint="eastAsia"/>
        </w:rPr>
        <w:t xml:space="preserve">五、应用价值与展望</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（一）应用场景</w:t>
      </w:r>
    </w:p>
    <w:p>
      <w:pPr>
        <w:spacing w:before="0" w:after="0" w:line="240" w:lineRule="auto"/>
        <w:ind w:firstLineChars="200" w:firstLine="480"/>
      </w:pPr>
      <w:r>
        <w:rPr>
          <w:rFonts w:ascii="Times New Roman" w:hAnsi="Times New Roman" w:eastAsia="宋体"/>
          <w:b/>
          <w:sz w:val="24"/>
          <w:szCs w:val="24"/>
        </w:rPr>
        <w:t xml:space="preserve">企业迭代验收与遗留系统体检</w:t>
      </w:r>
      <w:r>
        <w:rPr>
          <w:rFonts w:ascii="Times New Roman" w:hAnsi="Times New Roman" w:eastAsia="宋体"/>
          <w:sz w:val="24"/>
          <w:szCs w:val="24"/>
        </w:rPr>
        <w:t xml:space="preserve">：每次版本迭代自动执行需求-代码一致性分析，AI 生成代码先系统初筛再人工复核，替代全量人读，又快又省；外包交付与采购评审场景下，验收方以追溯矩阵与判定溯源为客观依据，减少扯皮。</w:t>
      </w:r>
      <w:r>
        <w:rPr>
          <w:rFonts w:ascii="Times New Roman" w:hAnsi="Times New Roman" w:eastAsia="宋体"/>
          <w:b/>
          <w:sz w:val="24"/>
          <w:szCs w:val="24"/>
        </w:rPr>
        <w:t xml:space="preserve">AIGC 代码质检</w:t>
      </w:r>
      <w:r>
        <w:rPr>
          <w:rFonts w:ascii="Times New Roman" w:hAnsi="Times New Roman" w:eastAsia="宋体"/>
          <w:sz w:val="24"/>
          <w:szCs w:val="24"/>
        </w:rPr>
        <w:t xml:space="preserve">：针对 AI 生成代码“语法正确但偏离需求”的特有风险做专项校验。</w:t>
      </w:r>
      <w:r>
        <w:rPr>
          <w:rFonts w:ascii="Times New Roman" w:hAnsi="Times New Roman" w:eastAsia="宋体"/>
          <w:b/>
          <w:sz w:val="24"/>
          <w:szCs w:val="24"/>
        </w:rPr>
        <w:t xml:space="preserve">高校软件工程实训</w:t>
      </w:r>
      <w:r>
        <w:rPr>
          <w:rFonts w:ascii="Times New Roman" w:hAnsi="Times New Roman" w:eastAsia="宋体"/>
          <w:sz w:val="24"/>
          <w:szCs w:val="24"/>
        </w:rPr>
        <w:t xml:space="preserve">：作为需求工程实训平台，自动对照需求批改作业代码，并演示形式化建模与一致性验证全过程，培养软件工程与 AI 交叉人才。</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（二）市场分析</w:t>
      </w:r>
    </w:p>
    <w:p>
      <w:pPr>
        <w:spacing w:before="0" w:after="0" w:line="240" w:lineRule="auto"/>
        <w:ind w:firstLineChars="200" w:firstLine="480"/>
      </w:pPr>
      <w:r>
        <w:rPr>
          <w:rFonts w:ascii="Times New Roman" w:hAnsi="Times New Roman" w:eastAsia="宋体"/>
          <w:sz w:val="24"/>
          <w:szCs w:val="24"/>
        </w:rPr>
        <w:t xml:space="preserve">政策层面，国务院《关于深入实施“人工智能+”行动的意见》将 AI+产业列为重点行动；2026 年政府工作报告首次写入智能经济形态并以 AI+ 为牵引；多部门部署智能体规范应用典型场景并明确鼓励研发智能体在软件工程领域的创新应用，为本作品提供了明确的政策窗口。市场层面，据工业和信息化部运行监测数据，2024 年我国软件业务收入约 13.7 万亿元且保持增长，软件质量保障与测试是其中稳定增长的服务细分；而 CISQ 测算的低质量损失（2.41 万亿美元）说明缺陷治理存在巨大降本空间。竞争格局上，SonarQube 类静态扫描解决“代码对不对”但不解决“做的是不是需求要的”，纯 LLM 评审误报高且不可审计，本作品以需求对齐 + 形式化锚定 + 可审计判定形成差异化生态位。商业模式采取开源核心 + 私有部署授权 + 高校实训服务组合，先以高校与中小企业试点建立口碑，再向交付验收强合规行业渗透。</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（三）成果总结</w:t>
      </w:r>
    </w:p>
    <w:p>
      <w:pPr>
        <w:spacing w:before="0" w:after="0" w:line="240" w:lineRule="auto"/>
        <w:ind w:firstLineChars="200" w:firstLine="480"/>
      </w:pPr>
      <w:r>
        <w:rPr>
          <w:rFonts w:ascii="Times New Roman" w:hAnsi="Times New Roman" w:eastAsia="宋体"/>
          <w:sz w:val="24"/>
          <w:szCs w:val="24"/>
        </w:rPr>
        <w:t xml:space="preserve">本作品完成了从算法研究到产品落地的全流程：一是算法上形成三维相似度+风险门控+双提示词交叉评审的混合验证体系，验证集盲评三项指标全部达标且经八口径消融证明收益的结构性来源；二是工程上建成 32 页面的完整平台与五语言解析能力，541 项单元测试、CI 四道门禁、72 小时冒烟保证质量可持续；三是评测上建立带盲评协议与双评一致性的自建标注集和真人对照基线，结论可复算；四是体验上以判定溯源面板回应 AI 可信问题，让每条判定可查证。</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（四）未来规划</w:t>
      </w:r>
    </w:p>
    <w:p>
      <w:pPr>
        <w:spacing w:before="0" w:after="0" w:line="240" w:lineRule="auto"/>
        <w:ind w:firstLineChars="200" w:firstLine="480"/>
      </w:pPr>
      <w:r>
        <w:rPr>
          <w:rFonts w:ascii="Times New Roman" w:hAnsi="Times New Roman" w:eastAsia="宋体"/>
          <w:sz w:val="24"/>
          <w:szCs w:val="24"/>
        </w:rPr>
        <w:t xml:space="preserve">坦诚不足：三维相似度的语义维度在部分缺陷对上区分度仍有限（缺陷对 0.851 对一致对 0.869），计划引入对比学习表征并在更大标注集上训练；语言覆盖广度上 JS/TS 等尚未接入（SPI 机制已就绪，边际成本低）；LLM 增强模式对本地推理算力有一定要求（候选复核预算制已将成本上界锁定）。下一步规划：其一，语义表征学习与更大规模评测集建设；其二，规约语言扩展（TLA+）与 IDE/CI 原生插件（Git hook、GitHub Action、Maven 插件），把一致性校验嵌入日常研发动线；其三，Agent 定时巡检常态化与巡检报告订阅；其四，联合企业开展更大规模试点，沉淀行业风险词表库。</w:t>
      </w:r>
    </w:p>
    <w:p>
      <w:pPr>
        <w:pStyle w:val="Heading1"/>
        <w:spacing w:line="240" w:lineRule="auto"/>
        <w:bidi w:val="0"/>
        <w:rPr/>
      </w:pPr>
      <w:bookmarkStart w:id="8" w:name="__RefHeading___Toc32468"/>
      <w:bookmarkEnd w:id="8"/>
      <w:r>
        <w:rPr>
          <w:rFonts w:hint="eastAsia"/>
        </w:rPr>
        <w:t xml:space="preserve">六、附录</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（一）软件设计资料</w:t>
      </w:r>
    </w:p>
    <w:p>
      <w:pPr>
        <w:spacing w:before="120" w:after="40" w:line="240" w:lineRule="auto"/>
        <w:jc w:val="center"/>
      </w:pPr>
      <w:r>
        <w:rPr>
          <w:rFonts w:ascii="Times New Roman" w:hAnsi="Times New Roman" w:eastAsia="宋体"/>
          <w:b/>
          <w:sz w:val="21"/>
          <w:szCs w:val="21"/>
        </w:rPr>
        <w:t xml:space="preserve">表 5　软件设计资料概览</w:t>
      </w:r>
    </w:p>
    <w:tbl>
      <w:tblPr>
        <w:tblW w:w="5000" w:type="pct"/>
        <w:tblBorders>
          <w:top w:val="single" w:sz="8" w:color="555555"/>
          <w:bottom w:val="single" w:sz="8" w:color="555555"/>
          <w:left w:val="single" w:sz="4" w:color="999999"/>
          <w:right w:val="single" w:sz="4" w:color="999999"/>
          <w:insideH w:val="single" w:sz="4" w:color="AAAAAA"/>
          <w:insideV w:val="single" w:sz="4" w:color="AAAAAA"/>
        </w:tblBorders>
      </w:tblPr>
      <w:tr>
        <w:trPr>
          <w:tblHeader/>
          <w:cantSplit/>
        </w:trPr>
        <w:tc>
          <w:tcPr>
            <w:tcW w:w="1000" w:type="pct"/>
            <w:shd w:val="clear" w:fill="E8EEF4"/>
          </w:tcPr>
          <w:p>
            <w:pPr>
              <w:spacing w:line="240" w:lineRule="auto"/>
              <w:jc w:val="center"/>
            </w:pPr>
            <w:r>
              <w:rPr>
                <w:rFonts w:ascii="Times New Roman" w:hAnsi="Times New Roman" w:eastAsia="宋体"/>
                <w:b/>
                <w:sz w:val="21"/>
                <w:szCs w:val="21"/>
              </w:rPr>
              <w:t xml:space="preserve">设计项</w:t>
            </w:r>
          </w:p>
        </w:tc>
        <w:tc>
          <w:tcPr>
            <w:tcW w:w="4000" w:type="pct"/>
            <w:shd w:val="clear" w:fill="E8EEF4"/>
          </w:tcPr>
          <w:p>
            <w:pPr>
              <w:spacing w:line="240" w:lineRule="auto"/>
              <w:jc w:val="center"/>
            </w:pPr>
            <w:r>
              <w:rPr>
                <w:rFonts w:ascii="Times New Roman" w:hAnsi="Times New Roman" w:eastAsia="宋体"/>
                <w:b/>
                <w:sz w:val="21"/>
                <w:szCs w:val="21"/>
              </w:rPr>
              <w:t xml:space="preserve">说明</w:t>
            </w:r>
          </w:p>
        </w:tc>
      </w:tr>
      <w:tr>
        <w:trPr>
          <w:cantSplit/>
        </w:trPr>
        <w:tc>
          <w:tcPr>
            <w:tcW w:w="1000" w:type="pct"/>
          </w:tcPr>
          <w:p>
            <w:pPr>
              <w:spacing w:line="240" w:lineRule="auto"/>
            </w:pPr>
            <w:r>
              <w:rPr>
                <w:rFonts w:ascii="Times New Roman" w:hAnsi="Times New Roman" w:eastAsia="宋体"/>
                <w:sz w:val="21"/>
                <w:szCs w:val="21"/>
              </w:rPr>
              <w:t xml:space="preserve">数据模型</w:t>
            </w:r>
          </w:p>
        </w:tc>
        <w:tc>
          <w:tcPr>
            <w:tcW w:w="4000" w:type="pct"/>
          </w:tcPr>
          <w:p>
            <w:pPr>
              <w:spacing w:line="240" w:lineRule="auto"/>
            </w:pPr>
            <w:r>
              <w:rPr>
                <w:rFonts w:ascii="Times New Roman" w:hAnsi="Times New Roman" w:eastAsia="宋体"/>
                <w:sz w:val="21"/>
                <w:szCs w:val="21"/>
              </w:rPr>
              <w:t xml:space="preserve">18 个核心实体（用户/项目/任务/需求/代码单元/一致性结果/缺陷/代码缺陷/形式化规约/LLM 配置/审计日志等），幂等 DDL 初始化脚本</w:t>
            </w:r>
          </w:p>
        </w:tc>
      </w:tr>
      <w:tr>
        <w:trPr>
          <w:cantSplit/>
        </w:trPr>
        <w:tc>
          <w:tcPr>
            <w:tcW w:w="1000" w:type="pct"/>
          </w:tcPr>
          <w:p>
            <w:pPr>
              <w:spacing w:line="240" w:lineRule="auto"/>
            </w:pPr>
            <w:r>
              <w:rPr>
                <w:rFonts w:ascii="Times New Roman" w:hAnsi="Times New Roman" w:eastAsia="宋体"/>
                <w:sz w:val="21"/>
                <w:szCs w:val="21"/>
              </w:rPr>
              <w:t xml:space="preserve">接口清单</w:t>
            </w:r>
          </w:p>
        </w:tc>
        <w:tc>
          <w:tcPr>
            <w:tcW w:w="4000" w:type="pct"/>
          </w:tcPr>
          <w:p>
            <w:pPr>
              <w:spacing w:line="240" w:lineRule="auto"/>
            </w:pPr>
            <w:r>
              <w:rPr>
                <w:rFonts w:ascii="Times New Roman" w:hAnsi="Times New Roman" w:eastAsia="宋体"/>
                <w:sz w:val="21"/>
                <w:szCs w:val="21"/>
              </w:rPr>
              <w:t xml:space="preserve">19 个控制器：认证/项目/分析/结果/导出/看板/洞察/LLM/集成/系统配置/备份/审计/变更台账/安全/智能体/WebSocket 票据等</w:t>
            </w:r>
          </w:p>
        </w:tc>
      </w:tr>
      <w:tr>
        <w:trPr>
          <w:cantSplit/>
        </w:trPr>
        <w:tc>
          <w:tcPr>
            <w:tcW w:w="1000" w:type="pct"/>
          </w:tcPr>
          <w:p>
            <w:pPr>
              <w:spacing w:line="240" w:lineRule="auto"/>
            </w:pPr>
            <w:r>
              <w:rPr>
                <w:rFonts w:ascii="Times New Roman" w:hAnsi="Times New Roman" w:eastAsia="宋体"/>
                <w:sz w:val="21"/>
                <w:szCs w:val="21"/>
              </w:rPr>
              <w:t xml:space="preserve">实时通道</w:t>
            </w:r>
          </w:p>
        </w:tc>
        <w:tc>
          <w:tcPr>
            <w:tcW w:w="4000" w:type="pct"/>
          </w:tcPr>
          <w:p>
            <w:pPr>
              <w:spacing w:line="240" w:lineRule="auto"/>
            </w:pPr>
            <w:r>
              <w:rPr>
                <w:rFonts w:ascii="Times New Roman" w:hAnsi="Times New Roman" w:eastAsia="宋体"/>
                <w:sz w:val="21"/>
                <w:szCs w:val="21"/>
              </w:rPr>
              <w:t xml:space="preserve">分析进度 WebSocket 推送（一次性票据鉴权）、智能体 SSE 流式对话</w:t>
            </w:r>
          </w:p>
        </w:tc>
      </w:tr>
      <w:tr>
        <w:trPr>
          <w:cantSplit/>
        </w:trPr>
        <w:tc>
          <w:tcPr>
            <w:tcW w:w="1000" w:type="pct"/>
          </w:tcPr>
          <w:p>
            <w:pPr>
              <w:spacing w:line="240" w:lineRule="auto"/>
            </w:pPr>
            <w:r>
              <w:rPr>
                <w:rFonts w:ascii="Times New Roman" w:hAnsi="Times New Roman" w:eastAsia="宋体"/>
                <w:sz w:val="21"/>
                <w:szCs w:val="21"/>
              </w:rPr>
              <w:t xml:space="preserve">安全机制</w:t>
            </w:r>
          </w:p>
        </w:tc>
        <w:tc>
          <w:tcPr>
            <w:tcW w:w="4000" w:type="pct"/>
          </w:tcPr>
          <w:p>
            <w:pPr>
              <w:spacing w:line="240" w:lineRule="auto"/>
            </w:pPr>
            <w:r>
              <w:rPr>
                <w:rFonts w:ascii="Times New Roman" w:hAnsi="Times New Roman" w:eastAsia="宋体"/>
                <w:sz w:val="21"/>
                <w:szCs w:val="21"/>
              </w:rPr>
              <w:t xml:space="preserve">JWT 登录 + 登录尝试锁定 + 令牌黑名单、审计日志哈希链、上传/备份加密、密钥轮换、生产密钥 fail-fast</w:t>
            </w:r>
          </w:p>
        </w:tc>
      </w:tr>
    </w:tbl>
    <w:p>
      <w:pPr>
        <w:spacing w:before="0" w:after="60" w:line="240" w:lineRule="auto"/>
      </w:pP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（二）核心代码</w:t>
      </w:r>
    </w:p>
    <w:p>
      <w:pPr>
        <w:spacing w:before="0" w:after="0" w:line="240" w:lineRule="auto"/>
        <w:ind w:firstLineChars="200" w:firstLine="480"/>
      </w:pPr>
      <w:r>
        <w:rPr>
          <w:rFonts w:ascii="Times New Roman" w:hAnsi="Times New Roman" w:eastAsia="宋体"/>
          <w:sz w:val="24"/>
          <w:szCs w:val="24"/>
        </w:rPr>
        <w:t xml:space="preserve">双提示词交叉评审的判定管线由 LlmOrchestrator 编排：变体 A/B 独立调用本地模型（OpenAI 兼容端点），共识直出、分歧交规则仲裁；候选复核器按风险抽样控制二审规模（≤200 对）。三维相似度与 CFG 构建的核心实现位于 ConsistencyChecker 与各语言 CfgBuilderUtil，方法级语义单元由五语言解析器统一产出 ProjectParseResult。关键代码片段见正文第四节，完整源码包随作品其他材料提交。</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（三）测试数据</w:t>
      </w:r>
    </w:p>
    <w:p>
      <w:pPr>
        <w:spacing w:before="120" w:after="40" w:line="240" w:lineRule="auto"/>
        <w:jc w:val="center"/>
      </w:pPr>
      <w:r>
        <w:rPr>
          <w:rFonts w:ascii="Times New Roman" w:hAnsi="Times New Roman" w:eastAsia="宋体"/>
          <w:b/>
          <w:sz w:val="21"/>
          <w:szCs w:val="21"/>
        </w:rPr>
        <w:t xml:space="preserve">表 6　核心评测指标汇总（口径：2026-09 最新批次，出处《评测报告-综合》）</w:t>
      </w:r>
    </w:p>
    <w:tbl>
      <w:tblPr>
        <w:tblW w:w="5000" w:type="pct"/>
        <w:tblBorders>
          <w:top w:val="single" w:sz="8" w:color="555555"/>
          <w:bottom w:val="single" w:sz="8" w:color="555555"/>
          <w:left w:val="single" w:sz="4" w:color="999999"/>
          <w:right w:val="single" w:sz="4" w:color="999999"/>
          <w:insideH w:val="single" w:sz="4" w:color="AAAAAA"/>
          <w:insideV w:val="single" w:sz="4" w:color="AAAAAA"/>
        </w:tblBorders>
      </w:tblPr>
      <w:tr>
        <w:trPr>
          <w:tblHeader/>
          <w:cantSplit/>
        </w:trPr>
        <w:tc>
          <w:tcPr>
            <w:tcW w:w="1400" w:type="pct"/>
            <w:shd w:val="clear" w:fill="E8EEF4"/>
          </w:tcPr>
          <w:p>
            <w:pPr>
              <w:spacing w:line="240" w:lineRule="auto"/>
              <w:jc w:val="center"/>
            </w:pPr>
            <w:r>
              <w:rPr>
                <w:rFonts w:ascii="Times New Roman" w:hAnsi="Times New Roman" w:eastAsia="宋体"/>
                <w:b/>
                <w:sz w:val="21"/>
                <w:szCs w:val="21"/>
              </w:rPr>
              <w:t xml:space="preserve">指标</w:t>
            </w:r>
          </w:p>
        </w:tc>
        <w:tc>
          <w:tcPr>
            <w:tcW w:w="1000" w:type="pct"/>
            <w:shd w:val="clear" w:fill="E8EEF4"/>
          </w:tcPr>
          <w:p>
            <w:pPr>
              <w:spacing w:line="240" w:lineRule="auto"/>
              <w:jc w:val="center"/>
            </w:pPr>
            <w:r>
              <w:rPr>
                <w:rFonts w:ascii="Times New Roman" w:hAnsi="Times New Roman" w:eastAsia="宋体"/>
                <w:b/>
                <w:sz w:val="21"/>
                <w:szCs w:val="21"/>
              </w:rPr>
              <w:t xml:space="preserve">SRS 验收线</w:t>
            </w:r>
          </w:p>
        </w:tc>
        <w:tc>
          <w:tcPr>
            <w:tcW w:w="1300" w:type="pct"/>
            <w:shd w:val="clear" w:fill="E8EEF4"/>
          </w:tcPr>
          <w:p>
            <w:pPr>
              <w:spacing w:line="240" w:lineRule="auto"/>
              <w:jc w:val="center"/>
            </w:pPr>
            <w:r>
              <w:rPr>
                <w:rFonts w:ascii="Times New Roman" w:hAnsi="Times New Roman" w:eastAsia="宋体"/>
                <w:b/>
                <w:sz w:val="21"/>
                <w:szCs w:val="21"/>
              </w:rPr>
              <w:t xml:space="preserve">调参集（55 对）</w:t>
            </w:r>
          </w:p>
        </w:tc>
        <w:tc>
          <w:tcPr>
            <w:tcW w:w="1300" w:type="pct"/>
            <w:shd w:val="clear" w:fill="E8EEF4"/>
          </w:tcPr>
          <w:p>
            <w:pPr>
              <w:spacing w:line="240" w:lineRule="auto"/>
              <w:jc w:val="center"/>
            </w:pPr>
            <w:r>
              <w:rPr>
                <w:rFonts w:ascii="Times New Roman" w:hAnsi="Times New Roman" w:eastAsia="宋体"/>
                <w:b/>
                <w:sz w:val="21"/>
                <w:szCs w:val="21"/>
              </w:rPr>
              <w:t xml:space="preserve">验证集盲评（61 对）</w:t>
            </w:r>
          </w:p>
        </w:tc>
      </w:tr>
      <w:tr>
        <w:trPr>
          <w:cantSplit/>
        </w:trPr>
        <w:tc>
          <w:tcPr>
            <w:tcW w:w="1400" w:type="pct"/>
          </w:tcPr>
          <w:p>
            <w:pPr>
              <w:spacing w:line="240" w:lineRule="auto"/>
            </w:pPr>
            <w:r>
              <w:rPr>
                <w:rFonts w:ascii="Times New Roman" w:hAnsi="Times New Roman" w:eastAsia="宋体"/>
                <w:sz w:val="21"/>
                <w:szCs w:val="21"/>
              </w:rPr>
              <w:t xml:space="preserve">缺陷检测准确率</w:t>
            </w:r>
          </w:p>
        </w:tc>
        <w:tc>
          <w:tcPr>
            <w:tcW w:w="1000" w:type="pct"/>
          </w:tcPr>
          <w:p>
            <w:pPr>
              <w:spacing w:line="240" w:lineRule="auto"/>
            </w:pPr>
            <w:r>
              <w:rPr>
                <w:rFonts w:ascii="Times New Roman" w:hAnsi="Times New Roman" w:eastAsia="宋体"/>
                <w:sz w:val="21"/>
                <w:szCs w:val="21"/>
              </w:rPr>
              <w:t xml:space="preserve">≥ 80%</w:t>
            </w:r>
          </w:p>
        </w:tc>
        <w:tc>
          <w:tcPr>
            <w:tcW w:w="1300" w:type="pct"/>
          </w:tcPr>
          <w:p>
            <w:pPr>
              <w:spacing w:line="240" w:lineRule="auto"/>
            </w:pPr>
            <w:r>
              <w:rPr>
                <w:rFonts w:ascii="Times New Roman" w:hAnsi="Times New Roman" w:eastAsia="宋体"/>
                <w:sz w:val="21"/>
                <w:szCs w:val="21"/>
              </w:rPr>
              <w:t xml:space="preserve">94.5%（首测 96.4%）</w:t>
            </w:r>
          </w:p>
        </w:tc>
        <w:tc>
          <w:tcPr>
            <w:tcW w:w="1300" w:type="pct"/>
          </w:tcPr>
          <w:p>
            <w:pPr>
              <w:spacing w:line="240" w:lineRule="auto"/>
            </w:pPr>
            <w:r>
              <w:rPr>
                <w:rFonts w:ascii="Times New Roman" w:hAnsi="Times New Roman" w:eastAsia="宋体"/>
                <w:sz w:val="21"/>
                <w:szCs w:val="21"/>
              </w:rPr>
              <w:t xml:space="preserve">95.0%</w:t>
            </w:r>
          </w:p>
        </w:tc>
      </w:tr>
      <w:tr>
        <w:trPr>
          <w:cantSplit/>
        </w:trPr>
        <w:tc>
          <w:tcPr>
            <w:tcW w:w="1400" w:type="pct"/>
          </w:tcPr>
          <w:p>
            <w:pPr>
              <w:spacing w:line="240" w:lineRule="auto"/>
            </w:pPr>
            <w:r>
              <w:rPr>
                <w:rFonts w:ascii="Times New Roman" w:hAnsi="Times New Roman" w:eastAsia="宋体"/>
                <w:sz w:val="21"/>
                <w:szCs w:val="21"/>
              </w:rPr>
              <w:t xml:space="preserve">漏检率</w:t>
            </w:r>
          </w:p>
        </w:tc>
        <w:tc>
          <w:tcPr>
            <w:tcW w:w="1000" w:type="pct"/>
          </w:tcPr>
          <w:p>
            <w:pPr>
              <w:spacing w:line="240" w:lineRule="auto"/>
            </w:pPr>
            <w:r>
              <w:rPr>
                <w:rFonts w:ascii="Times New Roman" w:hAnsi="Times New Roman" w:eastAsia="宋体"/>
                <w:sz w:val="21"/>
                <w:szCs w:val="21"/>
              </w:rPr>
              <w:t xml:space="preserve">≤ 15%</w:t>
            </w:r>
          </w:p>
        </w:tc>
        <w:tc>
          <w:tcPr>
            <w:tcW w:w="1300" w:type="pct"/>
          </w:tcPr>
          <w:p>
            <w:pPr>
              <w:spacing w:line="240" w:lineRule="auto"/>
            </w:pPr>
            <w:r>
              <w:rPr>
                <w:rFonts w:ascii="Times New Roman" w:hAnsi="Times New Roman" w:eastAsia="宋体"/>
                <w:sz w:val="21"/>
                <w:szCs w:val="21"/>
              </w:rPr>
              <w:t xml:space="preserve">3.8%</w:t>
            </w:r>
          </w:p>
        </w:tc>
        <w:tc>
          <w:tcPr>
            <w:tcW w:w="1300" w:type="pct"/>
          </w:tcPr>
          <w:p>
            <w:pPr>
              <w:spacing w:line="240" w:lineRule="auto"/>
            </w:pPr>
            <w:r>
              <w:rPr>
                <w:rFonts w:ascii="Times New Roman" w:hAnsi="Times New Roman" w:eastAsia="宋体"/>
                <w:sz w:val="21"/>
                <w:szCs w:val="21"/>
              </w:rPr>
              <w:t xml:space="preserve">0.0%</w:t>
            </w:r>
          </w:p>
        </w:tc>
      </w:tr>
      <w:tr>
        <w:trPr>
          <w:cantSplit/>
        </w:trPr>
        <w:tc>
          <w:tcPr>
            <w:tcW w:w="1400" w:type="pct"/>
          </w:tcPr>
          <w:p>
            <w:pPr>
              <w:spacing w:line="240" w:lineRule="auto"/>
            </w:pPr>
            <w:r>
              <w:rPr>
                <w:rFonts w:ascii="Times New Roman" w:hAnsi="Times New Roman" w:eastAsia="宋体"/>
                <w:sz w:val="21"/>
                <w:szCs w:val="21"/>
              </w:rPr>
              <w:t xml:space="preserve">误报率</w:t>
            </w:r>
          </w:p>
        </w:tc>
        <w:tc>
          <w:tcPr>
            <w:tcW w:w="1000" w:type="pct"/>
          </w:tcPr>
          <w:p>
            <w:pPr>
              <w:spacing w:line="240" w:lineRule="auto"/>
            </w:pPr>
            <w:r>
              <w:rPr>
                <w:rFonts w:ascii="Times New Roman" w:hAnsi="Times New Roman" w:eastAsia="宋体"/>
                <w:sz w:val="21"/>
                <w:szCs w:val="21"/>
              </w:rPr>
              <w:t xml:space="preserve">≤ 10%</w:t>
            </w:r>
          </w:p>
        </w:tc>
        <w:tc>
          <w:tcPr>
            <w:tcW w:w="1300" w:type="pct"/>
          </w:tcPr>
          <w:p>
            <w:pPr>
              <w:spacing w:line="240" w:lineRule="auto"/>
            </w:pPr>
            <w:r>
              <w:rPr>
                <w:rFonts w:ascii="Times New Roman" w:hAnsi="Times New Roman" w:eastAsia="宋体"/>
                <w:sz w:val="21"/>
                <w:szCs w:val="21"/>
              </w:rPr>
              <w:t xml:space="preserve">6.9%</w:t>
            </w:r>
          </w:p>
        </w:tc>
        <w:tc>
          <w:tcPr>
            <w:tcW w:w="1300" w:type="pct"/>
          </w:tcPr>
          <w:p>
            <w:pPr>
              <w:spacing w:line="240" w:lineRule="auto"/>
            </w:pPr>
            <w:r>
              <w:rPr>
                <w:rFonts w:ascii="Times New Roman" w:hAnsi="Times New Roman" w:eastAsia="宋体"/>
                <w:sz w:val="21"/>
                <w:szCs w:val="21"/>
              </w:rPr>
              <w:t xml:space="preserve">7.3%</w:t>
            </w:r>
          </w:p>
        </w:tc>
      </w:tr>
      <w:tr>
        <w:trPr>
          <w:cantSplit/>
        </w:trPr>
        <w:tc>
          <w:tcPr>
            <w:tcW w:w="1400" w:type="pct"/>
          </w:tcPr>
          <w:p>
            <w:pPr>
              <w:spacing w:line="240" w:lineRule="auto"/>
            </w:pPr>
            <w:r>
              <w:rPr>
                <w:rFonts w:ascii="Times New Roman" w:hAnsi="Times New Roman" w:eastAsia="宋体"/>
                <w:sz w:val="21"/>
                <w:szCs w:val="21"/>
              </w:rPr>
              <w:t xml:space="preserve">LLM 判定成功率</w:t>
            </w:r>
          </w:p>
        </w:tc>
        <w:tc>
          <w:tcPr>
            <w:tcW w:w="1000" w:type="pct"/>
          </w:tcPr>
          <w:p>
            <w:pPr>
              <w:spacing w:line="240" w:lineRule="auto"/>
            </w:pPr>
            <w:r>
              <w:rPr>
                <w:rFonts w:ascii="Times New Roman" w:hAnsi="Times New Roman" w:eastAsia="宋体"/>
                <w:sz w:val="21"/>
                <w:szCs w:val="21"/>
              </w:rPr>
              <w:t xml:space="preserve">≥ 10%</w:t>
            </w:r>
          </w:p>
        </w:tc>
        <w:tc>
          <w:tcPr>
            <w:tcW w:w="1300" w:type="pct"/>
          </w:tcPr>
          <w:p>
            <w:pPr>
              <w:spacing w:line="240" w:lineRule="auto"/>
            </w:pPr>
            <w:r>
              <w:rPr>
                <w:rFonts w:ascii="Times New Roman" w:hAnsi="Times New Roman" w:eastAsia="宋体"/>
                <w:sz w:val="21"/>
                <w:szCs w:val="21"/>
              </w:rPr>
              <w:t xml:space="preserve">100%（55/55）</w:t>
            </w:r>
          </w:p>
        </w:tc>
        <w:tc>
          <w:tcPr>
            <w:tcW w:w="1300" w:type="pct"/>
          </w:tcPr>
          <w:p>
            <w:pPr>
              <w:spacing w:line="240" w:lineRule="auto"/>
            </w:pPr>
            <w:r>
              <w:rPr>
                <w:rFonts w:ascii="Times New Roman" w:hAnsi="Times New Roman" w:eastAsia="宋体"/>
                <w:sz w:val="21"/>
                <w:szCs w:val="21"/>
              </w:rPr>
              <w:t xml:space="preserve">—</w:t>
            </w:r>
          </w:p>
        </w:tc>
      </w:tr>
      <w:tr>
        <w:trPr>
          <w:cantSplit/>
        </w:trPr>
        <w:tc>
          <w:tcPr>
            <w:tcW w:w="1400" w:type="pct"/>
          </w:tcPr>
          <w:p>
            <w:pPr>
              <w:spacing w:line="240" w:lineRule="auto"/>
            </w:pPr>
            <w:r>
              <w:rPr>
                <w:rFonts w:ascii="Times New Roman" w:hAnsi="Times New Roman" w:eastAsia="宋体"/>
                <w:sz w:val="21"/>
                <w:szCs w:val="21"/>
              </w:rPr>
              <w:t xml:space="preserve">双评一致性 κ</w:t>
            </w:r>
          </w:p>
        </w:tc>
        <w:tc>
          <w:tcPr>
            <w:tcW w:w="1000" w:type="pct"/>
          </w:tcPr>
          <w:p>
            <w:pPr>
              <w:spacing w:line="240" w:lineRule="auto"/>
            </w:pPr>
            <w:r>
              <w:rPr>
                <w:rFonts w:ascii="Times New Roman" w:hAnsi="Times New Roman" w:eastAsia="宋体"/>
                <w:sz w:val="21"/>
                <w:szCs w:val="21"/>
              </w:rPr>
              <w:t xml:space="preserve">—</w:t>
            </w:r>
          </w:p>
        </w:tc>
        <w:tc>
          <w:tcPr>
            <w:tcW w:w="1300" w:type="pct"/>
          </w:tcPr>
          <w:p>
            <w:pPr>
              <w:spacing w:line="240" w:lineRule="auto"/>
            </w:pPr>
            <w:r>
              <w:rPr>
                <w:rFonts w:ascii="Times New Roman" w:hAnsi="Times New Roman" w:eastAsia="宋体"/>
                <w:sz w:val="21"/>
                <w:szCs w:val="21"/>
              </w:rPr>
              <w:t xml:space="preserve">0.8016</w:t>
            </w:r>
          </w:p>
        </w:tc>
        <w:tc>
          <w:tcPr>
            <w:tcW w:w="1300" w:type="pct"/>
          </w:tcPr>
          <w:p>
            <w:pPr>
              <w:spacing w:line="240" w:lineRule="auto"/>
            </w:pPr>
            <w:r>
              <w:rPr>
                <w:rFonts w:ascii="Times New Roman" w:hAnsi="Times New Roman" w:eastAsia="宋体"/>
                <w:sz w:val="21"/>
                <w:szCs w:val="21"/>
              </w:rPr>
              <w:t xml:space="preserve">—</w:t>
            </w:r>
          </w:p>
        </w:tc>
      </w:tr>
    </w:tbl>
    <w:p>
      <w:pPr>
        <w:spacing w:before="0" w:after="60" w:line="240" w:lineRule="auto"/>
      </w:pPr>
    </w:p>
    <w:p>
      <w:pPr>
        <w:spacing w:before="120" w:after="40" w:line="240" w:lineRule="auto"/>
        <w:jc w:val="center"/>
      </w:pPr>
      <w:r>
        <w:rPr>
          <w:rFonts w:ascii="Times New Roman" w:hAnsi="Times New Roman" w:eastAsia="宋体"/>
          <w:b/>
          <w:sz w:val="21"/>
          <w:szCs w:val="21"/>
        </w:rPr>
        <w:t xml:space="preserve">表 7　性能与可靠性测试数据</w:t>
      </w:r>
    </w:p>
    <w:tbl>
      <w:tblPr>
        <w:tblW w:w="5000" w:type="pct"/>
        <w:tblBorders>
          <w:top w:val="single" w:sz="8" w:color="555555"/>
          <w:bottom w:val="single" w:sz="8" w:color="555555"/>
          <w:left w:val="single" w:sz="4" w:color="999999"/>
          <w:right w:val="single" w:sz="4" w:color="999999"/>
          <w:insideH w:val="single" w:sz="4" w:color="AAAAAA"/>
          <w:insideV w:val="single" w:sz="4" w:color="AAAAAA"/>
        </w:tblBorders>
      </w:tblPr>
      <w:tr>
        <w:trPr>
          <w:tblHeader/>
          <w:cantSplit/>
        </w:trPr>
        <w:tc>
          <w:tcPr>
            <w:tcW w:w="2000" w:type="pct"/>
            <w:shd w:val="clear" w:fill="E8EEF4"/>
          </w:tcPr>
          <w:p>
            <w:pPr>
              <w:spacing w:line="240" w:lineRule="auto"/>
              <w:jc w:val="center"/>
            </w:pPr>
            <w:r>
              <w:rPr>
                <w:rFonts w:ascii="Times New Roman" w:hAnsi="Times New Roman" w:eastAsia="宋体"/>
                <w:b/>
                <w:sz w:val="21"/>
                <w:szCs w:val="21"/>
              </w:rPr>
              <w:t xml:space="preserve">测试项</w:t>
            </w:r>
          </w:p>
        </w:tc>
        <w:tc>
          <w:tcPr>
            <w:tcW w:w="3000" w:type="pct"/>
            <w:shd w:val="clear" w:fill="E8EEF4"/>
          </w:tcPr>
          <w:p>
            <w:pPr>
              <w:spacing w:line="240" w:lineRule="auto"/>
              <w:jc w:val="center"/>
            </w:pPr>
            <w:r>
              <w:rPr>
                <w:rFonts w:ascii="Times New Roman" w:hAnsi="Times New Roman" w:eastAsia="宋体"/>
                <w:b/>
                <w:sz w:val="21"/>
                <w:szCs w:val="21"/>
              </w:rPr>
              <w:t xml:space="preserve">结果</w:t>
            </w:r>
          </w:p>
        </w:tc>
      </w:tr>
      <w:tr>
        <w:trPr>
          <w:cantSplit/>
        </w:trPr>
        <w:tc>
          <w:tcPr>
            <w:tcW w:w="2000" w:type="pct"/>
          </w:tcPr>
          <w:p>
            <w:pPr>
              <w:spacing w:line="240" w:lineRule="auto"/>
            </w:pPr>
            <w:r>
              <w:rPr>
                <w:rFonts w:ascii="Times New Roman" w:hAnsi="Times New Roman" w:eastAsia="宋体"/>
                <w:sz w:val="21"/>
                <w:szCs w:val="21"/>
              </w:rPr>
              <w:t xml:space="preserve">解析流水线性能（优化后）</w:t>
            </w:r>
          </w:p>
        </w:tc>
        <w:tc>
          <w:tcPr>
            <w:tcW w:w="3000" w:type="pct"/>
          </w:tcPr>
          <w:p>
            <w:pPr>
              <w:spacing w:line="240" w:lineRule="auto"/>
            </w:pPr>
            <w:r>
              <w:rPr>
                <w:rFonts w:ascii="Times New Roman" w:hAnsi="Times New Roman" w:eastAsia="宋体"/>
                <w:sz w:val="21"/>
                <w:szCs w:val="21"/>
              </w:rPr>
              <w:t xml:space="preserve">kilo 千行 1.97s / tenk 万行 27.8s（规则链路）</w:t>
            </w:r>
          </w:p>
        </w:tc>
      </w:tr>
      <w:tr>
        <w:trPr>
          <w:cantSplit/>
        </w:trPr>
        <w:tc>
          <w:tcPr>
            <w:tcW w:w="2000" w:type="pct"/>
          </w:tcPr>
          <w:p>
            <w:pPr>
              <w:spacing w:line="240" w:lineRule="auto"/>
            </w:pPr>
            <w:r>
              <w:rPr>
                <w:rFonts w:ascii="Times New Roman" w:hAnsi="Times New Roman" w:eastAsia="宋体"/>
                <w:sz w:val="21"/>
                <w:szCs w:val="21"/>
              </w:rPr>
              <w:t xml:space="preserve">增量分析（端到端口径）</w:t>
            </w:r>
          </w:p>
        </w:tc>
        <w:tc>
          <w:tcPr>
            <w:tcW w:w="3000" w:type="pct"/>
          </w:tcPr>
          <w:p>
            <w:pPr>
              <w:spacing w:line="240" w:lineRule="auto"/>
            </w:pPr>
            <w:r>
              <w:rPr>
                <w:rFonts w:ascii="Times New Roman" w:hAnsi="Times New Roman" w:eastAsia="宋体"/>
                <w:sz w:val="21"/>
                <w:szCs w:val="21"/>
              </w:rPr>
              <w:t xml:space="preserve">kilo 二次分析 -76%（25.0s→6.0s）；tenk -20%（222.5s→178.0s）</w:t>
            </w:r>
          </w:p>
        </w:tc>
      </w:tr>
      <w:tr>
        <w:trPr>
          <w:cantSplit/>
        </w:trPr>
        <w:tc>
          <w:tcPr>
            <w:tcW w:w="2000" w:type="pct"/>
          </w:tcPr>
          <w:p>
            <w:pPr>
              <w:spacing w:line="240" w:lineRule="auto"/>
            </w:pPr>
            <w:r>
              <w:rPr>
                <w:rFonts w:ascii="Times New Roman" w:hAnsi="Times New Roman" w:eastAsia="宋体"/>
                <w:sz w:val="21"/>
                <w:szCs w:val="21"/>
              </w:rPr>
              <w:t xml:space="preserve">人工基线对照（3 人 5 项目限时走查）</w:t>
            </w:r>
          </w:p>
        </w:tc>
        <w:tc>
          <w:tcPr>
            <w:tcW w:w="3000" w:type="pct"/>
          </w:tcPr>
          <w:p>
            <w:pPr>
              <w:spacing w:line="240" w:lineRule="auto"/>
            </w:pPr>
            <w:r>
              <w:rPr>
                <w:rFonts w:ascii="Times New Roman" w:hAnsi="Times New Roman" w:eastAsia="宋体"/>
                <w:sz w:val="21"/>
                <w:szCs w:val="21"/>
              </w:rPr>
              <w:t xml:space="preserve">人均检出 78.1% / 误报 19.5% / 40.2 分钟每项目</w:t>
            </w:r>
          </w:p>
        </w:tc>
      </w:tr>
      <w:tr>
        <w:trPr>
          <w:cantSplit/>
        </w:trPr>
        <w:tc>
          <w:tcPr>
            <w:tcW w:w="2000" w:type="pct"/>
          </w:tcPr>
          <w:p>
            <w:pPr>
              <w:spacing w:line="240" w:lineRule="auto"/>
            </w:pPr>
            <w:r>
              <w:rPr>
                <w:rFonts w:ascii="Times New Roman" w:hAnsi="Times New Roman" w:eastAsia="宋体"/>
                <w:sz w:val="21"/>
                <w:szCs w:val="21"/>
              </w:rPr>
              <w:t xml:space="preserve">稳定性与并发</w:t>
            </w:r>
          </w:p>
        </w:tc>
        <w:tc>
          <w:tcPr>
            <w:tcW w:w="3000" w:type="pct"/>
          </w:tcPr>
          <w:p>
            <w:pPr>
              <w:spacing w:line="240" w:lineRule="auto"/>
            </w:pPr>
            <w:r>
              <w:rPr>
                <w:rFonts w:ascii="Times New Roman" w:hAnsi="Times New Roman" w:eastAsia="宋体"/>
                <w:sz w:val="21"/>
                <w:szCs w:val="21"/>
              </w:rPr>
              <w:t xml:space="preserve">72 小时冒烟通过；并发基准达标（详见《可靠性测试记录》）</w:t>
            </w:r>
          </w:p>
        </w:tc>
      </w:tr>
      <w:tr>
        <w:trPr>
          <w:cantSplit/>
        </w:trPr>
        <w:tc>
          <w:tcPr>
            <w:tcW w:w="2000" w:type="pct"/>
          </w:tcPr>
          <w:p>
            <w:pPr>
              <w:spacing w:line="240" w:lineRule="auto"/>
            </w:pPr>
            <w:r>
              <w:rPr>
                <w:rFonts w:ascii="Times New Roman" w:hAnsi="Times New Roman" w:eastAsia="宋体"/>
                <w:sz w:val="21"/>
                <w:szCs w:val="21"/>
              </w:rPr>
              <w:t xml:space="preserve">单元测试</w:t>
            </w:r>
          </w:p>
        </w:tc>
        <w:tc>
          <w:tcPr>
            <w:tcW w:w="3000" w:type="pct"/>
          </w:tcPr>
          <w:p>
            <w:pPr>
              <w:spacing w:line="240" w:lineRule="auto"/>
            </w:pPr>
            <w:r>
              <w:rPr>
                <w:rFonts w:ascii="Times New Roman" w:hAnsi="Times New Roman" w:eastAsia="宋体"/>
                <w:sz w:val="21"/>
                <w:szCs w:val="21"/>
              </w:rPr>
              <w:t xml:space="preserve">后端 541 项（CI Linux 环境全绿）；前端 Vitest + 构建门禁</w:t>
            </w:r>
          </w:p>
        </w:tc>
      </w:tr>
    </w:tbl>
    <w:p>
      <w:pPr>
        <w:spacing w:before="0" w:after="60" w:line="240" w:lineRule="auto"/>
      </w:pP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（四）参考文献</w:t>
      </w:r>
    </w:p>
    <w:p>
      <w:pPr>
        <w:spacing w:before="0" w:after="20" w:line="240" w:lineRule="auto"/>
      </w:pPr>
      <w:r>
        <w:rPr>
          <w:rFonts w:ascii="Times New Roman" w:hAnsi="Times New Roman" w:eastAsia="宋体"/>
          <w:sz w:val="21"/>
          <w:szCs w:val="21"/>
        </w:rPr>
        <w:t xml:space="preserve">[1] Alloy 6 Documentation. Software Design Group, MIT. https://alloytools.org</w:t>
      </w:r>
    </w:p>
    <w:p>
      <w:pPr>
        <w:spacing w:before="0" w:after="20" w:line="240" w:lineRule="auto"/>
      </w:pPr>
      <w:r>
        <w:rPr>
          <w:rFonts w:ascii="Times New Roman" w:hAnsi="Times New Roman" w:eastAsia="宋体"/>
          <w:sz w:val="21"/>
          <w:szCs w:val="21"/>
        </w:rPr>
        <w:t xml:space="preserve">[2] JavaParser: Java 1.8 - 21 Parser and AST. https://github.com/javaparser/javaparser（v3.25.5）</w:t>
      </w:r>
    </w:p>
    <w:p>
      <w:pPr>
        <w:spacing w:before="0" w:after="20" w:line="240" w:lineRule="auto"/>
      </w:pPr>
      <w:r>
        <w:rPr>
          <w:rFonts w:ascii="Times New Roman" w:hAnsi="Times New Roman" w:eastAsia="宋体"/>
          <w:sz w:val="21"/>
          <w:szCs w:val="21"/>
        </w:rPr>
        <w:t xml:space="preserve">[3] Soot: a Java Optimization Framework. https://sable.github.io/soot/（v4.7.0）</w:t>
      </w:r>
    </w:p>
    <w:p>
      <w:pPr>
        <w:spacing w:before="0" w:after="20" w:line="240" w:lineRule="auto"/>
      </w:pPr>
      <w:r>
        <w:rPr>
          <w:rFonts w:ascii="Times New Roman" w:hAnsi="Times New Roman" w:eastAsia="宋体"/>
          <w:sz w:val="21"/>
          <w:szCs w:val="21"/>
        </w:rPr>
        <w:t xml:space="preserve">[4] tree-sitter: An incremental parsing system for programming tools. https://tree-sitter.github.io</w:t>
      </w:r>
    </w:p>
    <w:p>
      <w:pPr>
        <w:spacing w:before="0" w:after="20" w:line="240" w:lineRule="auto"/>
      </w:pPr>
      <w:r>
        <w:rPr>
          <w:rFonts w:ascii="Times New Roman" w:hAnsi="Times New Roman" w:eastAsia="宋体"/>
          <w:sz w:val="21"/>
          <w:szCs w:val="21"/>
        </w:rPr>
        <w:t xml:space="preserve">[5] LangChain4j: Java version of LangChain. https://github.com/langchain4j/langchain4j（v0.34.0）</w:t>
      </w:r>
    </w:p>
    <w:p>
      <w:pPr>
        <w:spacing w:before="0" w:after="20" w:line="240" w:lineRule="auto"/>
      </w:pPr>
      <w:r>
        <w:rPr>
          <w:rFonts w:ascii="Times New Roman" w:hAnsi="Times New Roman" w:eastAsia="宋体"/>
          <w:sz w:val="21"/>
          <w:szCs w:val="21"/>
        </w:rPr>
        <w:t xml:space="preserve">[6] Xiao et al. C-Pack: Packaged Resources To Advance General Chinese Embedding (BGE). SIGIR 2024.</w:t>
      </w:r>
    </w:p>
    <w:p>
      <w:pPr>
        <w:spacing w:before="0" w:after="20" w:line="240" w:lineRule="auto"/>
      </w:pPr>
      <w:r>
        <w:rPr>
          <w:rFonts w:ascii="Times New Roman" w:hAnsi="Times New Roman" w:eastAsia="宋体"/>
          <w:sz w:val="21"/>
          <w:szCs w:val="21"/>
        </w:rPr>
        <w:t xml:space="preserve">[7] ONNX Runtime Documentation. Microsoft. https://onnxruntime.ai（v1.17.0）</w:t>
      </w:r>
    </w:p>
    <w:p>
      <w:pPr>
        <w:spacing w:before="0" w:after="20" w:line="240" w:lineRule="auto"/>
      </w:pPr>
      <w:r>
        <w:rPr>
          <w:rFonts w:ascii="Times New Roman" w:hAnsi="Times New Roman" w:eastAsia="宋体"/>
          <w:sz w:val="21"/>
          <w:szCs w:val="21"/>
        </w:rPr>
        <w:t xml:space="preserve">[8] Sun J. et al. jieba Chinese Text Segmentation. https://github.com/huaban/jieba-analysis</w:t>
      </w:r>
    </w:p>
    <w:p>
      <w:pPr>
        <w:spacing w:before="0" w:after="20" w:line="240" w:lineRule="auto"/>
      </w:pPr>
      <w:r>
        <w:rPr>
          <w:rFonts w:ascii="Times New Roman" w:hAnsi="Times New Roman" w:eastAsia="宋体"/>
          <w:sz w:val="21"/>
          <w:szCs w:val="21"/>
        </w:rPr>
        <w:t xml:space="preserve">[9] Krasner, H. The Cost of Poor Software Quality in the US: A 2022 Report. CISQ, 2022.</w:t>
      </w:r>
    </w:p>
    <w:p>
      <w:pPr>
        <w:spacing w:before="0" w:after="20" w:line="240" w:lineRule="auto"/>
      </w:pPr>
      <w:r>
        <w:rPr>
          <w:rFonts w:ascii="Times New Roman" w:hAnsi="Times New Roman" w:eastAsia="宋体"/>
          <w:sz w:val="21"/>
          <w:szCs w:val="21"/>
        </w:rPr>
        <w:t xml:space="preserve">[10] 工业和信息化部. 2024 年软件业经济运行情况. 2025 年 1 月.</w:t>
      </w:r>
    </w:p>
    <w:p>
      <w:pPr>
        <w:pStyle w:val="Heading2"/>
        <w:spacing w:line="240" w:lineRule="auto"/>
        <w:bidi w:val="0"/>
        <w:ind w:firstLineChars="200" w:startChars="0" w:start="0"/>
        <w:rPr>
          <w:rFonts w:hint="eastAsia"/>
        </w:rPr>
      </w:pPr>
      <w:bookmarkStart w:id="3" w:name="__RefHeading___Toc1039"/>
      <w:bookmarkEnd w:id="3"/>
      <w:r>
        <w:rPr>
          <w:rFonts w:hint="eastAsia"/>
        </w:rPr>
        <w:t xml:space="preserve">（五）其他材料</w:t>
      </w:r>
    </w:p>
    <w:p>
      <w:pPr>
        <w:spacing w:before="0" w:after="0" w:line="240" w:lineRule="auto"/>
        <w:ind w:firstLineChars="200" w:firstLine="480"/>
      </w:pPr>
      <w:r>
        <w:rPr>
          <w:rFonts w:ascii="Times New Roman" w:hAnsi="Times New Roman" w:eastAsia="宋体"/>
          <w:sz w:val="24"/>
          <w:szCs w:val="24"/>
        </w:rPr>
        <w:t xml:space="preserve">以下材料一并归入佐证材料提交：评测数据集标注规范与双评一致性计算记录、原始标注集与走查原始 CSV、八口径消融与同类对比实验报告、性能基准与增量分析量化报告、72 小时可靠性与并发测试记录、测试报告汇总（自动生成）、引用与知识产权清单、试点应用与用户反馈记录。演示视频（MP4，3-5 分钟）与完整代码包按大赛命名规范提交。</w:t>
      </w:r>
    </w:p>
    <w:sectPr>
      <w:headerReference w:type="default" r:id="rId15"/>
      <w:headerReference w:type="first" r:id="rId16"/>
      <w:footerReference w:type="default" r:id="rId17"/>
      <w:footerReference w:type="first" r:id="rId18"/>
      <w:type w:val="nextPage"/>
      <w:pgSz w:w="11906" w:h="16838"/>
      <w:pgMar w:left="1701" w:right="1701" w:gutter="0" w:header="850" w:top="1417" w:footer="850" w:bottom="1417"/>
      <w:pgNumType w:fmt="decimal"/>
      <w:formProt w:val="false"/>
      <w:textDirection w:val="lrTb"/>
      <w:docGrid w:type="lines" w:linePitch="333"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等线 Light">
    <w:charset w:val="86"/>
    <w:family w:val="auto"/>
    <w:pitch w:val="default"/>
  </w:font>
  <w:font w:name="宋体">
    <w:charset w:val="86"/>
    <w:family w:val="auto"/>
    <w:pitch w:val="default"/>
  </w:font>
  <w:font w:name="黑体">
    <w:charset w:val="86"/>
    <w:family w:val="auto"/>
    <w:pitch w:val="default"/>
  </w:font>
  <w:font w:name="仿宋">
    <w:charset w:val="86"/>
    <w:family w:val="modern"/>
    <w:pitch w:val="default"/>
  </w:font>
  <w:font w:name="Times New Roman">
    <w:charset w:val="86"/>
    <w:family w:val="roman"/>
    <w:pitch w:val="default"/>
  </w:font>
  <w:font w:name="宋体">
    <w:charset w:val="01"/>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840"/>
        <w:tab w:val="center" w:pos="4153" w:leader="none"/>
        <w:tab w:val="right" w:pos="8306" w:leader="none"/>
      </w:tabs>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840"/>
        <w:tab w:val="center" w:pos="4153" w:leader="none"/>
        <w:tab w:val="right" w:pos="8306" w:leader="none"/>
      </w:tabs>
      <w:jc w:val="center"/>
      <w:rPr>
        <w:rFonts w:hint="eastAsia"/>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840"/>
        <w:tab w:val="center" w:pos="4153" w:leader="none"/>
        <w:tab w:val="right" w:pos="8306" w:leader="none"/>
      </w:tabs>
      <w:jc w:val="center"/>
      <w:rPr>
        <w:rFonts w:hint="eastAsia"/>
      </w:rPr>
    </w:pPr>
    <w:r>
      <w:rPr/>
      <w:fldChar w:fldCharType="begin"/>
    </w:r>
    <w:r>
      <w:rPr/>
      <w:instrText xml:space="preserve"> PAGE </w:instrText>
    </w:r>
    <w:r>
      <w:rPr/>
      <w:fldChar w:fldCharType="separate"/>
    </w:r>
    <w:r>
      <w:rPr/>
      <w:t>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840"/>
        <w:tab w:val="center" w:pos="4153" w:leader="none"/>
        <w:tab w:val="right" w:pos="8306" w:leader="none"/>
      </w:tabs>
      <w:jc w:val="center"/>
      <w:rPr>
        <w:rFonts w:hint="eastAsia"/>
      </w:rPr>
    </w:pPr>
    <w:r>
      <w:rPr/>
      <w:fldChar w:fldCharType="begin"/>
    </w:r>
    <w:r>
      <w:rPr/>
      <w:instrText xml:space="preserve"> PAGE </w:instrText>
    </w:r>
    <w:r>
      <w:rPr/>
      <w:fldChar w:fldCharType="separate"/>
    </w:r>
    <w:r>
      <w:rPr/>
      <w:t>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0000"/>
      </w:pBdr>
      <w:tabs>
        <w:tab w:val="clear" w:pos="840"/>
        <w:tab w:val="center" w:pos="4153" w:leader="none"/>
        <w:tab w:val="right" w:pos="8306" w:leader="none"/>
      </w:tabs>
      <w:spacing w:lineRule="auto" w:line="240"/>
      <w:ind w:firstLineChars="0" w:firstLine="0" w:endChars="0" w:end="0"/>
      <w:jc w:val="start"/>
      <w:rPr/>
    </w:pPr>
    <w:r>
      <w:rPr>
        <w:rFonts w:hint="eastAsia"/>
      </w:rPr>
      <w:drawing>
        <wp:inline distT="0" distB="0" distL="0" distR="0">
          <wp:extent cx="401955" cy="190500"/>
          <wp:effectExtent l="0" t="0" r="0" b="0"/>
          <wp:docPr id="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1"/>
                  <pic:cNvPicPr>
                    <a:picLocks noChangeAspect="1" noChangeArrowheads="1"/>
                  </pic:cNvPicPr>
                </pic:nvPicPr>
                <pic:blipFill>
                  <a:blip r:embed="rId1"/>
                  <a:srcRect l="-92" t="-145" r="-92" b="26301"/>
                  <a:stretch>
                    <a:fillRect/>
                  </a:stretch>
                </pic:blipFill>
                <pic:spPr bwMode="auto">
                  <a:xfrm>
                    <a:off x="0" y="0"/>
                    <a:ext cx="401955" cy="190500"/>
                  </a:xfrm>
                  <a:prstGeom prst="rect">
                    <a:avLst/>
                  </a:prstGeom>
                  <a:noFill/>
                </pic:spPr>
              </pic:pic>
            </a:graphicData>
          </a:graphic>
        </wp:inline>
      </w:drawing>
    </w:r>
    <w:r>
      <w:rPr>
        <w:rFonts w:hint="eastAsia"/>
      </w:rPr>
      <w:t xml:space="preserve">                                </w:t>
    </w:r>
    <w:r>
      <w:rPr>
        <w:rFonts w:hint="eastAsia"/>
        <w:sz w:val="21"/>
        <w:szCs w:val="21"/>
      </w:rPr>
      <w:t>2026</w:t>
    </w:r>
    <w:r>
      <w:rPr>
        <w:rFonts w:hint="eastAsia"/>
        <w:sz w:val="21"/>
        <w:szCs w:val="21"/>
      </w:rPr>
      <w:t>第八届全球校园人工智能算法精英大赛</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0000"/>
      </w:pBdr>
      <w:tabs>
        <w:tab w:val="clear" w:pos="840"/>
        <w:tab w:val="center" w:pos="4153" w:leader="none"/>
        <w:tab w:val="right" w:pos="8306" w:leader="none"/>
      </w:tabs>
      <w:spacing w:lineRule="auto" w:line="240"/>
      <w:ind w:firstLineChars="0" w:firstLine="0" w:endChars="0" w:end="0"/>
      <w:jc w:val="start"/>
      <w:rPr/>
    </w:pPr>
    <w:r>
      <w:rPr>
        <w:rFonts w:hint="eastAsia"/>
      </w:rPr>
      <w:drawing>
        <wp:inline distT="0" distB="0" distL="0" distR="0">
          <wp:extent cx="401955" cy="190500"/>
          <wp:effectExtent l="0" t="0" r="0" b="0"/>
          <wp:docPr id="4" name="图片 291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1 副本 1"/>
                  <pic:cNvPicPr>
                    <a:picLocks noChangeAspect="1" noChangeArrowheads="1"/>
                  </pic:cNvPicPr>
                </pic:nvPicPr>
                <pic:blipFill>
                  <a:blip r:embed="rId1"/>
                  <a:srcRect l="-92" t="-145" r="-92" b="26301"/>
                  <a:stretch>
                    <a:fillRect/>
                  </a:stretch>
                </pic:blipFill>
                <pic:spPr bwMode="auto">
                  <a:xfrm>
                    <a:off x="0" y="0"/>
                    <a:ext cx="401955" cy="190500"/>
                  </a:xfrm>
                  <a:prstGeom prst="rect">
                    <a:avLst/>
                  </a:prstGeom>
                  <a:noFill/>
                </pic:spPr>
              </pic:pic>
            </a:graphicData>
          </a:graphic>
        </wp:inline>
      </w:drawing>
    </w:r>
    <w:r>
      <w:rPr>
        <w:rFonts w:hint="eastAsia"/>
      </w:rPr>
      <w:t xml:space="preserve">                                </w:t>
    </w:r>
    <w:r>
      <w:rPr>
        <w:rFonts w:hint="eastAsia"/>
        <w:sz w:val="21"/>
        <w:szCs w:val="21"/>
      </w:rPr>
      <w:t>2026</w:t>
    </w:r>
    <w:r>
      <w:rPr>
        <w:rFonts w:hint="eastAsia"/>
        <w:sz w:val="21"/>
        <w:szCs w:val="21"/>
      </w:rPr>
      <w:t>第八届全球校园人工智能算法精英大赛</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0000"/>
      </w:pBdr>
      <w:tabs>
        <w:tab w:val="clear" w:pos="840"/>
        <w:tab w:val="center" w:pos="4153" w:leader="none"/>
        <w:tab w:val="right" w:pos="8306" w:leader="none"/>
      </w:tabs>
      <w:spacing w:lineRule="auto" w:line="240"/>
      <w:ind w:firstLineChars="0" w:firstLine="0" w:endChars="0" w:end="0"/>
      <w:jc w:val="start"/>
      <w:rPr/>
    </w:pPr>
    <w:r>
      <w:rPr>
        <w:rFonts w:hint="eastAsia"/>
      </w:rPr>
      <w:drawing>
        <wp:inline distT="0" distB="0" distL="0" distR="0">
          <wp:extent cx="401955" cy="190500"/>
          <wp:effectExtent l="0" t="0" r="0" b="0"/>
          <wp:docPr id="5" name="图片 291 副本 1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1 副本 1 副本 1"/>
                  <pic:cNvPicPr>
                    <a:picLocks noChangeAspect="1" noChangeArrowheads="1"/>
                  </pic:cNvPicPr>
                </pic:nvPicPr>
                <pic:blipFill>
                  <a:blip r:embed="rId1"/>
                  <a:srcRect l="-92" t="-145" r="-92" b="26301"/>
                  <a:stretch>
                    <a:fillRect/>
                  </a:stretch>
                </pic:blipFill>
                <pic:spPr bwMode="auto">
                  <a:xfrm>
                    <a:off x="0" y="0"/>
                    <a:ext cx="401955" cy="190500"/>
                  </a:xfrm>
                  <a:prstGeom prst="rect">
                    <a:avLst/>
                  </a:prstGeom>
                  <a:noFill/>
                </pic:spPr>
              </pic:pic>
            </a:graphicData>
          </a:graphic>
        </wp:inline>
      </w:drawing>
    </w:r>
    <w:r>
      <w:rPr>
        <w:rFonts w:hint="eastAsia"/>
      </w:rPr>
      <w:t xml:space="preserve">                                </w:t>
    </w:r>
    <w:r>
      <w:rPr>
        <w:rFonts w:hint="eastAsia"/>
        <w:sz w:val="21"/>
        <w:szCs w:val="21"/>
      </w:rPr>
      <w:t>2026</w:t>
    </w:r>
    <w:r>
      <w:rPr>
        <w:rFonts w:hint="eastAsia"/>
        <w:sz w:val="21"/>
        <w:szCs w:val="21"/>
      </w:rPr>
      <w:t>第八届全球校园人工智能算法精英大赛</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0000"/>
      </w:pBdr>
      <w:tabs>
        <w:tab w:val="clear" w:pos="840"/>
        <w:tab w:val="center" w:pos="4153" w:leader="none"/>
        <w:tab w:val="right" w:pos="8306" w:leader="none"/>
      </w:tabs>
      <w:spacing w:lineRule="auto" w:line="240"/>
      <w:ind w:firstLineChars="0" w:firstLine="0" w:endChars="0" w:end="0"/>
      <w:jc w:val="start"/>
      <w:rPr/>
    </w:pPr>
    <w:r>
      <w:rPr>
        <w:rFonts w:hint="eastAsia"/>
      </w:rPr>
      <w:drawing>
        <wp:inline distT="0" distB="0" distL="0" distR="0">
          <wp:extent cx="401955" cy="190500"/>
          <wp:effectExtent l="0" t="0" r="0" b="0"/>
          <wp:docPr id="8" name="图片 291 副本 1 副本 1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1 副本 1 副本 1 副本 1"/>
                  <pic:cNvPicPr>
                    <a:picLocks noChangeAspect="1" noChangeArrowheads="1"/>
                  </pic:cNvPicPr>
                </pic:nvPicPr>
                <pic:blipFill>
                  <a:blip r:embed="rId1"/>
                  <a:srcRect l="-92" t="-145" r="-92" b="26301"/>
                  <a:stretch>
                    <a:fillRect/>
                  </a:stretch>
                </pic:blipFill>
                <pic:spPr bwMode="auto">
                  <a:xfrm>
                    <a:off x="0" y="0"/>
                    <a:ext cx="401955" cy="190500"/>
                  </a:xfrm>
                  <a:prstGeom prst="rect">
                    <a:avLst/>
                  </a:prstGeom>
                  <a:noFill/>
                </pic:spPr>
              </pic:pic>
            </a:graphicData>
          </a:graphic>
        </wp:inline>
      </w:drawing>
    </w:r>
    <w:r>
      <w:rPr>
        <w:rFonts w:hint="eastAsia"/>
      </w:rPr>
      <w:t xml:space="preserve">                                </w:t>
    </w:r>
    <w:r>
      <w:rPr>
        <w:rFonts w:hint="eastAsia"/>
        <w:sz w:val="21"/>
        <w:szCs w:val="21"/>
      </w:rPr>
      <w:t>2026</w:t>
    </w:r>
    <w:r>
      <w:rPr>
        <w:rFonts w:hint="eastAsia"/>
        <w:sz w:val="21"/>
        <w:szCs w:val="21"/>
      </w:rPr>
      <w:t>第八届全球校园人工智能算法精英大赛</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pPr>
      <w:widowControl w:val="false"/>
      <w:bidi w:val="0"/>
      <w:spacing w:lineRule="auto" w:line="360"/>
      <w:ind w:firstLineChars="200" w:startChars="0" w:start="0" w:endChars="0" w:end="0"/>
      <w:jc w:val="start"/>
    </w:pPr>
    <w:rPr>
      <w:rFonts w:ascii="Times New Roman" w:hAnsi="Times New Roman" w:eastAsia="宋体" w:cs="Times New Roman"/>
      <w:color w:val="auto"/>
      <w:kern w:val="2"/>
      <w:sz w:val="24"/>
      <w:szCs w:val="24"/>
      <w:lang w:bidi="ar-SA" w:val="en-US" w:eastAsia="zh-CN"/>
    </w:rPr>
  </w:style>
  <w:style w:type="paragraph" w:styleId="Heading1">
    <w:name w:val="heading 1"/>
    <w:basedOn w:val="Normal"/>
    <w:next w:val="Normal"/>
    <w:pPr>
      <w:keepNext w:val="true"/>
      <w:keepLines/>
      <w:spacing w:lineRule="auto" w:line="240" w:before="10" w:after="10"/>
      <w:ind w:firstLineChars="200" w:startChars="0" w:start="0" w:endChars="0" w:end="0"/>
      <w:outlineLvl w:val="0"/>
    </w:pPr>
    <w:rPr>
      <w:rFonts w:eastAsia="宋体"/>
      <w:b/>
      <w:kern w:val="2"/>
      <w:sz w:val="32"/>
    </w:rPr>
  </w:style>
  <w:style w:type="paragraph" w:styleId="Heading2">
    <w:name w:val="heading 2"/>
    <w:basedOn w:val="Normal"/>
    <w:next w:val="Normal"/>
    <w:pPr>
      <w:keepNext w:val="true"/>
      <w:keepLines/>
      <w:spacing w:lineRule="auto" w:line="240"/>
      <w:outlineLvl w:val="1"/>
    </w:pPr>
    <w:rPr>
      <w:rFonts w:ascii="Arial" w:hAnsi="Arial" w:cs="Arial"/>
      <w:b/>
      <w:sz w:val="28"/>
    </w:rPr>
  </w:style>
  <w:style w:type="paragraph" w:styleId="Heading3">
    <w:name w:val="heading 3"/>
    <w:basedOn w:val="Normal"/>
    <w:next w:val="Normal"/>
    <w:pPr>
      <w:keepNext w:val="true"/>
      <w:keepLines/>
      <w:spacing w:lineRule="auto" w:line="240"/>
      <w:ind w:firstLineChars="200" w:startChars="0" w:start="0" w:endChars="0" w:end="0"/>
      <w:outlineLvl w:val="2"/>
    </w:pPr>
    <w:rPr>
      <w:b/>
    </w:rPr>
  </w:style>
  <w:style w:type="paragraph" w:styleId="Heading4">
    <w:name w:val="heading 4"/>
    <w:basedOn w:val="Normal"/>
    <w:next w:val="Normal"/>
    <w:pPr>
      <w:keepNext w:val="true"/>
      <w:keepLines/>
      <w:numPr>
        <w:ilvl w:val="3"/>
        <w:numId w:val="1"/>
      </w:numPr>
      <w:spacing w:lineRule="auto" w:line="360"/>
      <w:ind w:firstLineChars="0" w:firstLine="0" w:startChars="0" w:start="0" w:endChars="0" w:end="0"/>
      <w:outlineLvl w:val="3"/>
    </w:pPr>
    <w:rPr>
      <w:rFonts w:ascii="Arial" w:hAnsi="Arial" w:eastAsia="宋体" w:cs="Arial"/>
      <w:sz w:val="21"/>
    </w:rPr>
  </w:style>
  <w:style w:type="character" w:styleId="Style10">
    <w:name w:val="默认段落字体"/>
    <w:rPr/>
  </w:style>
  <w:style w:type="character" w:styleId="3Char">
    <w:name w:val="标题 3 Char"/>
    <w:rPr>
      <w:b/>
    </w:rPr>
  </w:style>
  <w:style w:type="character" w:styleId="Style11">
    <w:name w:val="批注框文本 字符"/>
    <w:rPr>
      <w:sz w:val="18"/>
      <w:szCs w:val="18"/>
    </w:rPr>
  </w:style>
  <w:style w:type="character" w:styleId="Style12">
    <w:name w:val="副标题 字符"/>
    <w:rPr>
      <w:rFonts w:ascii="等线 Light" w:hAnsi="等线 Light" w:cs="Times New Roman"/>
      <w:b/>
      <w:bCs/>
      <w:kern w:val="2"/>
      <w:sz w:val="32"/>
      <w:szCs w:val="32"/>
    </w:rPr>
  </w:style>
  <w:style w:type="character" w:styleId="Style13">
    <w:name w:val="标题 字符"/>
    <w:rPr>
      <w:rFonts w:ascii="等线 Light" w:hAnsi="等线 Light" w:eastAsia="宋体" w:cs="Times New Roman"/>
      <w:b/>
      <w:bCs/>
      <w:kern w:val="2"/>
      <w:sz w:val="44"/>
      <w:szCs w:val="32"/>
    </w:rPr>
  </w:style>
  <w:style w:type="character" w:styleId="Hyperlink">
    <w:name w:val="Hyperlink"/>
    <w:rPr>
      <w:color w:val="0563C1"/>
      <w:u w:val="single"/>
    </w:rPr>
  </w:style>
  <w:style w:type="character" w:styleId="Style14">
    <w:name w:val="索引链接"/>
    <w:rPr/>
  </w:style>
  <w:style w:type="paragraph" w:styleId="Style15">
    <w:name w:val="标题样式"/>
    <w:basedOn w:val="Normal"/>
    <w:next w:val="Normal"/>
    <w:pPr>
      <w:spacing w:before="240" w:after="60"/>
      <w:jc w:val="center"/>
      <w:outlineLvl w:val="0"/>
    </w:pPr>
    <w:rPr>
      <w:rFonts w:ascii="等线 Light" w:hAnsi="等线 Light" w:cs="Times New Roman"/>
      <w:b/>
      <w:bCs/>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6">
    <w:name w:val="索引"/>
    <w:basedOn w:val="Normal"/>
    <w:pPr>
      <w:suppressLineNumbers/>
    </w:pPr>
    <w:rPr>
      <w:rFonts w:cs="Lucida Sans"/>
    </w:rPr>
  </w:style>
  <w:style w:type="paragraph" w:styleId="TOC3">
    <w:name w:val="toc 3"/>
    <w:basedOn w:val="Normal"/>
    <w:next w:val="Normal"/>
    <w:pPr>
      <w:ind w:firstLineChars="200" w:startChars="400" w:endChars="0" w:end="0"/>
    </w:pPr>
    <w:rPr/>
  </w:style>
  <w:style w:type="paragraph" w:styleId="Style17">
    <w:name w:val="批注框文本"/>
    <w:basedOn w:val="Normal"/>
    <w:pPr/>
    <w:rPr>
      <w:sz w:val="18"/>
      <w:szCs w:val="18"/>
    </w:rPr>
  </w:style>
  <w:style w:type="paragraph" w:styleId="Style18">
    <w:name w:val="页眉与页脚"/>
    <w:basedOn w:val="Normal"/>
    <w:pPr>
      <w:suppressLineNumbers/>
      <w:tabs>
        <w:tab w:val="clear" w:pos="840"/>
        <w:tab w:val="center" w:pos="4819" w:leader="none"/>
        <w:tab w:val="right" w:pos="9638" w:leader="none"/>
      </w:tabs>
    </w:pPr>
    <w:rPr/>
  </w:style>
  <w:style w:type="paragraph" w:styleId="Footer">
    <w:name w:val="footer"/>
    <w:basedOn w:val="Normal"/>
    <w:pPr>
      <w:tabs>
        <w:tab w:val="clear" w:pos="840"/>
        <w:tab w:val="center" w:pos="4153" w:leader="none"/>
        <w:tab w:val="right" w:pos="8306" w:leader="none"/>
      </w:tabs>
      <w:snapToGrid w:val="false"/>
      <w:jc w:val="start"/>
    </w:pPr>
    <w:rPr>
      <w:sz w:val="18"/>
    </w:rPr>
  </w:style>
  <w:style w:type="paragraph" w:styleId="TOC1">
    <w:name w:val="toc 1"/>
    <w:basedOn w:val="Normal"/>
    <w:next w:val="Normal"/>
    <w:pPr>
      <w:tabs>
        <w:tab w:val="clear" w:pos="840"/>
        <w:tab w:val="right" w:pos="8296" w:leader="dot"/>
      </w:tabs>
      <w:spacing w:lineRule="auto" w:line="360"/>
      <w:ind w:firstLineChars="0" w:firstLine="0" w:startChars="0" w:start="0" w:endChars="0" w:end="0"/>
    </w:pPr>
    <w:rPr>
      <w:rFonts w:eastAsia="黑体" w:cs="Times New Roman"/>
    </w:rPr>
  </w:style>
  <w:style w:type="paragraph" w:styleId="Subtitle">
    <w:name w:val="Subtitle"/>
    <w:basedOn w:val="Normal"/>
    <w:next w:val="Normal"/>
    <w:pPr>
      <w:spacing w:lineRule="auto" w:line="312" w:before="240" w:after="60"/>
      <w:jc w:val="center"/>
      <w:outlineLvl w:val="1"/>
    </w:pPr>
    <w:rPr>
      <w:rFonts w:ascii="等线 Light" w:hAnsi="等线 Light" w:cs="Times New Roman"/>
      <w:b/>
      <w:bCs/>
      <w:kern w:val="2"/>
      <w:sz w:val="32"/>
      <w:szCs w:val="32"/>
    </w:rPr>
  </w:style>
  <w:style w:type="paragraph" w:styleId="TOC2">
    <w:name w:val="toc 2"/>
    <w:basedOn w:val="Normal"/>
    <w:next w:val="Normal"/>
    <w:pPr>
      <w:tabs>
        <w:tab w:val="clear" w:pos="840"/>
        <w:tab w:val="right" w:pos="7927" w:leader="dot"/>
      </w:tabs>
      <w:ind w:firstLineChars="200" w:startChars="0" w:start="0" w:endChars="0" w:end="0"/>
      <w:jc w:val="end"/>
    </w:pPr>
    <w:rPr>
      <w:rFonts w:eastAsia="宋体"/>
    </w:rPr>
  </w:style>
  <w:style w:type="paragraph" w:styleId="Style19">
    <w:name w:val="普通(网站)"/>
    <w:basedOn w:val="Normal"/>
    <w:pPr>
      <w:widowControl/>
      <w:spacing w:before="280" w:after="280"/>
      <w:jc w:val="start"/>
    </w:pPr>
    <w:rPr>
      <w:rFonts w:ascii="宋体" w:hAnsi="宋体" w:eastAsia="宋体" w:cs="Times New Roman"/>
      <w:kern w:val="0"/>
      <w:sz w:val="24"/>
    </w:rPr>
  </w:style>
  <w:style w:type="paragraph" w:styleId="Style20">
    <w:name w:val="框架内容"/>
    <w:basedOn w:val="Normal"/>
    <w:pPr/>
    <w:rPr/>
  </w:style>
  <w:style w:type="paragraph" w:styleId="Header">
    <w:name w:val="header"/>
    <w:basedOn w:val="Style18"/>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2.png"/><Relationship Id="rId14" Type="http://schemas.openxmlformats.org/officeDocument/2006/relationships/image" Target="media/image2.png"/><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2025-08-04T19:03:00Z</dcterms:created>
  <dc:creator>Windows User</dc:creator>
  <dc:description/>
  <dc:language>zh-CN</dc:language>
  <cp:lastModifiedBy>JSAI黄颜</cp:lastModifiedBy>
  <dcterms:modified xsi:type="dcterms:W3CDTF">2026-08-17T08:49:36Z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DACA659879734AFCB988ED74E26BFAA7_13</vt:lpwstr>
  </property>
  <property fmtid="{D5CDD505-2E9C-101B-9397-08002B2CF9AE}" pid="3" name="KSOProductBuildVer">
    <vt:lpwstr>2052-12.1.0.28043</vt:lpwstr>
  </property>
  <property fmtid="{D5CDD505-2E9C-101B-9397-08002B2CF9AE}" pid="4" name="KSOTemplateDocerSaveRecord">
    <vt:lpwstr>eyJoZGlkIjoiNzc4ZGQwZjkwZDM0YjQ1YTc0OTg3ZWRhY2E2ODE2ZGUiLCJ1c2VySWQiOiIxNTkzMzY4NjcxIn0=</vt:lpwstr>
  </property>
</Properties>
</file>