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8523B" w14:textId="1B471B3A" w:rsidR="00503DDE" w:rsidRDefault="00E651F7">
      <w:pP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pháp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chống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suy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thoái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tư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tưởng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chính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trị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đạo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đức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lối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sống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nhằm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ngăn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ngừa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tham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nhũng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11EC2E4E" w14:textId="6AF8B6C1" w:rsidR="00E651F7" w:rsidRDefault="00E651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dục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XII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ra.</w:t>
      </w:r>
    </w:p>
    <w:p w14:paraId="6287FCD4" w14:textId="715A0A51" w:rsidR="00E651F7" w:rsidRDefault="00E651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Hai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vệ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64AC029" w14:textId="32D1F60D" w:rsidR="00E651F7" w:rsidRDefault="00E651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651F7">
        <w:rPr>
          <w:rFonts w:ascii="Arial" w:hAnsi="Arial" w:cs="Arial"/>
          <w:color w:val="333333"/>
          <w:sz w:val="32"/>
          <w:szCs w:val="32"/>
          <w:shd w:val="clear" w:color="auto" w:fill="FFFFFF"/>
          <w:vertAlign w:val="subscript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XHCN.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Đẩy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nhằm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nâng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XHCN.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BD91DAD" w14:textId="4F6137A7" w:rsidR="00E651F7" w:rsidRDefault="00E651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Bốn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nghiêm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kịp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FA0D117" w14:textId="484997DB" w:rsidR="00E651F7" w:rsidRDefault="00E651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kịp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địch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 </w:t>
      </w:r>
    </w:p>
    <w:p w14:paraId="4A537E01" w14:textId="22255FF3" w:rsidR="00E651F7" w:rsidRDefault="00E651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Sáu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chặt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nhũng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liêu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cửa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thoái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EDEBBE1" w14:textId="06F4FCD0" w:rsidR="00E651F7" w:rsidRDefault="00E651F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Link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hyperlink r:id="rId4" w:history="1">
        <w:r w:rsidRPr="00FB3D4F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https://www.moha.gov.vn/danh-muc/dau-tranh-chong-suy-thoai-ve-tu-tuong-chinh-tri-dao-duc-loi-song-gop-phan-ngan-ngua-tham-nhung-40952.html</w:t>
        </w:r>
      </w:hyperlink>
    </w:p>
    <w:p w14:paraId="77AE7E57" w14:textId="58085E57" w:rsidR="00E651F7" w:rsidRDefault="00E651F7" w:rsidP="00E651F7">
      <w:pPr>
        <w:rPr>
          <w:sz w:val="40"/>
          <w:szCs w:val="40"/>
          <w:vertAlign w:val="subscript"/>
        </w:rPr>
      </w:pPr>
      <w:proofErr w:type="spellStart"/>
      <w:r w:rsidRPr="00E651F7">
        <w:rPr>
          <w:sz w:val="40"/>
          <w:szCs w:val="40"/>
          <w:vertAlign w:val="subscript"/>
        </w:rPr>
        <w:t>Lực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lượng</w:t>
      </w:r>
      <w:proofErr w:type="spellEnd"/>
      <w:r w:rsidRPr="00E651F7">
        <w:rPr>
          <w:sz w:val="40"/>
          <w:szCs w:val="40"/>
          <w:vertAlign w:val="subscript"/>
        </w:rPr>
        <w:t xml:space="preserve"> lao </w:t>
      </w:r>
      <w:proofErr w:type="spellStart"/>
      <w:r w:rsidRPr="00E651F7">
        <w:rPr>
          <w:sz w:val="40"/>
          <w:szCs w:val="40"/>
          <w:vertAlign w:val="subscript"/>
        </w:rPr>
        <w:t>động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đông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tuy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nhiên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năng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suất</w:t>
      </w:r>
      <w:proofErr w:type="spellEnd"/>
      <w:r w:rsidRPr="00E651F7">
        <w:rPr>
          <w:sz w:val="40"/>
          <w:szCs w:val="40"/>
          <w:vertAlign w:val="subscript"/>
        </w:rPr>
        <w:t xml:space="preserve"> lao </w:t>
      </w:r>
      <w:proofErr w:type="spellStart"/>
      <w:r w:rsidRPr="00E651F7">
        <w:rPr>
          <w:sz w:val="40"/>
          <w:szCs w:val="40"/>
          <w:vertAlign w:val="subscript"/>
        </w:rPr>
        <w:t>động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thấp</w:t>
      </w:r>
      <w:proofErr w:type="spellEnd"/>
      <w:r w:rsidRPr="00E651F7">
        <w:rPr>
          <w:sz w:val="40"/>
          <w:szCs w:val="40"/>
          <w:vertAlign w:val="subscript"/>
        </w:rPr>
        <w:t xml:space="preserve">, </w:t>
      </w:r>
      <w:proofErr w:type="spellStart"/>
      <w:r w:rsidRPr="00E651F7">
        <w:rPr>
          <w:sz w:val="40"/>
          <w:szCs w:val="40"/>
          <w:vertAlign w:val="subscript"/>
        </w:rPr>
        <w:t>không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có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đủ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nguồn</w:t>
      </w:r>
      <w:proofErr w:type="spellEnd"/>
      <w:r w:rsidRPr="00E651F7">
        <w:rPr>
          <w:sz w:val="40"/>
          <w:szCs w:val="40"/>
          <w:vertAlign w:val="subscript"/>
        </w:rPr>
        <w:t xml:space="preserve"> lao </w:t>
      </w:r>
      <w:proofErr w:type="spellStart"/>
      <w:r w:rsidRPr="00E651F7">
        <w:rPr>
          <w:sz w:val="40"/>
          <w:szCs w:val="40"/>
          <w:vertAlign w:val="subscript"/>
        </w:rPr>
        <w:t>động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chất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lượng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cao</w:t>
      </w:r>
      <w:proofErr w:type="spellEnd"/>
      <w:r w:rsidRPr="00E651F7">
        <w:rPr>
          <w:sz w:val="40"/>
          <w:szCs w:val="40"/>
          <w:vertAlign w:val="subscript"/>
        </w:rPr>
        <w:t xml:space="preserve">, </w:t>
      </w:r>
      <w:proofErr w:type="spellStart"/>
      <w:r w:rsidRPr="00E651F7">
        <w:rPr>
          <w:sz w:val="40"/>
          <w:szCs w:val="40"/>
          <w:vertAlign w:val="subscript"/>
        </w:rPr>
        <w:t>xuất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hiện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hiện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tượng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chảy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máu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chất</w:t>
      </w:r>
      <w:proofErr w:type="spellEnd"/>
      <w:r w:rsidRPr="00E651F7">
        <w:rPr>
          <w:sz w:val="40"/>
          <w:szCs w:val="40"/>
          <w:vertAlign w:val="subscript"/>
        </w:rPr>
        <w:t xml:space="preserve"> </w:t>
      </w:r>
      <w:proofErr w:type="spellStart"/>
      <w:r w:rsidRPr="00E651F7">
        <w:rPr>
          <w:sz w:val="40"/>
          <w:szCs w:val="40"/>
          <w:vertAlign w:val="subscript"/>
        </w:rPr>
        <w:t>xám</w:t>
      </w:r>
      <w:proofErr w:type="spellEnd"/>
      <w:r>
        <w:rPr>
          <w:sz w:val="40"/>
          <w:szCs w:val="40"/>
          <w:vertAlign w:val="subscript"/>
        </w:rPr>
        <w:t>:</w:t>
      </w:r>
    </w:p>
    <w:p w14:paraId="322CD430" w14:textId="77777777" w:rsidR="00E651F7" w:rsidRDefault="00E651F7" w:rsidP="00E651F7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Khoảng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70%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tốt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ngoài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quay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5" w:anchor="cite_note-Bay_v%C3%BAt-15" w:history="1">
        <w:r>
          <w:rPr>
            <w:rStyle w:val="Siuktni"/>
            <w:rFonts w:ascii="Arial" w:hAnsi="Arial" w:cs="Arial"/>
            <w:color w:val="0B0080"/>
            <w:sz w:val="17"/>
            <w:szCs w:val="17"/>
            <w:vertAlign w:val="superscript"/>
          </w:rPr>
          <w:t>[15]</w:t>
        </w:r>
      </w:hyperlink>
    </w:p>
    <w:p w14:paraId="7CD50528" w14:textId="77777777" w:rsidR="00E651F7" w:rsidRDefault="00E651F7" w:rsidP="00E651F7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"https://vi.wikipedia.org/wiki/%C4%90%C6%B0%E1%BB%9Dng_l%C3%AAn_%C4%91%E1%BB%89nh_Olympia" \o "Đường lên đỉnh Olympia"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Siuktni"/>
          <w:rFonts w:ascii="Arial" w:hAnsi="Arial" w:cs="Arial"/>
          <w:color w:val="0B0080"/>
          <w:sz w:val="21"/>
          <w:szCs w:val="21"/>
        </w:rPr>
        <w:t>Đường</w:t>
      </w:r>
      <w:proofErr w:type="spellEnd"/>
      <w:r>
        <w:rPr>
          <w:rStyle w:val="Siuktni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Siuktni"/>
          <w:rFonts w:ascii="Arial" w:hAnsi="Arial" w:cs="Arial"/>
          <w:color w:val="0B0080"/>
          <w:sz w:val="21"/>
          <w:szCs w:val="21"/>
        </w:rPr>
        <w:t>lên</w:t>
      </w:r>
      <w:proofErr w:type="spellEnd"/>
      <w:r>
        <w:rPr>
          <w:rStyle w:val="Siuktni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Siuktni"/>
          <w:rFonts w:ascii="Arial" w:hAnsi="Arial" w:cs="Arial"/>
          <w:color w:val="0B0080"/>
          <w:sz w:val="21"/>
          <w:szCs w:val="21"/>
        </w:rPr>
        <w:t>đỉnh</w:t>
      </w:r>
      <w:proofErr w:type="spellEnd"/>
      <w:r>
        <w:rPr>
          <w:rStyle w:val="Siuktni"/>
          <w:rFonts w:ascii="Arial" w:hAnsi="Arial" w:cs="Arial"/>
          <w:color w:val="0B0080"/>
          <w:sz w:val="21"/>
          <w:szCs w:val="21"/>
        </w:rPr>
        <w:t xml:space="preserve"> Olympia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1999,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Swinburne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Úc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tặng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100%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bổng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á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tặng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50%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bổng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nay,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quán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tốt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6" w:anchor="cite_note-16" w:history="1">
        <w:r>
          <w:rPr>
            <w:rStyle w:val="Siuktni"/>
            <w:rFonts w:ascii="Arial" w:hAnsi="Arial" w:cs="Arial"/>
            <w:color w:val="0B0080"/>
            <w:sz w:val="17"/>
            <w:szCs w:val="17"/>
            <w:vertAlign w:val="superscript"/>
          </w:rPr>
          <w:t>[16]</w:t>
        </w:r>
      </w:hyperlink>
    </w:p>
    <w:p w14:paraId="1333D9ED" w14:textId="77777777" w:rsidR="00E651F7" w:rsidRDefault="00E651F7" w:rsidP="00E651F7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Ở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xưa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lưu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14:paraId="473C1F75" w14:textId="77777777" w:rsidR="00E651F7" w:rsidRDefault="00E651F7" w:rsidP="00E651F7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"Con </w:t>
      </w:r>
      <w:proofErr w:type="spellStart"/>
      <w:r>
        <w:rPr>
          <w:color w:val="000000"/>
          <w:sz w:val="21"/>
          <w:szCs w:val="21"/>
        </w:rPr>
        <w:t>vua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thì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lại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làm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vua</w:t>
      </w:r>
      <w:proofErr w:type="spellEnd"/>
      <w:r>
        <w:rPr>
          <w:color w:val="000000"/>
          <w:sz w:val="21"/>
          <w:szCs w:val="21"/>
        </w:rPr>
        <w:t xml:space="preserve">, </w:t>
      </w:r>
    </w:p>
    <w:p w14:paraId="688F947B" w14:textId="77777777" w:rsidR="00E651F7" w:rsidRDefault="00E651F7" w:rsidP="00E651F7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 </w:t>
      </w:r>
      <w:proofErr w:type="spellStart"/>
      <w:r>
        <w:rPr>
          <w:color w:val="000000"/>
          <w:sz w:val="21"/>
          <w:szCs w:val="21"/>
        </w:rPr>
        <w:t>sãi</w:t>
      </w:r>
      <w:proofErr w:type="spellEnd"/>
      <w:r>
        <w:rPr>
          <w:color w:val="000000"/>
          <w:sz w:val="21"/>
          <w:szCs w:val="21"/>
        </w:rPr>
        <w:t xml:space="preserve"> ở </w:t>
      </w:r>
      <w:proofErr w:type="spellStart"/>
      <w:r>
        <w:rPr>
          <w:color w:val="000000"/>
          <w:sz w:val="21"/>
          <w:szCs w:val="21"/>
        </w:rPr>
        <w:t>chùa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lại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quét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lá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đa</w:t>
      </w:r>
      <w:proofErr w:type="spellEnd"/>
      <w:r>
        <w:rPr>
          <w:color w:val="000000"/>
          <w:sz w:val="21"/>
          <w:szCs w:val="21"/>
        </w:rPr>
        <w:t xml:space="preserve">. </w:t>
      </w:r>
    </w:p>
    <w:p w14:paraId="67402FBD" w14:textId="77777777" w:rsidR="00E651F7" w:rsidRDefault="00E651F7" w:rsidP="00E651F7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Bao </w:t>
      </w:r>
      <w:proofErr w:type="spellStart"/>
      <w:r>
        <w:rPr>
          <w:color w:val="000000"/>
          <w:sz w:val="21"/>
          <w:szCs w:val="21"/>
        </w:rPr>
        <w:t>giờ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dân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nổi</w:t>
      </w:r>
      <w:proofErr w:type="spellEnd"/>
      <w:r>
        <w:rPr>
          <w:color w:val="000000"/>
          <w:sz w:val="21"/>
          <w:szCs w:val="21"/>
        </w:rPr>
        <w:t xml:space="preserve"> can qua,</w:t>
      </w:r>
    </w:p>
    <w:p w14:paraId="24744592" w14:textId="77777777" w:rsidR="00E651F7" w:rsidRDefault="00E651F7" w:rsidP="00E651F7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 </w:t>
      </w:r>
      <w:proofErr w:type="spellStart"/>
      <w:r>
        <w:rPr>
          <w:color w:val="000000"/>
          <w:sz w:val="21"/>
          <w:szCs w:val="21"/>
        </w:rPr>
        <w:t>vua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thất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thế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lại</w:t>
      </w:r>
      <w:proofErr w:type="spellEnd"/>
      <w:r>
        <w:rPr>
          <w:color w:val="000000"/>
          <w:sz w:val="21"/>
          <w:szCs w:val="21"/>
        </w:rPr>
        <w:t xml:space="preserve"> ra </w:t>
      </w:r>
      <w:proofErr w:type="spellStart"/>
      <w:r>
        <w:rPr>
          <w:color w:val="000000"/>
          <w:sz w:val="21"/>
          <w:szCs w:val="21"/>
        </w:rPr>
        <w:t>quét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chùa</w:t>
      </w:r>
      <w:proofErr w:type="spellEnd"/>
      <w:r>
        <w:rPr>
          <w:color w:val="000000"/>
          <w:sz w:val="21"/>
          <w:szCs w:val="21"/>
        </w:rPr>
        <w:t>."</w:t>
      </w:r>
    </w:p>
    <w:p w14:paraId="5C2A541D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r>
        <w:rPr>
          <w:color w:val="000711"/>
        </w:rPr>
        <w:t> 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đáp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ứng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yêu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đòi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hỏi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đồng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thống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mang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quy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hoạch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bồi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dưỡng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trọng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cụ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sau</w:t>
      </w:r>
      <w:proofErr w:type="spellEnd"/>
      <w:r>
        <w:rPr>
          <w:color w:val="000711"/>
        </w:rPr>
        <w:t>:</w:t>
      </w:r>
    </w:p>
    <w:p w14:paraId="5EE9C270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proofErr w:type="spellStart"/>
      <w:r>
        <w:rPr>
          <w:i/>
          <w:iCs/>
          <w:color w:val="000711"/>
        </w:rPr>
        <w:t>Một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là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nâng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nhận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thức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ngũ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về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coi</w:t>
      </w:r>
      <w:proofErr w:type="spellEnd"/>
      <w:r>
        <w:rPr>
          <w:color w:val="000711"/>
        </w:rPr>
        <w:t xml:space="preserve"> lao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một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loại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hình</w:t>
      </w:r>
      <w:proofErr w:type="spellEnd"/>
      <w:r>
        <w:rPr>
          <w:color w:val="000711"/>
        </w:rPr>
        <w:t xml:space="preserve"> lao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đặc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do </w:t>
      </w:r>
      <w:proofErr w:type="spellStart"/>
      <w:r>
        <w:rPr>
          <w:color w:val="000711"/>
        </w:rPr>
        <w:t>vậy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hợp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tổ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chức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>. </w:t>
      </w:r>
    </w:p>
    <w:p w14:paraId="48D51DBA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r>
        <w:rPr>
          <w:i/>
          <w:iCs/>
          <w:color w:val="000711"/>
        </w:rPr>
        <w:lastRenderedPageBreak/>
        <w:t xml:space="preserve">Hai </w:t>
      </w:r>
      <w:proofErr w:type="spellStart"/>
      <w:r>
        <w:rPr>
          <w:i/>
          <w:iCs/>
          <w:color w:val="000711"/>
        </w:rPr>
        <w:t>là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tầm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nhìn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về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khai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bản</w:t>
      </w:r>
      <w:proofErr w:type="spellEnd"/>
      <w:r>
        <w:rPr>
          <w:color w:val="000711"/>
        </w:rPr>
        <w:t xml:space="preserve">,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hoạch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kế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khắc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phục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thiếu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hướng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xem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xét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cấp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bậc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phổ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thông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sau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ngành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lĩnh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-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liền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yêu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yêu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thứ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nhập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chú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ngành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lĩnh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mang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xuyên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ngành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số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hóa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mang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cầu</w:t>
      </w:r>
      <w:proofErr w:type="spellEnd"/>
      <w:r>
        <w:rPr>
          <w:color w:val="000711"/>
        </w:rPr>
        <w:t>.</w:t>
      </w:r>
    </w:p>
    <w:p w14:paraId="32E236A6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proofErr w:type="spellStart"/>
      <w:r>
        <w:rPr>
          <w:color w:val="000711"/>
        </w:rPr>
        <w:t>Quy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hoạch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kế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chặt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chẽ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hoạch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kế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-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quan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ổn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giữa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doanh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nâng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ứng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phẩm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>.</w:t>
      </w:r>
    </w:p>
    <w:p w14:paraId="2B573C1F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r>
        <w:rPr>
          <w:i/>
          <w:iCs/>
          <w:color w:val="000711"/>
        </w:rPr>
        <w:t xml:space="preserve">Ba </w:t>
      </w:r>
      <w:proofErr w:type="spellStart"/>
      <w:r>
        <w:rPr>
          <w:i/>
          <w:iCs/>
          <w:color w:val="000711"/>
        </w:rPr>
        <w:t>là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bao </w:t>
      </w:r>
      <w:proofErr w:type="spellStart"/>
      <w:r>
        <w:rPr>
          <w:color w:val="000711"/>
        </w:rPr>
        <w:t>gồm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liền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lĩnh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nuôi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dưỡng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trẻ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ngành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tổng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tâm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gắn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lâu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sự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đủ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chỉ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những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vấn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đề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yếu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>.</w:t>
      </w:r>
    </w:p>
    <w:p w14:paraId="4CAA457B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proofErr w:type="spellStart"/>
      <w:r>
        <w:rPr>
          <w:color w:val="000711"/>
        </w:rPr>
        <w:t>Chú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trọng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tập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làm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tổ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chức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cứu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trường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ngoài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tăng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lưu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trao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song </w:t>
      </w:r>
      <w:proofErr w:type="spellStart"/>
      <w:r>
        <w:rPr>
          <w:color w:val="000711"/>
        </w:rPr>
        <w:t>phương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phương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đồng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hợp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cứu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ngoài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mở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rộng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chương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ở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ngoài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cọ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môi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cứu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. Ban </w:t>
      </w:r>
      <w:proofErr w:type="spellStart"/>
      <w:r>
        <w:rPr>
          <w:color w:val="000711"/>
        </w:rPr>
        <w:t>hành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mang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bắt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buộc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về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lại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tùy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lĩnh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cụ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thể</w:t>
      </w:r>
      <w:proofErr w:type="spellEnd"/>
      <w:r>
        <w:rPr>
          <w:color w:val="000711"/>
        </w:rPr>
        <w:t>.</w:t>
      </w:r>
    </w:p>
    <w:p w14:paraId="3B385FD1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proofErr w:type="spellStart"/>
      <w:r>
        <w:rPr>
          <w:i/>
          <w:iCs/>
          <w:color w:val="000711"/>
        </w:rPr>
        <w:t>Bốn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là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hướng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đồng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bộ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toàn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lượng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 bao </w:t>
      </w:r>
      <w:proofErr w:type="spellStart"/>
      <w:r>
        <w:rPr>
          <w:color w:val="000711"/>
        </w:rPr>
        <w:t>gồm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chính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tiền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lương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thu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nhập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tôn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vinh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ghi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nhận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đối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đóng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góp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cống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thức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môi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sống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</w:t>
      </w:r>
      <w:proofErr w:type="spellEnd"/>
      <w:r>
        <w:rPr>
          <w:color w:val="000711"/>
        </w:rPr>
        <w:t xml:space="preserve">; </w:t>
      </w:r>
      <w:proofErr w:type="spellStart"/>
      <w:r>
        <w:rPr>
          <w:color w:val="000711"/>
        </w:rPr>
        <w:t>hạ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tầng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cứu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tiến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văn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hóa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chế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phương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thức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lương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thù</w:t>
      </w:r>
      <w:proofErr w:type="spellEnd"/>
      <w:r>
        <w:rPr>
          <w:color w:val="000711"/>
        </w:rPr>
        <w:t xml:space="preserve"> lao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khu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giới</w:t>
      </w:r>
      <w:proofErr w:type="spellEnd"/>
      <w:r>
        <w:rPr>
          <w:color w:val="000711"/>
        </w:rPr>
        <w:t>.</w:t>
      </w:r>
    </w:p>
    <w:p w14:paraId="7CC0B07C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proofErr w:type="spellStart"/>
      <w:r>
        <w:rPr>
          <w:i/>
          <w:iCs/>
          <w:color w:val="000711"/>
        </w:rPr>
        <w:t>Năm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là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quản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lý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đón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đầu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khai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sử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dụng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sinh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nghiên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cứu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sinh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giỏi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người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Việt</w:t>
      </w:r>
      <w:proofErr w:type="spellEnd"/>
      <w:r>
        <w:rPr>
          <w:color w:val="000711"/>
        </w:rPr>
        <w:t xml:space="preserve"> Nam ở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ngoài</w:t>
      </w:r>
      <w:proofErr w:type="spellEnd"/>
      <w:r>
        <w:rPr>
          <w:color w:val="000711"/>
        </w:rPr>
        <w:t xml:space="preserve">. Song </w:t>
      </w:r>
      <w:proofErr w:type="spellStart"/>
      <w:r>
        <w:rPr>
          <w:color w:val="000711"/>
        </w:rPr>
        <w:t>song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ngưỡng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xây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dựng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một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số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sở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cứu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môi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trường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chuyên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theo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hợp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với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đặc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hút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giữ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được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giỏi</w:t>
      </w:r>
      <w:proofErr w:type="spellEnd"/>
      <w:r>
        <w:rPr>
          <w:color w:val="000711"/>
        </w:rPr>
        <w:t xml:space="preserve"> ở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hút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ngoài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đến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Thực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tiễn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thấy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môi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cứu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chuyên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tố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ý </w:t>
      </w:r>
      <w:proofErr w:type="spellStart"/>
      <w:r>
        <w:rPr>
          <w:color w:val="000711"/>
        </w:rPr>
        <w:t>nghĩa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quyết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định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hút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giữ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</w:t>
      </w:r>
      <w:r>
        <w:rPr>
          <w:color w:val="000711"/>
        </w:rPr>
        <w:lastRenderedPageBreak/>
        <w:t xml:space="preserve">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giỏi</w:t>
      </w:r>
      <w:proofErr w:type="spellEnd"/>
      <w:r>
        <w:rPr>
          <w:color w:val="000711"/>
        </w:rPr>
        <w:t xml:space="preserve">. Do </w:t>
      </w:r>
      <w:proofErr w:type="spellStart"/>
      <w:r>
        <w:rPr>
          <w:color w:val="000711"/>
        </w:rPr>
        <w:t>vậy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cần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hợp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đổi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thuật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giao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lưu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quốc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tế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cập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nhật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nâng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cao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trình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ngũ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trong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>.</w:t>
      </w:r>
    </w:p>
    <w:p w14:paraId="073F83E7" w14:textId="77777777" w:rsidR="00E651F7" w:rsidRDefault="00E651F7" w:rsidP="00E651F7">
      <w:pPr>
        <w:pStyle w:val="ThngthngWeb"/>
        <w:spacing w:before="0" w:beforeAutospacing="0" w:after="240" w:afterAutospacing="0"/>
        <w:jc w:val="both"/>
        <w:rPr>
          <w:rFonts w:ascii="Arial" w:hAnsi="Arial" w:cs="Arial"/>
          <w:color w:val="000711"/>
        </w:rPr>
      </w:pPr>
      <w:proofErr w:type="spellStart"/>
      <w:r>
        <w:rPr>
          <w:i/>
          <w:iCs/>
          <w:color w:val="000711"/>
        </w:rPr>
        <w:t>Sáu</w:t>
      </w:r>
      <w:proofErr w:type="spellEnd"/>
      <w:r>
        <w:rPr>
          <w:i/>
          <w:iCs/>
          <w:color w:val="000711"/>
        </w:rPr>
        <w:t xml:space="preserve"> </w:t>
      </w:r>
      <w:proofErr w:type="spellStart"/>
      <w:r>
        <w:rPr>
          <w:i/>
          <w:iCs/>
          <w:color w:val="000711"/>
        </w:rPr>
        <w:t>là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đẩy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mạnh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xã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hội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hóa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có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hiệu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quả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ngoài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nước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nhất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từ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doanh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nghiệp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hoạt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đào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tạo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bồi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dưỡng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nguồn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. </w:t>
      </w:r>
      <w:proofErr w:type="spellStart"/>
      <w:r>
        <w:rPr>
          <w:color w:val="000711"/>
        </w:rPr>
        <w:t>Tăng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cường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huy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động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đầu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tư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ngoài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sách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để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phát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triển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tiềm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đặc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biệt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cơ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sở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chất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kỹ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thuật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của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các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tổ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chức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 xml:space="preserve">, </w:t>
      </w:r>
      <w:proofErr w:type="spellStart"/>
      <w:r>
        <w:rPr>
          <w:color w:val="000711"/>
        </w:rPr>
        <w:t>góp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phần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cải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thiện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điều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kiện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làm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việc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cho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nhân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lực</w:t>
      </w:r>
      <w:proofErr w:type="spellEnd"/>
      <w:r>
        <w:rPr>
          <w:color w:val="000711"/>
        </w:rPr>
        <w:t xml:space="preserve"> khoa </w:t>
      </w:r>
      <w:proofErr w:type="spellStart"/>
      <w:r>
        <w:rPr>
          <w:color w:val="000711"/>
        </w:rPr>
        <w:t>học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và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công</w:t>
      </w:r>
      <w:proofErr w:type="spellEnd"/>
      <w:r>
        <w:rPr>
          <w:color w:val="000711"/>
        </w:rPr>
        <w:t xml:space="preserve"> </w:t>
      </w:r>
      <w:proofErr w:type="spellStart"/>
      <w:r>
        <w:rPr>
          <w:color w:val="000711"/>
        </w:rPr>
        <w:t>nghệ</w:t>
      </w:r>
      <w:proofErr w:type="spellEnd"/>
      <w:r>
        <w:rPr>
          <w:color w:val="000711"/>
        </w:rPr>
        <w:t>.</w:t>
      </w:r>
    </w:p>
    <w:p w14:paraId="54181D4D" w14:textId="77777777" w:rsidR="00E651F7" w:rsidRPr="00E651F7" w:rsidRDefault="00E651F7" w:rsidP="00E651F7">
      <w:pPr>
        <w:rPr>
          <w:sz w:val="40"/>
          <w:szCs w:val="40"/>
          <w:vertAlign w:val="subscript"/>
        </w:rPr>
      </w:pPr>
    </w:p>
    <w:p w14:paraId="5E73AE86" w14:textId="59498ED3" w:rsidR="00E651F7" w:rsidRPr="00E651F7" w:rsidRDefault="00E651F7">
      <w:pPr>
        <w:rPr>
          <w:vertAlign w:val="subscript"/>
        </w:rPr>
      </w:pPr>
    </w:p>
    <w:sectPr w:rsidR="00E651F7" w:rsidRPr="00E651F7" w:rsidSect="007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F7"/>
    <w:rsid w:val="000A6788"/>
    <w:rsid w:val="00503DDE"/>
    <w:rsid w:val="00712FA3"/>
    <w:rsid w:val="00E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7BCC1"/>
  <w15:chartTrackingRefBased/>
  <w15:docId w15:val="{E395833C-47EF-4B7D-99A4-F8041FB4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651F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51F7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E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6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65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Ch%E1%BA%A3y_m%C3%A1u_ch%E1%BA%A5t_x%C3%A1m" TargetMode="External"/><Relationship Id="rId5" Type="http://schemas.openxmlformats.org/officeDocument/2006/relationships/hyperlink" Target="https://vi.wikipedia.org/wiki/Ch%E1%BA%A3y_m%C3%A1u_ch%E1%BA%A5t_x%C3%A1m" TargetMode="External"/><Relationship Id="rId4" Type="http://schemas.openxmlformats.org/officeDocument/2006/relationships/hyperlink" Target="https://www.moha.gov.vn/danh-muc/dau-tranh-chong-suy-thoai-ve-tu-tuong-chinh-tri-dao-duc-loi-song-gop-phan-ngan-ngua-tham-nhung-409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2020-12-07T11:20:00Z</dcterms:created>
  <dcterms:modified xsi:type="dcterms:W3CDTF">2020-12-07T11:28:00Z</dcterms:modified>
</cp:coreProperties>
</file>