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0B0E14"/>
          <w:sz w:val="68"/>
        </w:rPr>
        <w:t>tsukumo</w:t>
      </w:r>
    </w:p>
    <w:p>
      <w:r>
        <w:rPr>
          <w:color w:val="6B7280"/>
          <w:sz w:val="26"/>
        </w:rPr>
        <w:t>we run AI in production</w:t>
      </w:r>
    </w:p>
    <w:p>
      <w:r>
        <w:rPr>
          <w:b/>
          <w:color w:val="C8FF00"/>
        </w:rPr>
        <w:t>————————————</w:t>
      </w:r>
    </w:p>
    <w:p>
      <w:pPr>
        <w:spacing w:before="280" w:after="120"/>
      </w:pPr>
      <w:r>
        <w:rPr>
          <w:b/>
          <w:color w:val="0B0E14"/>
          <w:sz w:val="40"/>
        </w:rPr>
        <w:t>Proposal &amp; Statement of Work</w:t>
      </w:r>
    </w:p>
    <w:p>
      <w:pPr>
        <w:spacing w:after="120"/>
      </w:pPr>
      <w:r>
        <w:rPr>
          <w:b/>
          <w:color w:val="996600"/>
          <w:sz w:val="21"/>
        </w:rPr>
        <w:t>[CLIENT NAME] · [DATE] · prepared for [BUYER NAME, TITLE]</w:t>
      </w:r>
    </w:p>
    <w:p>
      <w:pPr>
        <w:spacing w:after="120"/>
      </w:pPr>
      <w:r>
        <w:rPr>
          <w:i/>
          <w:color w:val="6B7280"/>
          <w:sz w:val="21"/>
        </w:rPr>
        <w:t>Confidential. Prepared by tsukumo for the named recipient.</w:t>
      </w:r>
    </w:p>
    <w:p>
      <w:r>
        <w:br w:type="page"/>
      </w:r>
    </w:p>
    <w:p>
      <w:pPr>
        <w:spacing w:before="280" w:after="120"/>
      </w:pPr>
      <w:r>
        <w:rPr>
          <w:b/>
          <w:color w:val="0B0E14"/>
          <w:sz w:val="32"/>
        </w:rPr>
        <w:t>1. THE PROBLEM</w:t>
      </w:r>
    </w:p>
    <w:p>
      <w:pPr>
        <w:spacing w:after="120"/>
      </w:pPr>
      <w:r>
        <w:rPr>
          <w:i w:val="0"/>
          <w:color w:val="0B0E14"/>
          <w:sz w:val="21"/>
        </w:rPr>
        <w:t>Your team has AI as a copilot. It autocompletes and answers questions in the editor, and that is roughly 10% of what coding agents can do. The other 90% is agents running real work in production: building, testing, fixing, and coordinating, operated by your developers rather than typed by them.</w:t>
      </w:r>
    </w:p>
    <w:p>
      <w:pPr>
        <w:spacing w:after="120"/>
      </w:pPr>
      <w:r>
        <w:rPr>
          <w:i w:val="0"/>
          <w:color w:val="0B0E14"/>
          <w:sz w:val="21"/>
        </w:rPr>
        <w:t>The distance between those two is an operating problem, not a license problem. Closing it needs the right context for agents, orchestration so a fleet doesn't collide, observability so you run on evidence, and a team trained to operate, not just prompt.</w:t>
      </w:r>
    </w:p>
    <w:p>
      <w:pPr>
        <w:spacing w:after="120"/>
      </w:pPr>
      <w:r>
        <w:rPr>
          <w:b/>
          <w:color w:val="996600"/>
          <w:sz w:val="21"/>
        </w:rPr>
        <w:t>[CLIENT-SPECIFIC: 1-2 sentences on where THIS team is stuck today — from the discovery call. Keep it concrete and true.]</w:t>
      </w:r>
    </w:p>
    <w:p>
      <w:pPr>
        <w:spacing w:before="280" w:after="120"/>
      </w:pPr>
      <w:r>
        <w:rPr>
          <w:b/>
          <w:color w:val="0B0E14"/>
          <w:sz w:val="32"/>
        </w:rPr>
        <w:t>2. OUR APPROACH</w:t>
      </w:r>
    </w:p>
    <w:p>
      <w:pPr>
        <w:spacing w:after="120"/>
      </w:pPr>
      <w:r>
        <w:rPr>
          <w:i w:val="0"/>
          <w:color w:val="0B0E14"/>
          <w:sz w:val="21"/>
        </w:rPr>
        <w:t>We turn your dev team into agentic operators, on your existing environment, your standards, and your stack. We augment your developers; we do not replace them. The craft stays theirs, and the output gets much bigger.</w:t>
      </w:r>
    </w:p>
    <w:p>
      <w:pPr>
        <w:spacing w:before="160" w:after="120"/>
      </w:pPr>
      <w:r>
        <w:rPr>
          <w:b/>
          <w:color w:val="0B0E14"/>
          <w:sz w:val="24"/>
        </w:rPr>
        <w:t>How we work</w:t>
      </w:r>
    </w:p>
    <w:p>
      <w:pPr>
        <w:pStyle w:val="ListBullet"/>
      </w:pPr>
      <w:r>
        <w:rPr>
          <w:sz w:val="21"/>
        </w:rPr>
        <w:t>Production from the start — agents doing real, measured work early, not a POC.</w:t>
      </w:r>
    </w:p>
    <w:p>
      <w:pPr>
        <w:pStyle w:val="ListBullet"/>
      </w:pPr>
      <w:r>
        <w:rPr>
          <w:sz w:val="21"/>
        </w:rPr>
        <w:t>On your standards — your CI, review culture, and constraints hold.</w:t>
      </w:r>
    </w:p>
    <w:p>
      <w:pPr>
        <w:pStyle w:val="ListBullet"/>
      </w:pPr>
      <w:r>
        <w:rPr>
          <w:sz w:val="21"/>
        </w:rPr>
        <w:t>Augment, never replace — your devs become the operators; the capability stays.</w:t>
      </w:r>
    </w:p>
    <w:p>
      <w:pPr>
        <w:pStyle w:val="ListBullet"/>
      </w:pPr>
      <w:r>
        <w:rPr>
          <w:sz w:val="21"/>
        </w:rPr>
        <w:t>We run what we sell — we operate our own agent fleets to ship our own software.</w:t>
      </w:r>
    </w:p>
    <w:p>
      <w:pPr>
        <w:spacing w:before="280" w:after="120"/>
      </w:pPr>
      <w:r>
        <w:rPr>
          <w:b/>
          <w:color w:val="0B0E14"/>
          <w:sz w:val="32"/>
        </w:rPr>
        <w:t>3. SCOPE OF WORK</w:t>
      </w:r>
    </w:p>
    <w:p>
      <w:pPr>
        <w:spacing w:after="120"/>
      </w:pPr>
      <w:r>
        <w:rPr>
          <w:i w:val="0"/>
          <w:color w:val="0B0E14"/>
          <w:sz w:val="21"/>
        </w:rPr>
        <w:t>Three phases, adapted to the engagement:</w:t>
      </w:r>
    </w:p>
    <w:p>
      <w:pPr>
        <w:spacing w:before="160" w:after="120"/>
      </w:pPr>
      <w:r>
        <w:rPr>
          <w:b/>
          <w:color w:val="0B0E14"/>
          <w:sz w:val="24"/>
        </w:rPr>
        <w:t>Phase 1 — Strategy</w:t>
      </w:r>
    </w:p>
    <w:p>
      <w:pPr>
        <w:pStyle w:val="ListBullet"/>
      </w:pPr>
      <w:r>
        <w:rPr>
          <w:sz w:val="21"/>
        </w:rPr>
        <w:t>Assess where the team actually is (not where the demos say).</w:t>
      </w:r>
    </w:p>
    <w:p>
      <w:pPr>
        <w:pStyle w:val="ListBullet"/>
      </w:pPr>
      <w:r>
        <w:rPr>
          <w:sz w:val="21"/>
        </w:rPr>
        <w:t>Identify the highest-impact agent workflows for your codebase.</w:t>
      </w:r>
    </w:p>
    <w:p>
      <w:pPr>
        <w:pStyle w:val="ListBullet"/>
      </w:pPr>
      <w:r>
        <w:rPr>
          <w:sz w:val="21"/>
        </w:rPr>
        <w:t>Set a realistic path from copilot to operator; honest about what AI won't fix.</w:t>
      </w:r>
    </w:p>
    <w:p>
      <w:pPr>
        <w:spacing w:before="160" w:after="120"/>
      </w:pPr>
      <w:r>
        <w:rPr>
          <w:b/>
          <w:color w:val="0B0E14"/>
          <w:sz w:val="24"/>
        </w:rPr>
        <w:t>Phase 2 — Implementation</w:t>
      </w:r>
    </w:p>
    <w:p>
      <w:pPr>
        <w:pStyle w:val="ListBullet"/>
      </w:pPr>
      <w:r>
        <w:rPr>
          <w:sz w:val="21"/>
        </w:rPr>
        <w:t>Build the agent workflows + supporting layers (context, orchestration, observability) on your repo, in production, with your controls intact.</w:t>
      </w:r>
    </w:p>
    <w:p>
      <w:pPr>
        <w:spacing w:before="160" w:after="120"/>
      </w:pPr>
      <w:r>
        <w:rPr>
          <w:b/>
          <w:color w:val="0B0E14"/>
          <w:sz w:val="24"/>
        </w:rPr>
        <w:t>Phase 3 — Training</w:t>
      </w:r>
    </w:p>
    <w:p>
      <w:pPr>
        <w:pStyle w:val="ListBullet"/>
      </w:pPr>
      <w:r>
        <w:rPr>
          <w:sz w:val="21"/>
        </w:rPr>
        <w:t>Bring your developers up to operator level so the capability stays after we leave.</w:t>
      </w:r>
    </w:p>
    <w:p>
      <w:pPr>
        <w:spacing w:after="120"/>
      </w:pPr>
      <w:r>
        <w:rPr>
          <w:b/>
          <w:color w:val="996600"/>
          <w:sz w:val="21"/>
        </w:rPr>
        <w:t>[CLIENT-SPECIFIC: in/out-of-scope list agreed in scoping. Be explicit about what is NOT included.]</w:t>
      </w:r>
    </w:p>
    <w:p>
      <w:pPr>
        <w:spacing w:before="280" w:after="120"/>
      </w:pPr>
      <w:r>
        <w:rPr>
          <w:b/>
          <w:color w:val="0B0E14"/>
          <w:sz w:val="32"/>
        </w:rPr>
        <w:t>4. TIMELINE</w:t>
      </w:r>
    </w:p>
    <w:p>
      <w:pPr>
        <w:spacing w:after="120"/>
      </w:pPr>
      <w:r>
        <w:rPr>
          <w:b/>
          <w:color w:val="996600"/>
          <w:sz w:val="21"/>
        </w:rPr>
        <w:t>[REAL NUMBERS NEEDED: phase durations + milestones, e.g. Strategy [X weeks], Implementation [X weeks], Training [X weeks]. Set with the client.]</w:t>
      </w:r>
    </w:p>
    <w:p>
      <w:pPr>
        <w:spacing w:before="280" w:after="120"/>
      </w:pPr>
      <w:r>
        <w:rPr>
          <w:b/>
          <w:color w:val="0B0E14"/>
          <w:sz w:val="32"/>
        </w:rPr>
        <w:t>5. INVESTMENT</w:t>
      </w:r>
    </w:p>
    <w:p>
      <w:pPr>
        <w:spacing w:after="120"/>
      </w:pPr>
      <w:r>
        <w:rPr>
          <w:i w:val="0"/>
          <w:color w:val="0B0E14"/>
          <w:sz w:val="21"/>
        </w:rPr>
        <w:t>Pricing reflects prod-grade capability transferred to your team, not seats or hours of demos. This is about prod-grade output and roughly 10x from the team you already trust.</w:t>
      </w:r>
    </w:p>
    <w:p>
      <w:pPr>
        <w:spacing w:after="120"/>
      </w:pPr>
      <w:r>
        <w:rPr>
          <w:b/>
          <w:color w:val="996600"/>
          <w:sz w:val="21"/>
        </w:rPr>
        <w:t>[REAL NUMBERS NEEDED: pricing model + figures — fixed-scope per phase, retainer, or blended. Do NOT send with placeholders. Owner sets the numbers.]</w:t>
      </w:r>
    </w:p>
    <w:p>
      <w:pPr>
        <w:spacing w:before="280" w:after="120"/>
      </w:pPr>
      <w:r>
        <w:rPr>
          <w:b/>
          <w:color w:val="0B0E14"/>
          <w:sz w:val="32"/>
        </w:rPr>
        <w:t>6. ABOUT TSUKUMO</w:t>
      </w:r>
    </w:p>
    <w:p>
      <w:pPr>
        <w:spacing w:after="120"/>
      </w:pPr>
      <w:r>
        <w:rPr>
          <w:i w:val="0"/>
          <w:color w:val="0B0E14"/>
          <w:sz w:val="21"/>
        </w:rPr>
        <w:t>tsukumo is a developer studio and AI consultancy. We build our own products by running agent fleets in production (the open suite WRAI.TH, trovex, and yoru is the proof), and we transition client teams to do the same. We are developers; we understand developers and bring them across without sidelining them.</w:t>
      </w:r>
    </w:p>
    <w:p>
      <w:pPr>
        <w:spacing w:before="160" w:after="120"/>
      </w:pPr>
      <w:r>
        <w:rPr>
          <w:b/>
          <w:color w:val="0B0E14"/>
          <w:sz w:val="24"/>
        </w:rPr>
        <w:t>Selected engagements</w:t>
      </w:r>
    </w:p>
    <w:p>
      <w:pPr>
        <w:spacing w:after="120"/>
      </w:pPr>
      <w:r>
        <w:rPr>
          <w:i w:val="0"/>
          <w:color w:val="0B0E14"/>
          <w:sz w:val="21"/>
        </w:rPr>
        <w:t>Our own studio — we ship and maintain a multi-tool open suite as a small team because the agent fleet carries the repeated build, test, documentation, and coordination work. The operating model we sell is the one we run on ourselves.</w:t>
      </w:r>
    </w:p>
    <w:p>
      <w:pPr>
        <w:spacing w:after="120"/>
      </w:pPr>
      <w:r>
        <w:rPr>
          <w:i w:val="0"/>
          <w:color w:val="0B0E14"/>
          <w:sz w:val="21"/>
        </w:rPr>
        <w:t>A quantitative fund — AI brought into a high-stakes finance environment where correctness and risk control are non-negotiable. (Anonymized under NDA.)</w:t>
      </w:r>
    </w:p>
    <w:p>
      <w:pPr>
        <w:spacing w:after="120"/>
      </w:pPr>
      <w:r>
        <w:rPr>
          <w:i w:val="0"/>
          <w:color w:val="0B0E14"/>
          <w:sz w:val="21"/>
        </w:rPr>
        <w:t>A Swiss real-estate company — AI applied to content and marketing at scale. (Attribution on request.)</w:t>
      </w:r>
    </w:p>
    <w:p>
      <w:pPr>
        <w:spacing w:after="120"/>
      </w:pPr>
      <w:r>
        <w:rPr>
          <w:b/>
          <w:color w:val="996600"/>
          <w:sz w:val="21"/>
        </w:rPr>
        <w:t>[REAL NUMBERS NEEDED: add one verified outcome per engagement before sending. Until then keep these qualitative — no invented metrics, logos, or quotes.]</w:t>
      </w:r>
    </w:p>
    <w:p>
      <w:pPr>
        <w:spacing w:before="280" w:after="120"/>
      </w:pPr>
      <w:r>
        <w:rPr>
          <w:b/>
          <w:color w:val="0B0E14"/>
          <w:sz w:val="32"/>
        </w:rPr>
        <w:t>7. NEXT STEPS</w:t>
      </w:r>
    </w:p>
    <w:p>
      <w:pPr>
        <w:pStyle w:val="ListBullet"/>
      </w:pPr>
      <w:r>
        <w:rPr>
          <w:sz w:val="21"/>
        </w:rPr>
        <w:t>Confirm scope and timeline.</w:t>
      </w:r>
    </w:p>
    <w:p>
      <w:pPr>
        <w:pStyle w:val="ListBullet"/>
      </w:pPr>
      <w:r>
        <w:rPr>
          <w:sz w:val="21"/>
        </w:rPr>
        <w:t>Sign this SOW.</w:t>
      </w:r>
    </w:p>
    <w:p>
      <w:pPr>
        <w:pStyle w:val="ListBullet"/>
      </w:pPr>
      <w:r>
        <w:rPr>
          <w:sz w:val="21"/>
        </w:rPr>
        <w:t>Kickoff: access, environment walkthrough, and the first workflow we'll put in prod.</w:t>
      </w:r>
    </w:p>
    <w:p>
      <w:pPr>
        <w:spacing w:before="320"/>
      </w:pPr>
      <w:r>
        <w:rPr>
          <w:color w:val="6B7280"/>
          <w:sz w:val="18"/>
        </w:rPr>
        <w:t>tsukumo · tsukumo.ch · we run AI in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