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6B7280"/>
          <w:spacing w:val="40"/>
          <w:sz w:val="18"/>
          <w:szCs w:val="18"/>
        </w:rPr>
        <w:t xml:space="preserve">RAPPORT FINAL · BON DE MISSION BM-01</w:t>
      </w:r>
    </w:p>
    <w:p>
      <w:pPr>
        <w:spacing w:after="240"/>
      </w:pPr>
      <w:r>
        <w:rPr>
          <w:rFonts w:ascii="Calibri" w:cs="Calibri" w:eastAsia="Calibri" w:hAnsi="Calibri"/>
          <w:b/>
          <w:bCs/>
          <w:color w:val="1E3A5F"/>
          <w:sz w:val="40"/>
          <w:szCs w:val="40"/>
        </w:rPr>
        <w:t xml:space="preserve">Connexion de meddom.fr à son site Lovable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D1D5DB" w:sz="4"/>
              <w:left w:val="single" w:color="D1D5DB" w:sz="4"/>
              <w:bottom w:val="single" w:color="D1D5DB" w:sz="4"/>
              <w:right w:val="single" w:color="D1D5DB" w:sz="4"/>
            </w:tcBorders>
            <w:shd w:fill="EEF2F7" w:color="auto" w:val="clear"/>
            <w:tcMar>
              <w:top w:type="dxa" w:w="80"/>
              <w:left w:type="dxa" w:w="120"/>
              <w:bottom w:type="dxa" w:w="80"/>
              <w:right w:type="dxa" w:w="120"/>
            </w:tcMar>
          </w:tcPr>
          <w:p>
            <w:r>
              <w:rPr>
                <w:rFonts w:ascii="Calibri" w:cs="Calibri" w:eastAsia="Calibri" w:hAnsi="Calibri"/>
                <w:b/>
                <w:bCs/>
                <w:color w:val="6B7280"/>
                <w:sz w:val="19"/>
                <w:szCs w:val="19"/>
              </w:rPr>
              <w:t xml:space="preserve">Référence</w:t>
            </w:r>
          </w:p>
        </w:tc>
        <w:tc>
          <w:tcPr>
            <w:tcW w:type="dxa" w:w="70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21"/>
                <w:szCs w:val="21"/>
              </w:rPr>
              <w:t xml:space="preserve">CTR-PRESTATAIRE-CDP-2026-001-BM-01</w:t>
            </w:r>
          </w:p>
        </w:tc>
      </w:tr>
      <w:tr>
        <w:tc>
          <w:tcPr>
            <w:tcW w:type="dxa" w:w="2600"/>
            <w:tcBorders>
              <w:top w:val="single" w:color="D1D5DB" w:sz="4"/>
              <w:left w:val="single" w:color="D1D5DB" w:sz="4"/>
              <w:bottom w:val="single" w:color="D1D5DB" w:sz="4"/>
              <w:right w:val="single" w:color="D1D5DB" w:sz="4"/>
            </w:tcBorders>
            <w:shd w:fill="EEF2F7" w:color="auto" w:val="clear"/>
            <w:tcMar>
              <w:top w:type="dxa" w:w="80"/>
              <w:left w:type="dxa" w:w="120"/>
              <w:bottom w:type="dxa" w:w="80"/>
              <w:right w:type="dxa" w:w="120"/>
            </w:tcMar>
          </w:tcPr>
          <w:p>
            <w:r>
              <w:rPr>
                <w:rFonts w:ascii="Calibri" w:cs="Calibri" w:eastAsia="Calibri" w:hAnsi="Calibri"/>
                <w:b/>
                <w:bCs/>
                <w:color w:val="6B7280"/>
                <w:sz w:val="19"/>
                <w:szCs w:val="19"/>
              </w:rPr>
              <w:t xml:space="preserve">Mission</w:t>
            </w:r>
          </w:p>
        </w:tc>
        <w:tc>
          <w:tcPr>
            <w:tcW w:type="dxa" w:w="70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21"/>
                <w:szCs w:val="21"/>
              </w:rPr>
              <w:t xml:space="preserve">Relier meddom.fr (OVH) à son site Lovable, en HTTPS</w:t>
            </w:r>
          </w:p>
        </w:tc>
      </w:tr>
      <w:tr>
        <w:tc>
          <w:tcPr>
            <w:tcW w:type="dxa" w:w="2600"/>
            <w:tcBorders>
              <w:top w:val="single" w:color="D1D5DB" w:sz="4"/>
              <w:left w:val="single" w:color="D1D5DB" w:sz="4"/>
              <w:bottom w:val="single" w:color="D1D5DB" w:sz="4"/>
              <w:right w:val="single" w:color="D1D5DB" w:sz="4"/>
            </w:tcBorders>
            <w:shd w:fill="EEF2F7" w:color="auto" w:val="clear"/>
            <w:tcMar>
              <w:top w:type="dxa" w:w="80"/>
              <w:left w:type="dxa" w:w="120"/>
              <w:bottom w:type="dxa" w:w="80"/>
              <w:right w:type="dxa" w:w="120"/>
            </w:tcMar>
          </w:tcPr>
          <w:p>
            <w:r>
              <w:rPr>
                <w:rFonts w:ascii="Calibri" w:cs="Calibri" w:eastAsia="Calibri" w:hAnsi="Calibri"/>
                <w:b/>
                <w:bCs/>
                <w:color w:val="6B7280"/>
                <w:sz w:val="19"/>
                <w:szCs w:val="19"/>
              </w:rPr>
              <w:t xml:space="preserve">Prestataire</w:t>
            </w:r>
          </w:p>
        </w:tc>
        <w:tc>
          <w:tcPr>
            <w:tcW w:type="dxa" w:w="70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21"/>
                <w:szCs w:val="21"/>
              </w:rPr>
              <w:t xml:space="preserve">EZIN Tognissè Godson Onel Paterne</w:t>
            </w:r>
          </w:p>
        </w:tc>
      </w:tr>
      <w:tr>
        <w:tc>
          <w:tcPr>
            <w:tcW w:type="dxa" w:w="2600"/>
            <w:tcBorders>
              <w:top w:val="single" w:color="D1D5DB" w:sz="4"/>
              <w:left w:val="single" w:color="D1D5DB" w:sz="4"/>
              <w:bottom w:val="single" w:color="D1D5DB" w:sz="4"/>
              <w:right w:val="single" w:color="D1D5DB" w:sz="4"/>
            </w:tcBorders>
            <w:shd w:fill="EEF2F7" w:color="auto" w:val="clear"/>
            <w:tcMar>
              <w:top w:type="dxa" w:w="80"/>
              <w:left w:type="dxa" w:w="120"/>
              <w:bottom w:type="dxa" w:w="80"/>
              <w:right w:type="dxa" w:w="120"/>
            </w:tcMar>
          </w:tcPr>
          <w:p>
            <w:r>
              <w:rPr>
                <w:rFonts w:ascii="Calibri" w:cs="Calibri" w:eastAsia="Calibri" w:hAnsi="Calibri"/>
                <w:b/>
                <w:bCs/>
                <w:color w:val="6B7280"/>
                <w:sz w:val="19"/>
                <w:szCs w:val="19"/>
              </w:rPr>
              <w:t xml:space="preserve">Destinataire</w:t>
            </w:r>
          </w:p>
        </w:tc>
        <w:tc>
          <w:tcPr>
            <w:tcW w:type="dxa" w:w="70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21"/>
                <w:szCs w:val="21"/>
              </w:rPr>
              <w:t xml:space="preserve">IT Luxuoso · manager@itluxuoso.com</w:t>
            </w:r>
          </w:p>
        </w:tc>
      </w:tr>
      <w:tr>
        <w:tc>
          <w:tcPr>
            <w:tcW w:type="dxa" w:w="2600"/>
            <w:tcBorders>
              <w:top w:val="single" w:color="D1D5DB" w:sz="4"/>
              <w:left w:val="single" w:color="D1D5DB" w:sz="4"/>
              <w:bottom w:val="single" w:color="D1D5DB" w:sz="4"/>
              <w:right w:val="single" w:color="D1D5DB" w:sz="4"/>
            </w:tcBorders>
            <w:shd w:fill="EEF2F7" w:color="auto" w:val="clear"/>
            <w:tcMar>
              <w:top w:type="dxa" w:w="80"/>
              <w:left w:type="dxa" w:w="120"/>
              <w:bottom w:type="dxa" w:w="80"/>
              <w:right w:type="dxa" w:w="120"/>
            </w:tcMar>
          </w:tcPr>
          <w:p>
            <w:r>
              <w:rPr>
                <w:rFonts w:ascii="Calibri" w:cs="Calibri" w:eastAsia="Calibri" w:hAnsi="Calibri"/>
                <w:b/>
                <w:bCs/>
                <w:color w:val="6B7280"/>
                <w:sz w:val="19"/>
                <w:szCs w:val="19"/>
              </w:rPr>
              <w:t xml:space="preserve">Date</w:t>
            </w:r>
          </w:p>
        </w:tc>
        <w:tc>
          <w:tcPr>
            <w:tcW w:type="dxa" w:w="70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21"/>
                <w:szCs w:val="21"/>
              </w:rPr>
              <w:t xml:space="preserve">5 octobre 2026</w:t>
            </w:r>
          </w:p>
        </w:tc>
      </w:tr>
      <w:tr>
        <w:tc>
          <w:tcPr>
            <w:tcW w:type="dxa" w:w="2600"/>
            <w:tcBorders>
              <w:top w:val="single" w:color="D1D5DB" w:sz="4"/>
              <w:left w:val="single" w:color="D1D5DB" w:sz="4"/>
              <w:bottom w:val="single" w:color="D1D5DB" w:sz="4"/>
              <w:right w:val="single" w:color="D1D5DB" w:sz="4"/>
            </w:tcBorders>
            <w:shd w:fill="EEF2F7" w:color="auto" w:val="clear"/>
            <w:tcMar>
              <w:top w:type="dxa" w:w="80"/>
              <w:left w:type="dxa" w:w="120"/>
              <w:bottom w:type="dxa" w:w="80"/>
              <w:right w:type="dxa" w:w="120"/>
            </w:tcMar>
          </w:tcPr>
          <w:p>
            <w:r>
              <w:rPr>
                <w:rFonts w:ascii="Calibri" w:cs="Calibri" w:eastAsia="Calibri" w:hAnsi="Calibri"/>
                <w:b/>
                <w:bCs/>
                <w:color w:val="6B7280"/>
                <w:sz w:val="19"/>
                <w:szCs w:val="19"/>
              </w:rPr>
              <w:t xml:space="preserve">Heures</w:t>
            </w:r>
          </w:p>
        </w:tc>
        <w:tc>
          <w:tcPr>
            <w:tcW w:type="dxa" w:w="70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21"/>
                <w:szCs w:val="21"/>
              </w:rPr>
              <w:t xml:space="preserve">UTC, telles qu'horodatées dans les preuves (Bénin = UTC+1)</w:t>
            </w:r>
          </w:p>
        </w:tc>
      </w:tr>
    </w:tbl>
    <w:p>
      <w:pPr>
        <w:pStyle w:val="Heading1"/>
        <w:keepNext/>
        <w:keepLines/>
        <w:pBdr>
          <w:bottom w:val="single" w:color="D1D5DB" w:sz="6" w:space="4"/>
        </w:pBdr>
        <w:spacing w:after="120" w:before="240"/>
      </w:pPr>
      <w:r>
        <w:rPr>
          <w:rFonts w:ascii="Calibri" w:cs="Calibri" w:eastAsia="Calibri" w:hAnsi="Calibri"/>
          <w:b/>
          <w:bCs/>
          <w:color w:val="1E3A5F"/>
          <w:sz w:val="26"/>
          <w:szCs w:val="26"/>
        </w:rPr>
        <w:t xml:space="preserve">1. Résultat</w:t>
      </w:r>
    </w:p>
    <w:p>
      <w:pPr>
        <w:spacing w:after="120" w:line="276"/>
      </w:pPr>
      <w:r>
        <w:rPr>
          <w:rFonts w:ascii="Calibri" w:cs="Calibri" w:eastAsia="Calibri" w:hAnsi="Calibri"/>
          <w:color w:val="1F2937"/>
          <w:sz w:val="21"/>
          <w:szCs w:val="21"/>
        </w:rPr>
        <w:t xml:space="preserve">meddom.fr et www.meddom.fr affichent le site Lovable du projet, en HTTPS. Adresse principale : </w:t>
      </w:r>
      <w:r>
        <w:rPr>
          <w:rFonts w:ascii="Calibri" w:cs="Calibri" w:eastAsia="Calibri" w:hAnsi="Calibri"/>
          <w:b/>
          <w:bCs/>
          <w:color w:val="1F2937"/>
          <w:sz w:val="21"/>
          <w:szCs w:val="21"/>
        </w:rPr>
        <w:t xml:space="preserve">https://meddom.fr</w:t>
      </w:r>
      <w:r>
        <w:rPr>
          <w:rFonts w:ascii="Calibri" w:cs="Calibri" w:eastAsia="Calibri" w:hAnsi="Calibri"/>
          <w:color w:val="1F2937"/>
          <w:sz w:val="21"/>
          <w:szCs w:val="21"/>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5838"/>
      </w:tblGrid>
      <w:tr>
        <w:trPr>
          <w:tblHeader/>
        </w:trPr>
        <w:tc>
          <w:tcPr>
            <w:tcW w:type="dxa" w:w="1900"/>
            <w:tcBorders>
              <w:top w:val="single" w:color="D1D5DB" w:sz="4"/>
              <w:left w:val="single" w:color="D1D5DB" w:sz="4"/>
              <w:bottom w:val="single" w:color="D1D5DB" w:sz="4"/>
              <w:right w:val="single" w:color="D1D5DB" w:sz="4"/>
            </w:tcBorders>
            <w:shd w:fill="EEF2F7" w:color="auto" w:val="clear"/>
            <w:tcMar>
              <w:top w:type="dxa" w:w="80"/>
              <w:left w:type="dxa" w:w="120"/>
              <w:bottom w:type="dxa" w:w="80"/>
              <w:right w:type="dxa" w:w="120"/>
            </w:tcMar>
          </w:tcPr>
          <w:p>
            <w:r>
              <w:rPr>
                <w:rFonts w:ascii="Calibri" w:cs="Calibri" w:eastAsia="Calibri" w:hAnsi="Calibri"/>
                <w:b/>
                <w:bCs/>
                <w:color w:val="1E3A5F"/>
                <w:sz w:val="19"/>
                <w:szCs w:val="19"/>
              </w:rPr>
              <w:t xml:space="preserve">Critère du bon</w:t>
            </w:r>
          </w:p>
        </w:tc>
        <w:tc>
          <w:tcPr>
            <w:tcW w:type="dxa" w:w="1900"/>
            <w:tcBorders>
              <w:top w:val="single" w:color="D1D5DB" w:sz="4"/>
              <w:left w:val="single" w:color="D1D5DB" w:sz="4"/>
              <w:bottom w:val="single" w:color="D1D5DB" w:sz="4"/>
              <w:right w:val="single" w:color="D1D5DB" w:sz="4"/>
            </w:tcBorders>
            <w:shd w:fill="EEF2F7" w:color="auto" w:val="clear"/>
            <w:tcMar>
              <w:top w:type="dxa" w:w="80"/>
              <w:left w:type="dxa" w:w="120"/>
              <w:bottom w:type="dxa" w:w="80"/>
              <w:right w:type="dxa" w:w="120"/>
            </w:tcMar>
          </w:tcPr>
          <w:p>
            <w:r>
              <w:rPr>
                <w:rFonts w:ascii="Calibri" w:cs="Calibri" w:eastAsia="Calibri" w:hAnsi="Calibri"/>
                <w:b/>
                <w:bCs/>
                <w:color w:val="1E3A5F"/>
                <w:sz w:val="19"/>
                <w:szCs w:val="19"/>
              </w:rPr>
              <w:t xml:space="preserve">Statut</w:t>
            </w:r>
          </w:p>
        </w:tc>
        <w:tc>
          <w:tcPr>
            <w:tcW w:type="dxa" w:w="5838"/>
            <w:tcBorders>
              <w:top w:val="single" w:color="D1D5DB" w:sz="4"/>
              <w:left w:val="single" w:color="D1D5DB" w:sz="4"/>
              <w:bottom w:val="single" w:color="D1D5DB" w:sz="4"/>
              <w:right w:val="single" w:color="D1D5DB" w:sz="4"/>
            </w:tcBorders>
            <w:shd w:fill="EEF2F7" w:color="auto" w:val="clear"/>
            <w:tcMar>
              <w:top w:type="dxa" w:w="80"/>
              <w:left w:type="dxa" w:w="120"/>
              <w:bottom w:type="dxa" w:w="80"/>
              <w:right w:type="dxa" w:w="120"/>
            </w:tcMar>
          </w:tcPr>
          <w:p>
            <w:r>
              <w:rPr>
                <w:rFonts w:ascii="Calibri" w:cs="Calibri" w:eastAsia="Calibri" w:hAnsi="Calibri"/>
                <w:b/>
                <w:bCs/>
                <w:color w:val="1E3A5F"/>
                <w:sz w:val="19"/>
                <w:szCs w:val="19"/>
              </w:rPr>
              <w:t xml:space="preserve">Constat</w:t>
            </w:r>
          </w:p>
        </w:tc>
      </w:tr>
      <w:tr>
        <w:tc>
          <w:tcPr>
            <w:tcW w:type="dxa" w:w="19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Domaine</w:t>
            </w:r>
          </w:p>
        </w:tc>
        <w:tc>
          <w:tcPr>
            <w:tcW w:type="dxa" w:w="1900"/>
            <w:tcBorders>
              <w:top w:val="single" w:color="D1D5DB" w:sz="4"/>
              <w:left w:val="single" w:color="D1D5DB" w:sz="4"/>
              <w:bottom w:val="single" w:color="D1D5DB" w:sz="4"/>
              <w:right w:val="single" w:color="D1D5DB" w:sz="4"/>
            </w:tcBorders>
            <w:shd w:fill="E7F5EC" w:color="auto" w:val="clear"/>
            <w:tcMar>
              <w:top w:type="dxa" w:w="80"/>
              <w:left w:type="dxa" w:w="120"/>
              <w:bottom w:type="dxa" w:w="80"/>
              <w:right w:type="dxa" w:w="120"/>
            </w:tcMar>
          </w:tcPr>
          <w:p>
            <w:r>
              <w:rPr>
                <w:rFonts w:ascii="Calibri" w:cs="Calibri" w:eastAsia="Calibri" w:hAnsi="Calibri"/>
                <w:b/>
                <w:bCs/>
                <w:color w:val="166534"/>
                <w:sz w:val="19"/>
                <w:szCs w:val="19"/>
              </w:rPr>
              <w:t xml:space="preserve">Conforme</w:t>
            </w:r>
          </w:p>
        </w:tc>
        <w:tc>
          <w:tcPr>
            <w:tcW w:type="dxa" w:w="58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Vérifié dans Lovable, statut « Live » sur meddom.fr et www.meddom.fr.</w:t>
            </w:r>
          </w:p>
        </w:tc>
      </w:tr>
      <w:tr>
        <w:tc>
          <w:tcPr>
            <w:tcW w:type="dxa" w:w="19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HTTPS</w:t>
            </w:r>
          </w:p>
        </w:tc>
        <w:tc>
          <w:tcPr>
            <w:tcW w:type="dxa" w:w="1900"/>
            <w:tcBorders>
              <w:top w:val="single" w:color="D1D5DB" w:sz="4"/>
              <w:left w:val="single" w:color="D1D5DB" w:sz="4"/>
              <w:bottom w:val="single" w:color="D1D5DB" w:sz="4"/>
              <w:right w:val="single" w:color="D1D5DB" w:sz="4"/>
            </w:tcBorders>
            <w:shd w:fill="E7F5EC" w:color="auto" w:val="clear"/>
            <w:tcMar>
              <w:top w:type="dxa" w:w="80"/>
              <w:left w:type="dxa" w:w="120"/>
              <w:bottom w:type="dxa" w:w="80"/>
              <w:right w:type="dxa" w:w="120"/>
            </w:tcMar>
          </w:tcPr>
          <w:p>
            <w:r>
              <w:rPr>
                <w:rFonts w:ascii="Calibri" w:cs="Calibri" w:eastAsia="Calibri" w:hAnsi="Calibri"/>
                <w:b/>
                <w:bCs/>
                <w:color w:val="166534"/>
                <w:sz w:val="19"/>
                <w:szCs w:val="19"/>
              </w:rPr>
              <w:t xml:space="preserve">Conforme</w:t>
            </w:r>
          </w:p>
        </w:tc>
        <w:tc>
          <w:tcPr>
            <w:tcW w:type="dxa" w:w="58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Certificat valide sur les deux adresses (Google Trust Services, valable jusqu'au 26/10/2026, renouvellement géré par Lovable).</w:t>
            </w:r>
          </w:p>
        </w:tc>
      </w:tr>
      <w:tr>
        <w:tc>
          <w:tcPr>
            <w:tcW w:type="dxa" w:w="19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Redirection</w:t>
            </w:r>
          </w:p>
        </w:tc>
        <w:tc>
          <w:tcPr>
            <w:tcW w:type="dxa" w:w="1900"/>
            <w:tcBorders>
              <w:top w:val="single" w:color="D1D5DB" w:sz="4"/>
              <w:left w:val="single" w:color="D1D5DB" w:sz="4"/>
              <w:bottom w:val="single" w:color="D1D5DB" w:sz="4"/>
              <w:right w:val="single" w:color="D1D5DB" w:sz="4"/>
            </w:tcBorders>
            <w:shd w:fill="FFF4E0" w:color="auto" w:val="clear"/>
            <w:tcMar>
              <w:top w:type="dxa" w:w="80"/>
              <w:left w:type="dxa" w:w="120"/>
              <w:bottom w:type="dxa" w:w="80"/>
              <w:right w:type="dxa" w:w="120"/>
            </w:tcMar>
          </w:tcPr>
          <w:p>
            <w:r>
              <w:rPr>
                <w:rFonts w:ascii="Calibri" w:cs="Calibri" w:eastAsia="Calibri" w:hAnsi="Calibri"/>
                <w:b/>
                <w:bCs/>
                <w:color w:val="92400E"/>
                <w:sz w:val="19"/>
                <w:szCs w:val="19"/>
              </w:rPr>
              <w:t xml:space="preserve">Partiel</w:t>
            </w:r>
          </w:p>
        </w:tc>
        <w:tc>
          <w:tcPr>
            <w:tcW w:type="dxa" w:w="58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http://meddom.fr redirige en 301. www.meddom.fr redirige en 302 vers https://meddom.fr (voir point 4).</w:t>
            </w:r>
          </w:p>
        </w:tc>
      </w:tr>
      <w:tr>
        <w:tc>
          <w:tcPr>
            <w:tcW w:type="dxa" w:w="19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Messagerie</w:t>
            </w:r>
          </w:p>
        </w:tc>
        <w:tc>
          <w:tcPr>
            <w:tcW w:type="dxa" w:w="1900"/>
            <w:tcBorders>
              <w:top w:val="single" w:color="D1D5DB" w:sz="4"/>
              <w:left w:val="single" w:color="D1D5DB" w:sz="4"/>
              <w:bottom w:val="single" w:color="D1D5DB" w:sz="4"/>
              <w:right w:val="single" w:color="D1D5DB" w:sz="4"/>
            </w:tcBorders>
            <w:shd w:fill="E7F5EC" w:color="auto" w:val="clear"/>
            <w:tcMar>
              <w:top w:type="dxa" w:w="80"/>
              <w:left w:type="dxa" w:w="120"/>
              <w:bottom w:type="dxa" w:w="80"/>
              <w:right w:type="dxa" w:w="120"/>
            </w:tcMar>
          </w:tcPr>
          <w:p>
            <w:r>
              <w:rPr>
                <w:rFonts w:ascii="Calibri" w:cs="Calibri" w:eastAsia="Calibri" w:hAnsi="Calibri"/>
                <w:b/>
                <w:bCs/>
                <w:color w:val="166534"/>
                <w:sz w:val="19"/>
                <w:szCs w:val="19"/>
              </w:rPr>
              <w:t xml:space="preserve">Conforme</w:t>
            </w:r>
          </w:p>
        </w:tc>
        <w:tc>
          <w:tcPr>
            <w:tcW w:type="dxa" w:w="58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MX (mx1, mx2, mx3.mail.ovh.net) et SPF identiques avant et après.</w:t>
            </w:r>
          </w:p>
        </w:tc>
      </w:tr>
      <w:tr>
        <w:tc>
          <w:tcPr>
            <w:tcW w:type="dxa" w:w="19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Accueil</w:t>
            </w:r>
          </w:p>
        </w:tc>
        <w:tc>
          <w:tcPr>
            <w:tcW w:type="dxa" w:w="1900"/>
            <w:tcBorders>
              <w:top w:val="single" w:color="D1D5DB" w:sz="4"/>
              <w:left w:val="single" w:color="D1D5DB" w:sz="4"/>
              <w:bottom w:val="single" w:color="D1D5DB" w:sz="4"/>
              <w:right w:val="single" w:color="D1D5DB" w:sz="4"/>
            </w:tcBorders>
            <w:shd w:fill="E7F5EC" w:color="auto" w:val="clear"/>
            <w:tcMar>
              <w:top w:type="dxa" w:w="80"/>
              <w:left w:type="dxa" w:w="120"/>
              <w:bottom w:type="dxa" w:w="80"/>
              <w:right w:type="dxa" w:w="120"/>
            </w:tcMar>
          </w:tcPr>
          <w:p>
            <w:r>
              <w:rPr>
                <w:rFonts w:ascii="Calibri" w:cs="Calibri" w:eastAsia="Calibri" w:hAnsi="Calibri"/>
                <w:b/>
                <w:bCs/>
                <w:color w:val="166534"/>
                <w:sz w:val="19"/>
                <w:szCs w:val="19"/>
              </w:rPr>
              <w:t xml:space="preserve">Conforme</w:t>
            </w:r>
          </w:p>
        </w:tc>
        <w:tc>
          <w:tcPr>
            <w:tcW w:type="dxa" w:w="58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https://meddom.fr répond 200 ; 0 erreur de console après rechargement.</w:t>
            </w:r>
          </w:p>
        </w:tc>
      </w:tr>
      <w:tr>
        <w:tc>
          <w:tcPr>
            <w:tcW w:type="dxa" w:w="19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Preuves</w:t>
            </w:r>
          </w:p>
        </w:tc>
        <w:tc>
          <w:tcPr>
            <w:tcW w:type="dxa" w:w="1900"/>
            <w:tcBorders>
              <w:top w:val="single" w:color="D1D5DB" w:sz="4"/>
              <w:left w:val="single" w:color="D1D5DB" w:sz="4"/>
              <w:bottom w:val="single" w:color="D1D5DB" w:sz="4"/>
              <w:right w:val="single" w:color="D1D5DB" w:sz="4"/>
            </w:tcBorders>
            <w:shd w:fill="E7F5EC" w:color="auto" w:val="clear"/>
            <w:tcMar>
              <w:top w:type="dxa" w:w="80"/>
              <w:left w:type="dxa" w:w="120"/>
              <w:bottom w:type="dxa" w:w="80"/>
              <w:right w:type="dxa" w:w="120"/>
            </w:tcMar>
          </w:tcPr>
          <w:p>
            <w:r>
              <w:rPr>
                <w:rFonts w:ascii="Calibri" w:cs="Calibri" w:eastAsia="Calibri" w:hAnsi="Calibri"/>
                <w:b/>
                <w:bCs/>
                <w:color w:val="166534"/>
                <w:sz w:val="19"/>
                <w:szCs w:val="19"/>
              </w:rPr>
              <w:t xml:space="preserve">Conforme</w:t>
            </w:r>
          </w:p>
        </w:tc>
        <w:tc>
          <w:tcPr>
            <w:tcW w:type="dxa" w:w="58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Déposées au dossier PREUVES (liste au point 6).</w:t>
            </w:r>
          </w:p>
        </w:tc>
      </w:tr>
    </w:tbl>
    <w:p>
      <w:pPr>
        <w:pStyle w:val="Heading1"/>
        <w:keepNext/>
        <w:keepLines/>
        <w:pBdr>
          <w:bottom w:val="single" w:color="D1D5DB" w:sz="6" w:space="4"/>
        </w:pBdr>
        <w:spacing w:after="120" w:before="240"/>
      </w:pPr>
      <w:r>
        <w:rPr>
          <w:rFonts w:ascii="Calibri" w:cs="Calibri" w:eastAsia="Calibri" w:hAnsi="Calibri"/>
          <w:b/>
          <w:bCs/>
          <w:color w:val="1E3A5F"/>
          <w:sz w:val="26"/>
          <w:szCs w:val="26"/>
        </w:rPr>
        <w:t xml:space="preserve">2. Choix de l'adresse principale : meddom.fr</w:t>
      </w:r>
    </w:p>
    <w:p>
      <w:pPr>
        <w:spacing w:after="120" w:line="276"/>
      </w:pPr>
      <w:r>
        <w:rPr>
          <w:rFonts w:ascii="Calibri" w:cs="Calibri" w:eastAsia="Calibri" w:hAnsi="Calibri"/>
          <w:color w:val="1F2937"/>
          <w:sz w:val="21"/>
          <w:szCs w:val="21"/>
        </w:rPr>
        <w:t xml:space="preserve">La balise canonique et l'aperçu de partage (og:url) du site sont déjà réglés sur https://meddom.fr/. Choisir www aurait créé une incohérence pour le référencement. L'adresse sans « www » est aussi plus courte à communiquer pour le client.</w:t>
      </w:r>
    </w:p>
    <w:p>
      <w:pPr>
        <w:pStyle w:val="Heading1"/>
        <w:keepNext/>
        <w:keepLines/>
        <w:pBdr>
          <w:bottom w:val="single" w:color="D1D5DB" w:sz="6" w:space="4"/>
        </w:pBdr>
        <w:spacing w:after="120" w:before="240"/>
      </w:pPr>
      <w:r>
        <w:rPr>
          <w:rFonts w:ascii="Calibri" w:cs="Calibri" w:eastAsia="Calibri" w:hAnsi="Calibri"/>
          <w:b/>
          <w:bCs/>
          <w:color w:val="1E3A5F"/>
          <w:sz w:val="26"/>
          <w:szCs w:val="26"/>
        </w:rPr>
        <w:t xml:space="preserve">3. Déroulé et constats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50"/>
        <w:gridCol w:w="1250"/>
        <w:gridCol w:w="7138"/>
      </w:tblGrid>
      <w:tr>
        <w:trPr>
          <w:tblHeader/>
        </w:trPr>
        <w:tc>
          <w:tcPr>
            <w:tcW w:type="dxa" w:w="1250"/>
            <w:tcBorders>
              <w:top w:val="single" w:color="D1D5DB" w:sz="4"/>
              <w:left w:val="single" w:color="D1D5DB" w:sz="4"/>
              <w:bottom w:val="single" w:color="D1D5DB" w:sz="4"/>
              <w:right w:val="single" w:color="D1D5DB" w:sz="4"/>
            </w:tcBorders>
            <w:shd w:fill="EEF2F7" w:color="auto" w:val="clear"/>
            <w:tcMar>
              <w:top w:type="dxa" w:w="80"/>
              <w:left w:type="dxa" w:w="120"/>
              <w:bottom w:type="dxa" w:w="80"/>
              <w:right w:type="dxa" w:w="120"/>
            </w:tcMar>
          </w:tcPr>
          <w:p>
            <w:r>
              <w:rPr>
                <w:rFonts w:ascii="Calibri" w:cs="Calibri" w:eastAsia="Calibri" w:hAnsi="Calibri"/>
                <w:b/>
                <w:bCs/>
                <w:color w:val="1E3A5F"/>
                <w:sz w:val="19"/>
                <w:szCs w:val="19"/>
              </w:rPr>
              <w:t xml:space="preserve">UTC</w:t>
            </w:r>
          </w:p>
        </w:tc>
        <w:tc>
          <w:tcPr>
            <w:tcW w:type="dxa" w:w="1250"/>
            <w:tcBorders>
              <w:top w:val="single" w:color="D1D5DB" w:sz="4"/>
              <w:left w:val="single" w:color="D1D5DB" w:sz="4"/>
              <w:bottom w:val="single" w:color="D1D5DB" w:sz="4"/>
              <w:right w:val="single" w:color="D1D5DB" w:sz="4"/>
            </w:tcBorders>
            <w:shd w:fill="EEF2F7" w:color="auto" w:val="clear"/>
            <w:tcMar>
              <w:top w:type="dxa" w:w="80"/>
              <w:left w:type="dxa" w:w="120"/>
              <w:bottom w:type="dxa" w:w="80"/>
              <w:right w:type="dxa" w:w="120"/>
            </w:tcMar>
          </w:tcPr>
          <w:p>
            <w:r>
              <w:rPr>
                <w:rFonts w:ascii="Calibri" w:cs="Calibri" w:eastAsia="Calibri" w:hAnsi="Calibri"/>
                <w:b/>
                <w:bCs/>
                <w:color w:val="1E3A5F"/>
                <w:sz w:val="19"/>
                <w:szCs w:val="19"/>
              </w:rPr>
              <w:t xml:space="preserve">Bénin</w:t>
            </w:r>
          </w:p>
        </w:tc>
        <w:tc>
          <w:tcPr>
            <w:tcW w:type="dxa" w:w="7138"/>
            <w:tcBorders>
              <w:top w:val="single" w:color="D1D5DB" w:sz="4"/>
              <w:left w:val="single" w:color="D1D5DB" w:sz="4"/>
              <w:bottom w:val="single" w:color="D1D5DB" w:sz="4"/>
              <w:right w:val="single" w:color="D1D5DB" w:sz="4"/>
            </w:tcBorders>
            <w:shd w:fill="EEF2F7" w:color="auto" w:val="clear"/>
            <w:tcMar>
              <w:top w:type="dxa" w:w="80"/>
              <w:left w:type="dxa" w:w="120"/>
              <w:bottom w:type="dxa" w:w="80"/>
              <w:right w:type="dxa" w:w="120"/>
            </w:tcMar>
          </w:tcPr>
          <w:p>
            <w:r>
              <w:rPr>
                <w:rFonts w:ascii="Calibri" w:cs="Calibri" w:eastAsia="Calibri" w:hAnsi="Calibri"/>
                <w:b/>
                <w:bCs/>
                <w:color w:val="1E3A5F"/>
                <w:sz w:val="19"/>
                <w:szCs w:val="19"/>
              </w:rPr>
              <w:t xml:space="preserve">Événement</w:t>
            </w:r>
          </w:p>
        </w:tc>
      </w:tr>
      <w:tr>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17:11</w:t>
            </w:r>
          </w:p>
        </w:tc>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6B7280"/>
                <w:sz w:val="19"/>
                <w:szCs w:val="19"/>
              </w:rPr>
              <w:t xml:space="preserve">18:11</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Ouverture du jalon Upwork BM-01, acceptée. Mon délai démarre.</w:t>
            </w:r>
          </w:p>
        </w:tc>
      </w:tr>
      <w:tr>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17:18</w:t>
            </w:r>
          </w:p>
        </w:tc>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6B7280"/>
                <w:sz w:val="19"/>
                <w:szCs w:val="19"/>
              </w:rPr>
              <w:t xml:space="preserve">18:18</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Connexion OVH refusée avec l'identifiant « godson ». Le format attendu est NIC/godson.</w:t>
            </w:r>
          </w:p>
        </w:tc>
      </w:tr>
      <w:tr>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17:27</w:t>
            </w:r>
          </w:p>
        </w:tc>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6B7280"/>
                <w:sz w:val="19"/>
                <w:szCs w:val="19"/>
              </w:rPr>
              <w:t xml:space="preserve">18:27</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Constat au registre AFNIC : meddom.fr est en « client hold » (domaine suspendu, absent de tous les DNS publics). Signalé par mail, avec une demande de pause du délai.</w:t>
            </w:r>
          </w:p>
        </w:tc>
      </w:tr>
      <w:tr>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17:52</w:t>
            </w:r>
          </w:p>
        </w:tc>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6B7280"/>
                <w:sz w:val="19"/>
                <w:szCs w:val="19"/>
              </w:rPr>
              <w:t xml:space="preserve">18:52</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Identifiant complet reçu de l'Agence : connexion OVH réussie.</w:t>
            </w:r>
          </w:p>
        </w:tc>
      </w:tr>
      <w:tr>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18:02</w:t>
            </w:r>
          </w:p>
        </w:tc>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6B7280"/>
                <w:sz w:val="19"/>
                <w:szCs w:val="19"/>
              </w:rPr>
              <w:t xml:space="preserve">19:02</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Suspension levée au registre.</w:t>
            </w:r>
          </w:p>
        </w:tc>
      </w:tr>
      <w:tr>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18:17</w:t>
            </w:r>
          </w:p>
        </w:tc>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6B7280"/>
                <w:sz w:val="19"/>
                <w:szCs w:val="19"/>
              </w:rPr>
              <w:t xml:space="preserve">19:17</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Relevé de la zone OVH (AVANT) : elle contient déjà exactement les enregistrements demandés par Lovable.</w:t>
            </w:r>
          </w:p>
        </w:tc>
      </w:tr>
      <w:tr>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18:18</w:t>
            </w:r>
          </w:p>
        </w:tc>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6B7280"/>
                <w:sz w:val="19"/>
                <w:szCs w:val="19"/>
              </w:rPr>
              <w:t xml:space="preserve">19:18</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Le domaine résout à nouveau dans le DNS public.</w:t>
            </w:r>
          </w:p>
        </w:tc>
      </w:tr>
      <w:tr>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~18:28</w:t>
            </w:r>
          </w:p>
        </w:tc>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6B7280"/>
                <w:sz w:val="19"/>
                <w:szCs w:val="19"/>
              </w:rPr>
              <w:t xml:space="preserve">~19:28</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Relance de la connexion dans Lovable (« Recover ») sur les deux domaines (voir point 5).</w:t>
            </w:r>
          </w:p>
        </w:tc>
      </w:tr>
      <w:tr>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18:32</w:t>
            </w:r>
          </w:p>
        </w:tc>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6B7280"/>
                <w:sz w:val="19"/>
                <w:szCs w:val="19"/>
              </w:rPr>
              <w:t xml:space="preserve">19:32</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Zone APRÈS, interrogée sur le serveur faisant autorité dns106.ovh.net : strictement identique à la zone AVANT (13 entrées, messagerie comprise).</w:t>
            </w:r>
          </w:p>
        </w:tc>
      </w:tr>
      <w:tr>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18:41</w:t>
            </w:r>
          </w:p>
        </w:tc>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6B7280"/>
                <w:sz w:val="19"/>
                <w:szCs w:val="19"/>
              </w:rPr>
              <w:t xml:space="preserve">19:41</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Site servi en HTTPS ; Lovable affiche « Live ».</w:t>
            </w:r>
          </w:p>
        </w:tc>
      </w:tr>
      <w:tr>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18:44</w:t>
            </w:r>
          </w:p>
        </w:tc>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6B7280"/>
                <w:sz w:val="19"/>
                <w:szCs w:val="19"/>
              </w:rPr>
              <w:t xml:space="preserve">19:44</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Contrôles finaux : redirections, console, canonique. Redirection www revérifiée à 18:52 : toujours 302.</w:t>
            </w:r>
          </w:p>
        </w:tc>
      </w:tr>
      <w:tr>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18:55</w:t>
            </w:r>
          </w:p>
        </w:tc>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6B7280"/>
                <w:sz w:val="19"/>
                <w:szCs w:val="19"/>
              </w:rPr>
              <w:t xml:space="preserve">19:55</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Travail soumis sur le jalon Upwork BM-01.</w:t>
            </w:r>
          </w:p>
        </w:tc>
      </w:tr>
      <w:tr>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b/>
                <w:bCs/>
                <w:color w:val="1F2937"/>
                <w:sz w:val="19"/>
                <w:szCs w:val="19"/>
              </w:rPr>
              <w:t xml:space="preserve">19:39</w:t>
            </w:r>
          </w:p>
        </w:tc>
        <w:tc>
          <w:tcPr>
            <w:tcW w:type="dxa" w:w="125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6B7280"/>
                <w:sz w:val="19"/>
                <w:szCs w:val="19"/>
              </w:rPr>
              <w:t xml:space="preserve">20:39</w:t>
            </w:r>
          </w:p>
        </w:tc>
        <w:tc>
          <w:tcPr>
            <w:tcW w:type="dxa" w:w="71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alibri" w:cs="Calibri" w:eastAsia="Calibri" w:hAnsi="Calibri"/>
                <w:color w:val="1F2937"/>
                <w:sz w:val="19"/>
                <w:szCs w:val="19"/>
              </w:rPr>
              <w:t xml:space="preserve">Mot de passe OVH changé (voir point 5).</w:t>
            </w:r>
          </w:p>
        </w:tc>
      </w:tr>
    </w:tbl>
    <w:p>
      <w:pPr>
        <w:spacing w:after="100" w:before="200"/>
      </w:pPr>
      <w:r>
        <w:rPr>
          <w:rFonts w:ascii="Calibri" w:cs="Calibri" w:eastAsia="Calibri" w:hAnsi="Calibri"/>
          <w:b/>
          <w:bCs/>
          <w:color w:val="1F2937"/>
          <w:sz w:val="21"/>
          <w:szCs w:val="21"/>
        </w:rPr>
        <w:t xml:space="preserve">Enregistrements demandés par Lovable, déjà présents dans la zone OVH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838"/>
      </w:tblGrid>
      <w:tr>
        <w:trPr>
          <w:tblHeader/>
        </w:trPr>
        <w:tc>
          <w:tcPr>
            <w:tcW w:type="dxa" w:w="2400"/>
            <w:tcBorders>
              <w:top w:val="single" w:color="D1D5DB" w:sz="4"/>
              <w:left w:val="single" w:color="D1D5DB" w:sz="4"/>
              <w:bottom w:val="single" w:color="D1D5DB" w:sz="4"/>
              <w:right w:val="single" w:color="D1D5DB" w:sz="4"/>
            </w:tcBorders>
            <w:shd w:fill="EEF2F7" w:color="auto" w:val="clear"/>
            <w:tcMar>
              <w:top w:type="dxa" w:w="80"/>
              <w:left w:type="dxa" w:w="120"/>
              <w:bottom w:type="dxa" w:w="80"/>
              <w:right w:type="dxa" w:w="120"/>
            </w:tcMar>
          </w:tcPr>
          <w:p>
            <w:r>
              <w:rPr>
                <w:rFonts w:ascii="Calibri" w:cs="Calibri" w:eastAsia="Calibri" w:hAnsi="Calibri"/>
                <w:b/>
                <w:bCs/>
                <w:color w:val="1E3A5F"/>
                <w:sz w:val="19"/>
                <w:szCs w:val="19"/>
              </w:rPr>
              <w:t xml:space="preserve">Nom</w:t>
            </w:r>
          </w:p>
        </w:tc>
        <w:tc>
          <w:tcPr>
            <w:tcW w:type="dxa" w:w="1400"/>
            <w:tcBorders>
              <w:top w:val="single" w:color="D1D5DB" w:sz="4"/>
              <w:left w:val="single" w:color="D1D5DB" w:sz="4"/>
              <w:bottom w:val="single" w:color="D1D5DB" w:sz="4"/>
              <w:right w:val="single" w:color="D1D5DB" w:sz="4"/>
            </w:tcBorders>
            <w:shd w:fill="EEF2F7" w:color="auto" w:val="clear"/>
            <w:tcMar>
              <w:top w:type="dxa" w:w="80"/>
              <w:left w:type="dxa" w:w="120"/>
              <w:bottom w:type="dxa" w:w="80"/>
              <w:right w:type="dxa" w:w="120"/>
            </w:tcMar>
          </w:tcPr>
          <w:p>
            <w:r>
              <w:rPr>
                <w:rFonts w:ascii="Calibri" w:cs="Calibri" w:eastAsia="Calibri" w:hAnsi="Calibri"/>
                <w:b/>
                <w:bCs/>
                <w:color w:val="1E3A5F"/>
                <w:sz w:val="19"/>
                <w:szCs w:val="19"/>
              </w:rPr>
              <w:t xml:space="preserve">Type</w:t>
            </w:r>
          </w:p>
        </w:tc>
        <w:tc>
          <w:tcPr>
            <w:tcW w:type="dxa" w:w="5838"/>
            <w:tcBorders>
              <w:top w:val="single" w:color="D1D5DB" w:sz="4"/>
              <w:left w:val="single" w:color="D1D5DB" w:sz="4"/>
              <w:bottom w:val="single" w:color="D1D5DB" w:sz="4"/>
              <w:right w:val="single" w:color="D1D5DB" w:sz="4"/>
            </w:tcBorders>
            <w:shd w:fill="EEF2F7" w:color="auto" w:val="clear"/>
            <w:tcMar>
              <w:top w:type="dxa" w:w="80"/>
              <w:left w:type="dxa" w:w="120"/>
              <w:bottom w:type="dxa" w:w="80"/>
              <w:right w:type="dxa" w:w="120"/>
            </w:tcMar>
          </w:tcPr>
          <w:p>
            <w:r>
              <w:rPr>
                <w:rFonts w:ascii="Calibri" w:cs="Calibri" w:eastAsia="Calibri" w:hAnsi="Calibri"/>
                <w:b/>
                <w:bCs/>
                <w:color w:val="1E3A5F"/>
                <w:sz w:val="19"/>
                <w:szCs w:val="19"/>
              </w:rPr>
              <w:t xml:space="preserve">Valeur</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18"/>
                <w:szCs w:val="18"/>
              </w:rPr>
              <w:t xml:space="preserve">@</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18"/>
                <w:szCs w:val="18"/>
              </w:rPr>
              <w:t xml:space="preserve">A</w:t>
            </w:r>
          </w:p>
        </w:tc>
        <w:tc>
          <w:tcPr>
            <w:tcW w:type="dxa" w:w="58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16"/>
                <w:szCs w:val="16"/>
              </w:rPr>
              <w:t xml:space="preserve">185.158.133.1</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18"/>
                <w:szCs w:val="18"/>
              </w:rPr>
              <w:t xml:space="preserve">www</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18"/>
                <w:szCs w:val="18"/>
              </w:rPr>
              <w:t xml:space="preserve">A</w:t>
            </w:r>
          </w:p>
        </w:tc>
        <w:tc>
          <w:tcPr>
            <w:tcW w:type="dxa" w:w="58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16"/>
                <w:szCs w:val="16"/>
              </w:rPr>
              <w:t xml:space="preserve">185.158.133.1</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18"/>
                <w:szCs w:val="18"/>
              </w:rPr>
              <w:t xml:space="preserve">_lovable</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18"/>
                <w:szCs w:val="18"/>
              </w:rPr>
              <w:t xml:space="preserve">TXT</w:t>
            </w:r>
          </w:p>
        </w:tc>
        <w:tc>
          <w:tcPr>
            <w:tcW w:type="dxa" w:w="58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16"/>
                <w:szCs w:val="16"/>
              </w:rPr>
              <w:t xml:space="preserve">lovable_verify=3acca8223e28859585b3fa3c4f475ce06ff705f4b9b5c53db473b2c3710710cd</w:t>
            </w:r>
          </w:p>
        </w:tc>
      </w:tr>
      <w:tr>
        <w:tc>
          <w:tcPr>
            <w:tcW w:type="dxa" w:w="2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18"/>
                <w:szCs w:val="18"/>
              </w:rPr>
              <w:t xml:space="preserve">_lovable.www</w:t>
            </w:r>
          </w:p>
        </w:tc>
        <w:tc>
          <w:tcPr>
            <w:tcW w:type="dxa" w:w="1400"/>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18"/>
                <w:szCs w:val="18"/>
              </w:rPr>
              <w:t xml:space="preserve">TXT</w:t>
            </w:r>
          </w:p>
        </w:tc>
        <w:tc>
          <w:tcPr>
            <w:tcW w:type="dxa" w:w="5838"/>
            <w:tcBorders>
              <w:top w:val="single" w:color="D1D5DB" w:sz="4"/>
              <w:left w:val="single" w:color="D1D5DB" w:sz="4"/>
              <w:bottom w:val="single" w:color="D1D5DB" w:sz="4"/>
              <w:right w:val="single" w:color="D1D5DB" w:sz="4"/>
            </w:tcBorders>
            <w:tcMar>
              <w:top w:type="dxa" w:w="80"/>
              <w:left w:type="dxa" w:w="120"/>
              <w:bottom w:type="dxa" w:w="80"/>
              <w:right w:type="dxa" w:w="120"/>
            </w:tcMar>
          </w:tcPr>
          <w:p>
            <w:r>
              <w:rPr>
                <w:rFonts w:ascii="Consolas" w:cs="Consolas" w:eastAsia="Consolas" w:hAnsi="Consolas"/>
                <w:color w:val="1F2937"/>
                <w:sz w:val="16"/>
                <w:szCs w:val="16"/>
              </w:rPr>
              <w:t xml:space="preserve">lovable_verify=907e4642c962e14b43a7207755fe174f4b473e5bb8561d93d308b64e1c8fe69c</w:t>
            </w:r>
          </w:p>
        </w:tc>
      </w:tr>
    </w:tbl>
    <w:p>
      <w:pPr>
        <w:spacing w:after="120" w:before="120"/>
      </w:pPr>
      <w:r>
        <w:rPr>
          <w:rFonts w:ascii="Calibri" w:cs="Calibri" w:eastAsia="Calibri" w:hAnsi="Calibri"/>
          <w:color w:val="1F2937"/>
          <w:sz w:val="21"/>
          <w:szCs w:val="21"/>
        </w:rPr>
        <w:t xml:space="preserve">Les deux valeurs TXT ont été comparées caractère par caractère (OVH, Lovable et DNS public) : elles sont identiques. Aucun conflit : pas d'AAAA, pas de CAA, pas d'ancien A ou CNAME.</w:t>
      </w:r>
    </w:p>
    <w:p>
      <w:pPr>
        <w:spacing w:after="120" w:line="276"/>
      </w:pPr>
      <w:r>
        <w:rPr>
          <w:rFonts w:ascii="Calibri" w:cs="Calibri" w:eastAsia="Calibri" w:hAnsi="Calibri"/>
          <w:b/>
          <w:bCs/>
          <w:color w:val="1F2937"/>
          <w:sz w:val="21"/>
          <w:szCs w:val="21"/>
        </w:rPr>
        <w:t xml:space="preserve">Conclusion : </w:t>
      </w:r>
      <w:r>
        <w:rPr>
          <w:rFonts w:ascii="Calibri" w:cs="Calibri" w:eastAsia="Calibri" w:hAnsi="Calibri"/>
          <w:color w:val="1F2937"/>
          <w:sz w:val="21"/>
          <w:szCs w:val="21"/>
        </w:rPr>
        <w:t xml:space="preserve">aucune modification de la zone n'a été nécessaire. L'indisponibilité venait de la suspension du domaine au registre.</w:t>
      </w:r>
    </w:p>
    <w:p>
      <w:pPr>
        <w:spacing w:after="80"/>
      </w:pPr>
      <w:r>
        <w:rPr>
          <w:rFonts w:ascii="Calibri" w:cs="Calibri" w:eastAsia="Calibri" w:hAnsi="Calibri"/>
          <w:b/>
          <w:bCs/>
          <w:color w:val="1F2937"/>
          <w:sz w:val="21"/>
          <w:szCs w:val="21"/>
        </w:rPr>
        <w:t xml:space="preserve">Laissés intacts, car ils n'entrent pas en conflit :</w:t>
      </w:r>
    </w:p>
    <w:p>
      <w:pPr>
        <w:pStyle w:val="ListParagraph"/>
        <w:numPr>
          <w:ilvl w:val="0"/>
          <w:numId w:val="2"/>
        </w:numPr>
        <w:spacing w:after="60" w:line="264"/>
      </w:pPr>
      <w:r>
        <w:rPr>
          <w:rFonts w:ascii="Calibri" w:cs="Calibri" w:eastAsia="Calibri" w:hAnsi="Calibri"/>
          <w:color w:val="1F2937"/>
          <w:sz w:val="21"/>
          <w:szCs w:val="21"/>
        </w:rPr>
        <w:t xml:space="preserve">les TXT techniques d'OVH « 1|www.meddom.fr » (@) et « 3|welcome » (www) ;</w:t>
      </w:r>
    </w:p>
    <w:p>
      <w:pPr>
        <w:pStyle w:val="ListParagraph"/>
        <w:numPr>
          <w:ilvl w:val="0"/>
          <w:numId w:val="2"/>
        </w:numPr>
        <w:spacing w:after="60" w:line="264"/>
      </w:pPr>
      <w:r>
        <w:rPr>
          <w:rFonts w:ascii="Calibri" w:cs="Calibri" w:eastAsia="Calibri" w:hAnsi="Calibri"/>
          <w:color w:val="1F2937"/>
          <w:sz w:val="21"/>
          <w:szCs w:val="21"/>
        </w:rPr>
        <w:t xml:space="preserve">le CNAME ftp ;</w:t>
      </w:r>
    </w:p>
    <w:p>
      <w:pPr>
        <w:pStyle w:val="ListParagraph"/>
        <w:numPr>
          <w:ilvl w:val="0"/>
          <w:numId w:val="2"/>
        </w:numPr>
        <w:spacing w:after="60" w:line="264"/>
      </w:pPr>
      <w:r>
        <w:rPr>
          <w:rFonts w:ascii="Calibri" w:cs="Calibri" w:eastAsia="Calibri" w:hAnsi="Calibri"/>
          <w:color w:val="1F2937"/>
          <w:sz w:val="21"/>
          <w:szCs w:val="21"/>
        </w:rPr>
        <w:t xml:space="preserve">DNSSEC, qui reste actif ;</w:t>
      </w:r>
    </w:p>
    <w:p>
      <w:pPr>
        <w:pStyle w:val="ListParagraph"/>
        <w:numPr>
          <w:ilvl w:val="0"/>
          <w:numId w:val="2"/>
        </w:numPr>
        <w:spacing w:after="60" w:line="264"/>
      </w:pPr>
      <w:r>
        <w:rPr>
          <w:rFonts w:ascii="Calibri" w:cs="Calibri" w:eastAsia="Calibri" w:hAnsi="Calibri"/>
          <w:color w:val="1F2937"/>
          <w:sz w:val="21"/>
          <w:szCs w:val="21"/>
        </w:rPr>
        <w:t xml:space="preserve">les serveurs DNS (dns106 / ns106.ovh.net), inchangés.</w:t>
      </w:r>
    </w:p>
    <w:p>
      <w:pPr>
        <w:pStyle w:val="Heading1"/>
        <w:keepNext/>
        <w:keepLines/>
        <w:pBdr>
          <w:bottom w:val="single" w:color="D1D5DB" w:sz="6" w:space="4"/>
        </w:pBdr>
        <w:spacing w:after="120" w:before="240"/>
      </w:pPr>
      <w:r>
        <w:rPr>
          <w:rFonts w:ascii="Calibri" w:cs="Calibri" w:eastAsia="Calibri" w:hAnsi="Calibri"/>
          <w:b/>
          <w:bCs/>
          <w:color w:val="1E3A5F"/>
          <w:sz w:val="26"/>
          <w:szCs w:val="26"/>
        </w:rPr>
        <w:t xml:space="preserve">4. Écart à arbitrer par l'Agence</w:t>
      </w:r>
    </w:p>
    <w:p>
      <w:pPr>
        <w:spacing w:after="120" w:line="276"/>
      </w:pPr>
      <w:r>
        <w:rPr>
          <w:rFonts w:ascii="Calibri" w:cs="Calibri" w:eastAsia="Calibri" w:hAnsi="Calibri"/>
          <w:color w:val="1F2937"/>
          <w:sz w:val="21"/>
          <w:szCs w:val="21"/>
        </w:rPr>
        <w:t xml:space="preserve">La redirection de www.meddom.fr vers https://meddom.fr est générée par Lovable en 302 (temporaire), sur toutes les pages. Le bon demande une redirection permanente.</w:t>
      </w:r>
    </w:p>
    <w:p>
      <w:pPr>
        <w:spacing w:after="120" w:line="276"/>
      </w:pPr>
      <w:r>
        <w:rPr>
          <w:rFonts w:ascii="Calibri" w:cs="Calibri" w:eastAsia="Calibri" w:hAnsi="Calibri"/>
          <w:color w:val="1F2937"/>
          <w:sz w:val="21"/>
          <w:szCs w:val="21"/>
        </w:rPr>
        <w:t xml:space="preserve">On ne peut pas la corriger côté OVH sans repointer www hors de Lovable, ce qui serait une modification non prévue au bon. Je ne l'ai donc pas faite. Deux options :</w:t>
      </w:r>
    </w:p>
    <w:p>
      <w:pPr>
        <w:pStyle w:val="ListParagraph"/>
        <w:numPr>
          <w:ilvl w:val="0"/>
          <w:numId w:val="2"/>
        </w:numPr>
        <w:spacing w:after="60" w:line="264"/>
      </w:pPr>
      <w:r>
        <w:rPr>
          <w:rFonts w:ascii="Calibri" w:cs="Calibri" w:eastAsia="Calibri" w:hAnsi="Calibri"/>
          <w:color w:val="1F2937"/>
          <w:sz w:val="21"/>
          <w:szCs w:val="21"/>
        </w:rPr>
        <w:t xml:space="preserve">(a) une demande au support Lovable, pour obtenir une redirection 301 ;</w:t>
      </w:r>
    </w:p>
    <w:p>
      <w:pPr>
        <w:pStyle w:val="ListParagraph"/>
        <w:numPr>
          <w:ilvl w:val="0"/>
          <w:numId w:val="2"/>
        </w:numPr>
        <w:spacing w:after="60" w:line="264"/>
      </w:pPr>
      <w:r>
        <w:rPr>
          <w:rFonts w:ascii="Calibri" w:cs="Calibri" w:eastAsia="Calibri" w:hAnsi="Calibri"/>
          <w:color w:val="1F2937"/>
          <w:sz w:val="21"/>
          <w:szCs w:val="21"/>
        </w:rPr>
        <w:t xml:space="preserve">(b) l'acceptation de l'écart.</w:t>
      </w:r>
    </w:p>
    <w:p>
      <w:pPr>
        <w:spacing w:after="120" w:before="80"/>
      </w:pPr>
      <w:r>
        <w:rPr>
          <w:rFonts w:ascii="Calibri" w:cs="Calibri" w:eastAsia="Calibri" w:hAnsi="Calibri"/>
          <w:color w:val="1F2937"/>
          <w:sz w:val="21"/>
          <w:szCs w:val="21"/>
        </w:rPr>
        <w:t xml:space="preserve">Je revérifierai le code de redirection à votre demande.</w:t>
      </w:r>
    </w:p>
    <w:p>
      <w:pPr>
        <w:pStyle w:val="Heading1"/>
        <w:keepNext/>
        <w:keepLines/>
        <w:pBdr>
          <w:bottom w:val="single" w:color="D1D5DB" w:sz="6" w:space="4"/>
        </w:pBdr>
        <w:spacing w:after="120" w:before="240"/>
      </w:pPr>
      <w:r>
        <w:rPr>
          <w:rFonts w:ascii="Calibri" w:cs="Calibri" w:eastAsia="Calibri" w:hAnsi="Calibri"/>
          <w:b/>
          <w:bCs/>
          <w:color w:val="1E3A5F"/>
          <w:sz w:val="26"/>
          <w:szCs w:val="26"/>
        </w:rPr>
        <w:t xml:space="preserve">5. Points de sécurité, pour transparence</w:t>
      </w:r>
    </w:p>
    <w:p>
      <w:pPr>
        <w:pStyle w:val="ListParagraph"/>
        <w:numPr>
          <w:ilvl w:val="0"/>
          <w:numId w:val="2"/>
        </w:numPr>
        <w:spacing w:after="60" w:line="264"/>
      </w:pPr>
      <w:r>
        <w:rPr>
          <w:rFonts w:ascii="Calibri" w:cs="Calibri" w:eastAsia="Calibri" w:hAnsi="Calibri"/>
          <w:b/>
          <w:bCs/>
          <w:color w:val="1F2937"/>
          <w:sz w:val="21"/>
          <w:szCs w:val="21"/>
        </w:rPr>
        <w:t xml:space="preserve">Connexion via Entri. </w:t>
      </w:r>
      <w:r>
        <w:rPr>
          <w:rFonts w:ascii="Calibri" w:cs="Calibri" w:eastAsia="Calibri" w:hAnsi="Calibri"/>
          <w:color w:val="1F2937"/>
          <w:sz w:val="21"/>
          <w:szCs w:val="21"/>
        </w:rPr>
        <w:t xml:space="preserve">« Recover » a ouvert Entri (app.goentri.com), le service partenaire de connexion de domaine de Lovable, qui demandait les identifiants OVH. Je les ai saisis.</w:t>
      </w:r>
    </w:p>
    <w:p>
      <w:pPr>
        <w:pStyle w:val="ListParagraph"/>
        <w:numPr>
          <w:ilvl w:val="1"/>
          <w:numId w:val="2"/>
        </w:numPr>
        <w:spacing w:after="60" w:line="264"/>
      </w:pPr>
      <w:r>
        <w:rPr>
          <w:rFonts w:ascii="Calibri" w:cs="Calibri" w:eastAsia="Calibri" w:hAnsi="Calibri"/>
          <w:color w:val="1F2937"/>
          <w:sz w:val="21"/>
          <w:szCs w:val="21"/>
        </w:rPr>
        <w:t xml:space="preserve">Vérification faite ensuite : aucune modification de la zone.</w:t>
      </w:r>
    </w:p>
    <w:p>
      <w:pPr>
        <w:pStyle w:val="ListParagraph"/>
        <w:numPr>
          <w:ilvl w:val="1"/>
          <w:numId w:val="2"/>
        </w:numPr>
        <w:spacing w:after="60" w:line="264"/>
      </w:pPr>
      <w:r>
        <w:rPr>
          <w:rFonts w:ascii="Calibri" w:cs="Calibri" w:eastAsia="Calibri" w:hAnsi="Calibri"/>
          <w:color w:val="1F2937"/>
          <w:sz w:val="21"/>
          <w:szCs w:val="21"/>
        </w:rPr>
        <w:t xml:space="preserve">Mot de passe OVH changé le 5 octobre 2026 à 19:39 UTC (20h39 heure du Bénin).</w:t>
      </w:r>
    </w:p>
    <w:p>
      <w:pPr>
        <w:pStyle w:val="ListParagraph"/>
        <w:numPr>
          <w:ilvl w:val="1"/>
          <w:numId w:val="2"/>
        </w:numPr>
        <w:spacing w:after="60" w:line="264"/>
      </w:pPr>
      <w:r>
        <w:rPr>
          <w:rFonts w:ascii="Calibri" w:cs="Calibri" w:eastAsia="Calibri" w:hAnsi="Calibri"/>
          <w:color w:val="1F2937"/>
          <w:sz w:val="21"/>
          <w:szCs w:val="21"/>
        </w:rPr>
        <w:t xml:space="preserve">Je vous suggère de vérifier les applications et jetons API de votre compte OVH, et de révoquer celui d'Entri s'il existe.</w:t>
      </w:r>
    </w:p>
    <w:p>
      <w:pPr>
        <w:pStyle w:val="ListParagraph"/>
        <w:numPr>
          <w:ilvl w:val="1"/>
          <w:numId w:val="2"/>
        </w:numPr>
        <w:spacing w:after="60" w:line="264"/>
      </w:pPr>
      <w:r>
        <w:rPr>
          <w:rFonts w:ascii="Calibri" w:cs="Calibri" w:eastAsia="Calibri" w:hAnsi="Calibri"/>
          <w:color w:val="1F2937"/>
          <w:sz w:val="21"/>
          <w:szCs w:val="21"/>
        </w:rPr>
        <w:t xml:space="preserve">À l'avenir, je saisirai les enregistrements manuellement.</w:t>
      </w:r>
    </w:p>
    <w:p>
      <w:pPr>
        <w:pStyle w:val="ListParagraph"/>
        <w:numPr>
          <w:ilvl w:val="0"/>
          <w:numId w:val="2"/>
        </w:numPr>
        <w:spacing w:after="60" w:line="264"/>
      </w:pPr>
      <w:r>
        <w:rPr>
          <w:rFonts w:ascii="Calibri" w:cs="Calibri" w:eastAsia="Calibri" w:hAnsi="Calibri"/>
          <w:b/>
          <w:bCs/>
          <w:color w:val="1F2937"/>
          <w:sz w:val="21"/>
          <w:szCs w:val="21"/>
        </w:rPr>
        <w:t xml:space="preserve">Périmètre de l'accès OVH. </w:t>
      </w:r>
      <w:r>
        <w:rPr>
          <w:rFonts w:ascii="Calibri" w:cs="Calibri" w:eastAsia="Calibri" w:hAnsi="Calibri"/>
          <w:color w:val="1F2937"/>
          <w:sz w:val="21"/>
          <w:szCs w:val="21"/>
        </w:rPr>
        <w:t xml:space="preserve">Mon accès dépasse le périmètre prévu au bon (« limité au domaine meddom.fr ») : il affiche aussi un autre domaine et ses services, ainsi que les menus factures, moyens de paiement et contrats du compte. Je n'ai consulté que meddom.fr et n'ai ouvert aucun de ces menus. Vous voudrez peut-être restreindre les droits de cet utilisateur au seul meddom.fr.</w:t>
      </w:r>
    </w:p>
    <w:p>
      <w:pPr>
        <w:pStyle w:val="ListParagraph"/>
        <w:numPr>
          <w:ilvl w:val="0"/>
          <w:numId w:val="2"/>
        </w:numPr>
        <w:spacing w:after="60" w:line="264"/>
      </w:pPr>
      <w:r>
        <w:rPr>
          <w:rFonts w:ascii="Calibri" w:cs="Calibri" w:eastAsia="Calibri" w:hAnsi="Calibri"/>
          <w:b/>
          <w:bCs/>
          <w:color w:val="1F2937"/>
          <w:sz w:val="21"/>
          <w:szCs w:val="21"/>
        </w:rPr>
        <w:t xml:space="preserve">Adresse de réinitialisation. </w:t>
      </w:r>
      <w:r>
        <w:rPr>
          <w:rFonts w:ascii="Calibri" w:cs="Calibri" w:eastAsia="Calibri" w:hAnsi="Calibri"/>
          <w:color w:val="1F2937"/>
          <w:sz w:val="21"/>
          <w:szCs w:val="21"/>
        </w:rPr>
        <w:t xml:space="preserve">L'adresse e-mail rattachée à mon utilisateur est celle de l'Agence : une réinitialisation de mot de passe arrive donc chez vous, pas chez moi.</w:t>
      </w:r>
    </w:p>
    <w:p>
      <w:pPr>
        <w:pStyle w:val="Heading1"/>
        <w:keepNext/>
        <w:keepLines/>
        <w:pBdr>
          <w:bottom w:val="single" w:color="D1D5DB" w:sz="6" w:space="4"/>
        </w:pBdr>
        <w:spacing w:after="120" w:before="240"/>
      </w:pPr>
      <w:r>
        <w:rPr>
          <w:rFonts w:ascii="Calibri" w:cs="Calibri" w:eastAsia="Calibri" w:hAnsi="Calibri"/>
          <w:b/>
          <w:bCs/>
          <w:color w:val="1E3A5F"/>
          <w:sz w:val="26"/>
          <w:szCs w:val="26"/>
        </w:rPr>
        <w:t xml:space="preserve">6. Preuves</w:t>
      </w:r>
    </w:p>
    <w:p>
      <w:pPr>
        <w:spacing w:after="120" w:line="276"/>
      </w:pPr>
      <w:r>
        <w:rPr>
          <w:rFonts w:ascii="Calibri" w:cs="Calibri" w:eastAsia="Calibri" w:hAnsi="Calibri"/>
          <w:color w:val="1F2937"/>
          <w:sz w:val="21"/>
          <w:szCs w:val="21"/>
        </w:rPr>
        <w:t xml:space="preserve">Dossier PREUVES, fichiers nommés par heure UTC :</w:t>
      </w:r>
    </w:p>
    <w:p>
      <w:pPr>
        <w:pStyle w:val="ListParagraph"/>
        <w:numPr>
          <w:ilvl w:val="0"/>
          <w:numId w:val="2"/>
        </w:numPr>
        <w:spacing w:after="60" w:line="264"/>
      </w:pPr>
      <w:r>
        <w:rPr>
          <w:rFonts w:ascii="Calibri" w:cs="Calibri" w:eastAsia="Calibri" w:hAnsi="Calibri"/>
          <w:color w:val="1F2937"/>
          <w:sz w:val="21"/>
          <w:szCs w:val="21"/>
        </w:rPr>
        <w:t xml:space="preserve">Registre AFNIC : statut « client hold », puis suspension levée (JSON) ; requêtes DNS publiques (NXDOMAIN)</w:t>
      </w:r>
    </w:p>
    <w:p>
      <w:pPr>
        <w:pStyle w:val="ListParagraph"/>
        <w:numPr>
          <w:ilvl w:val="0"/>
          <w:numId w:val="2"/>
        </w:numPr>
        <w:spacing w:after="60" w:line="264"/>
      </w:pPr>
      <w:r>
        <w:rPr>
          <w:rFonts w:ascii="Calibri" w:cs="Calibri" w:eastAsia="Calibri" w:hAnsi="Calibri"/>
          <w:color w:val="1F2937"/>
          <w:sz w:val="21"/>
          <w:szCs w:val="21"/>
        </w:rPr>
        <w:t xml:space="preserve">Connexion OVH : refus, format d'identifiant, connexion réussie ; menu du compte (périmètre de l'accès)</w:t>
      </w:r>
    </w:p>
    <w:p>
      <w:pPr>
        <w:pStyle w:val="ListParagraph"/>
        <w:numPr>
          <w:ilvl w:val="0"/>
          <w:numId w:val="2"/>
        </w:numPr>
        <w:spacing w:after="60" w:line="264"/>
      </w:pPr>
      <w:r>
        <w:rPr>
          <w:rFonts w:ascii="Calibri" w:cs="Calibri" w:eastAsia="Calibri" w:hAnsi="Calibri"/>
          <w:color w:val="1F2937"/>
          <w:sz w:val="21"/>
          <w:szCs w:val="21"/>
        </w:rPr>
        <w:t xml:space="preserve">Fiche du domaine, avec DNSSEC actif</w:t>
      </w:r>
    </w:p>
    <w:p>
      <w:pPr>
        <w:pStyle w:val="ListParagraph"/>
        <w:numPr>
          <w:ilvl w:val="0"/>
          <w:numId w:val="2"/>
        </w:numPr>
        <w:spacing w:after="60" w:line="264"/>
      </w:pPr>
      <w:r>
        <w:rPr>
          <w:rFonts w:ascii="Calibri" w:cs="Calibri" w:eastAsia="Calibri" w:hAnsi="Calibri"/>
          <w:color w:val="1F2937"/>
          <w:sz w:val="21"/>
          <w:szCs w:val="21"/>
        </w:rPr>
        <w:t xml:space="preserve">Zone AVANT : 3 captures, 13 entrées</w:t>
      </w:r>
    </w:p>
    <w:p>
      <w:pPr>
        <w:pStyle w:val="ListParagraph"/>
        <w:numPr>
          <w:ilvl w:val="0"/>
          <w:numId w:val="2"/>
        </w:numPr>
        <w:spacing w:after="60" w:line="264"/>
      </w:pPr>
      <w:r>
        <w:rPr>
          <w:rFonts w:ascii="Calibri" w:cs="Calibri" w:eastAsia="Calibri" w:hAnsi="Calibri"/>
          <w:color w:val="1F2937"/>
          <w:sz w:val="21"/>
          <w:szCs w:val="21"/>
        </w:rPr>
        <w:t xml:space="preserve">Enregistrements demandés par Lovable : racine et www</w:t>
      </w:r>
    </w:p>
    <w:p>
      <w:pPr>
        <w:pStyle w:val="ListParagraph"/>
        <w:numPr>
          <w:ilvl w:val="0"/>
          <w:numId w:val="2"/>
        </w:numPr>
        <w:spacing w:after="60" w:line="264"/>
      </w:pPr>
      <w:r>
        <w:rPr>
          <w:rFonts w:ascii="Calibri" w:cs="Calibri" w:eastAsia="Calibri" w:hAnsi="Calibri"/>
          <w:color w:val="1F2937"/>
          <w:sz w:val="21"/>
          <w:szCs w:val="21"/>
        </w:rPr>
        <w:t xml:space="preserve">Comparaison des valeurs TXT</w:t>
      </w:r>
    </w:p>
    <w:p>
      <w:pPr>
        <w:pStyle w:val="ListParagraph"/>
        <w:numPr>
          <w:ilvl w:val="0"/>
          <w:numId w:val="2"/>
        </w:numPr>
        <w:spacing w:after="60" w:line="264"/>
      </w:pPr>
      <w:r>
        <w:rPr>
          <w:rFonts w:ascii="Calibri" w:cs="Calibri" w:eastAsia="Calibri" w:hAnsi="Calibri"/>
          <w:color w:val="1F2937"/>
          <w:sz w:val="21"/>
          <w:szCs w:val="21"/>
        </w:rPr>
        <w:t xml:space="preserve">Suivi de propagation ; DNS résolu avant Recover</w:t>
      </w:r>
    </w:p>
    <w:p>
      <w:pPr>
        <w:pStyle w:val="ListParagraph"/>
        <w:numPr>
          <w:ilvl w:val="0"/>
          <w:numId w:val="2"/>
        </w:numPr>
        <w:spacing w:after="60" w:line="264"/>
      </w:pPr>
      <w:r>
        <w:rPr>
          <w:rFonts w:ascii="Calibri" w:cs="Calibri" w:eastAsia="Calibri" w:hAnsi="Calibri"/>
          <w:color w:val="1F2937"/>
          <w:sz w:val="21"/>
          <w:szCs w:val="21"/>
        </w:rPr>
        <w:t xml:space="preserve">Écran Entri, mot de passe masqué ; Lovable « connecté » pour les deux domaines ; Lovable « Live »</w:t>
      </w:r>
    </w:p>
    <w:p>
      <w:pPr>
        <w:pStyle w:val="ListParagraph"/>
        <w:numPr>
          <w:ilvl w:val="0"/>
          <w:numId w:val="2"/>
        </w:numPr>
        <w:spacing w:after="60" w:line="264"/>
      </w:pPr>
      <w:r>
        <w:rPr>
          <w:rFonts w:ascii="Calibri" w:cs="Calibri" w:eastAsia="Calibri" w:hAnsi="Calibri"/>
          <w:color w:val="1F2937"/>
          <w:sz w:val="21"/>
          <w:szCs w:val="21"/>
        </w:rPr>
        <w:t xml:space="preserve">Zone APRÈS (serveur dns106), certificats, suivi HTTPS</w:t>
      </w:r>
    </w:p>
    <w:p>
      <w:pPr>
        <w:pStyle w:val="ListParagraph"/>
        <w:numPr>
          <w:ilvl w:val="0"/>
          <w:numId w:val="2"/>
        </w:numPr>
        <w:spacing w:after="60" w:line="264"/>
      </w:pPr>
      <w:r>
        <w:rPr>
          <w:rFonts w:ascii="Calibri" w:cs="Calibri" w:eastAsia="Calibri" w:hAnsi="Calibri"/>
          <w:color w:val="1F2937"/>
          <w:sz w:val="21"/>
          <w:szCs w:val="21"/>
        </w:rPr>
        <w:t xml:space="preserve">Contrôles finaux : redirections et console ; capture de l'accueil</w:t>
      </w:r>
    </w:p>
    <w:p>
      <w:pPr>
        <w:spacing w:after="120" w:before="120"/>
      </w:pPr>
      <w:r>
        <w:rPr>
          <w:rFonts w:ascii="Calibri" w:cs="Calibri" w:eastAsia="Calibri" w:hAnsi="Calibri"/>
          <w:b/>
          <w:bCs/>
          <w:color w:val="1F2937"/>
          <w:sz w:val="21"/>
          <w:szCs w:val="21"/>
        </w:rPr>
        <w:t xml:space="preserve">Outils déclarés : </w:t>
      </w:r>
      <w:r>
        <w:rPr>
          <w:rFonts w:ascii="Calibri" w:cs="Calibri" w:eastAsia="Calibri" w:hAnsi="Calibri"/>
          <w:color w:val="1F2937"/>
          <w:sz w:val="21"/>
          <w:szCs w:val="21"/>
        </w:rPr>
        <w:t xml:space="preserve">Claude (compte personnel, entraînement désactivé, capture au dossier PREUVES), utilisé pour l'analyse DNS et les contrôles.</w:t>
      </w:r>
    </w:p>
    <w:p>
      <w:pPr>
        <w:pStyle w:val="Heading1"/>
        <w:keepNext/>
        <w:keepLines/>
        <w:pBdr>
          <w:bottom w:val="single" w:color="D1D5DB" w:sz="6" w:space="4"/>
        </w:pBdr>
        <w:spacing w:after="120" w:before="240"/>
      </w:pPr>
      <w:r>
        <w:rPr>
          <w:rFonts w:ascii="Calibri" w:cs="Calibri" w:eastAsia="Calibri" w:hAnsi="Calibri"/>
          <w:b/>
          <w:bCs/>
          <w:color w:val="1E3A5F"/>
          <w:sz w:val="26"/>
          <w:szCs w:val="26"/>
        </w:rPr>
        <w:t xml:space="preserve">7. Retour d'expérience</w:t>
      </w:r>
    </w:p>
    <w:p>
      <w:pPr>
        <w:pStyle w:val="ListParagraph"/>
        <w:numPr>
          <w:ilvl w:val="0"/>
          <w:numId w:val="2"/>
        </w:numPr>
        <w:spacing w:after="60" w:line="264"/>
      </w:pPr>
      <w:r>
        <w:rPr>
          <w:rFonts w:ascii="Calibri" w:cs="Calibri" w:eastAsia="Calibri" w:hAnsi="Calibri"/>
          <w:b/>
          <w:bCs/>
          <w:color w:val="1F2937"/>
          <w:sz w:val="21"/>
          <w:szCs w:val="21"/>
        </w:rPr>
        <w:t xml:space="preserve">Ce qui a coincé : </w:t>
      </w:r>
      <w:r>
        <w:rPr>
          <w:rFonts w:ascii="Calibri" w:cs="Calibri" w:eastAsia="Calibri" w:hAnsi="Calibri"/>
          <w:color w:val="1F2937"/>
          <w:sz w:val="21"/>
          <w:szCs w:val="21"/>
        </w:rPr>
        <w:t xml:space="preserve">la suspension du domaine au registre, invisible depuis OVH (statut « Active » affiché), et l'identifiant au format NIC/utilisateur.</w:t>
      </w:r>
    </w:p>
    <w:p>
      <w:pPr>
        <w:pStyle w:val="ListParagraph"/>
        <w:numPr>
          <w:ilvl w:val="0"/>
          <w:numId w:val="2"/>
        </w:numPr>
        <w:spacing w:after="60" w:line="264"/>
      </w:pPr>
      <w:r>
        <w:rPr>
          <w:rFonts w:ascii="Calibri" w:cs="Calibri" w:eastAsia="Calibri" w:hAnsi="Calibri"/>
          <w:b/>
          <w:bCs/>
          <w:color w:val="1F2937"/>
          <w:sz w:val="21"/>
          <w:szCs w:val="21"/>
        </w:rPr>
        <w:t xml:space="preserve">Ce qui a été trouvé pour s'en sortir : </w:t>
      </w:r>
      <w:r>
        <w:rPr>
          <w:rFonts w:ascii="Calibri" w:cs="Calibri" w:eastAsia="Calibri" w:hAnsi="Calibri"/>
          <w:color w:val="1F2937"/>
          <w:sz w:val="21"/>
          <w:szCs w:val="21"/>
        </w:rPr>
        <w:t xml:space="preserve">interroger le registre AFNIC et le serveur DNS faisant autorité, pour distinguer un problème de zone d'un problème de domaine avant de toucher quoi que ce soit.</w:t>
      </w:r>
    </w:p>
    <w:p>
      <w:pPr>
        <w:pStyle w:val="ListParagraph"/>
        <w:numPr>
          <w:ilvl w:val="0"/>
          <w:numId w:val="2"/>
        </w:numPr>
        <w:spacing w:after="60" w:line="264"/>
      </w:pPr>
      <w:r>
        <w:rPr>
          <w:rFonts w:ascii="Calibri" w:cs="Calibri" w:eastAsia="Calibri" w:hAnsi="Calibri"/>
          <w:b/>
          <w:bCs/>
          <w:color w:val="1F2937"/>
          <w:sz w:val="21"/>
          <w:szCs w:val="21"/>
        </w:rPr>
        <w:t xml:space="preserve">Proposition pour la méthode : </w:t>
      </w:r>
      <w:r>
        <w:rPr>
          <w:rFonts w:ascii="Calibri" w:cs="Calibri" w:eastAsia="Calibri" w:hAnsi="Calibri"/>
          <w:color w:val="1F2937"/>
          <w:sz w:val="21"/>
          <w:szCs w:val="21"/>
        </w:rPr>
        <w:t xml:space="preserve">ajouter à la procédure de connexion de domaine une vérification préalable du statut au registre (RDAP) et un relevé de la zone existante. Ici, aucune saisie n'était nécessaire.</w:t>
      </w:r>
    </w:p>
    <w:p>
      <w:pPr>
        <w:keepNext/>
        <w:spacing w:after="80" w:before="160"/>
      </w:pPr>
      <w:r>
        <w:rPr>
          <w:rFonts w:ascii="Calibri" w:cs="Calibri" w:eastAsia="Calibri" w:hAnsi="Calibri"/>
          <w:color w:val="1F2937"/>
          <w:sz w:val="21"/>
          <w:szCs w:val="21"/>
        </w:rPr>
        <w:t xml:space="preserve">Je reste disponible pour toute question.</w:t>
      </w:r>
    </w:p>
    <w:p>
      <w:pPr>
        <w:keepNext/>
        <w:spacing w:after="40"/>
      </w:pPr>
      <w:r>
        <w:rPr>
          <w:rFonts w:ascii="Calibri" w:cs="Calibri" w:eastAsia="Calibri" w:hAnsi="Calibri"/>
          <w:color w:val="1F2937"/>
          <w:sz w:val="21"/>
          <w:szCs w:val="21"/>
        </w:rPr>
        <w:t xml:space="preserve">Bien à vous,</w:t>
      </w:r>
    </w:p>
    <w:p>
      <w:pPr>
        <w:keepNext/>
        <w:spacing w:after="0"/>
      </w:pPr>
      <w:r>
        <w:rPr>
          <w:rFonts w:ascii="Calibri" w:cs="Calibri" w:eastAsia="Calibri" w:hAnsi="Calibri"/>
          <w:b/>
          <w:bCs/>
          <w:color w:val="1F2937"/>
          <w:sz w:val="21"/>
          <w:szCs w:val="21"/>
        </w:rPr>
        <w:t xml:space="preserve">Godson Onel EZIN</w:t>
      </w:r>
    </w:p>
    <w:p>
      <w:pPr>
        <w:spacing w:after="120" w:line="276"/>
      </w:pPr>
      <w:r>
        <w:rPr>
          <w:rFonts w:ascii="Calibri" w:cs="Calibri" w:eastAsia="Calibri" w:hAnsi="Calibri"/>
          <w:color w:val="6B7280"/>
          <w:sz w:val="19"/>
          <w:szCs w:val="19"/>
        </w:rPr>
        <w:t xml:space="preserve">Chef de projet prestataire · contrat CTR-PRESTATAIRE-CDP-2026-001</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rFonts w:ascii="Calibri" w:cs="Calibri" w:eastAsia="Calibri" w:hAnsi="Calibri"/>
        <w:color w:val="6B7280"/>
        <w:sz w:val="16"/>
        <w:szCs w:val="16"/>
      </w:rPr>
      <w:t xml:space="preserve">Rapport final BM-01 · CTR-PRESTATAIRE-CDP-2026-001 · G. O. EZIN</w:t>
    </w:r>
    <w:r>
      <w:rPr>
        <w:rFonts w:ascii="Calibri" w:cs="Calibri" w:eastAsia="Calibri" w:hAnsi="Calibri"/>
        <w:color w:val="6B7280"/>
        <w:sz w:val="16"/>
        <w:szCs w:val="16"/>
      </w:rPr>
      <w:t xml:space="preserve">	Page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lvl>
    <w:lvl w:ilvl="1" w:tentative="1">
      <w:start w:val="1"/>
      <w:numFmt w:val="bullet"/>
      <w:lvlText w:val="–"/>
      <w:lvlJc w:val="left"/>
      <w:pPr>
        <w:ind w:left="7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E3A5F"/>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final BM-01 · meddom.fr</dc:title>
  <dc:creator>Godson Onel EZIN</dc:creator>
  <cp:lastModifiedBy>Un-named</cp:lastModifiedBy>
  <cp:revision>1</cp:revision>
  <dcterms:created xsi:type="dcterms:W3CDTF">2026-10-05T19:50:44.674Z</dcterms:created>
  <dcterms:modified xsi:type="dcterms:W3CDTF">2026-10-05T19:50:44.675Z</dcterms:modified>
</cp:coreProperties>
</file>

<file path=docProps/custom.xml><?xml version="1.0" encoding="utf-8"?>
<Properties xmlns="http://schemas.openxmlformats.org/officeDocument/2006/custom-properties" xmlns:vt="http://schemas.openxmlformats.org/officeDocument/2006/docPropsVTypes"/>
</file>