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firstLine="0"/>
        <w:jc w:val="center"/>
      </w:pPr>
      <w:r>
        <w:rPr>
          <w:rFonts w:ascii="Times New Roman" w:hAnsi="Times New Roman"/>
          <w:b/>
          <w:i w:val="0"/>
          <w:sz w:val="28"/>
        </w:rPr>
        <w:t>Data Analytics Capstone</w:t>
      </w:r>
    </w:p>
    <w:p/>
    <w:p>
      <w:pPr>
        <w:ind w:firstLine="0"/>
        <w:jc w:val="center"/>
      </w:pPr>
      <w:r>
        <w:rPr>
          <w:rFonts w:ascii="Times New Roman" w:hAnsi="Times New Roman"/>
          <w:b/>
          <w:i w:val="0"/>
          <w:sz w:val="28"/>
        </w:rPr>
        <w:t>Algorithmic Fairness in Mortgage Lending:</w:t>
      </w:r>
    </w:p>
    <w:p>
      <w:pPr>
        <w:ind w:firstLine="0"/>
        <w:jc w:val="center"/>
      </w:pPr>
      <w:r>
        <w:rPr>
          <w:rFonts w:ascii="Times New Roman" w:hAnsi="Times New Roman"/>
          <w:b/>
          <w:i w:val="0"/>
          <w:sz w:val="28"/>
        </w:rPr>
        <w:t>A Machine Learning Analysis of HMDA Data (2022–2024)</w:t>
      </w:r>
    </w:p>
    <w:p/>
    <w:p>
      <w:pPr>
        <w:ind w:firstLine="0"/>
        <w:jc w:val="center"/>
      </w:pPr>
      <w:r>
        <w:rPr>
          <w:rFonts w:ascii="Times New Roman" w:hAnsi="Times New Roman"/>
          <w:b/>
          <w:i w:val="0"/>
          <w:sz w:val="28"/>
        </w:rPr>
        <w:t>Final Report</w:t>
      </w:r>
    </w:p>
    <w:p/>
    <w:p/>
    <w:p/>
    <w:p/>
    <w:p/>
    <w:p/>
    <w:p/>
    <w:p>
      <w:pPr>
        <w:ind w:firstLine="0"/>
        <w:jc w:val="center"/>
      </w:pPr>
      <w:r>
        <w:rPr>
          <w:rFonts w:ascii="Times New Roman" w:hAnsi="Times New Roman"/>
          <w:b w:val="0"/>
          <w:i w:val="0"/>
          <w:sz w:val="24"/>
        </w:rPr>
        <w:t>Tsumbo Munyai</w:t>
      </w:r>
    </w:p>
    <w:p>
      <w:pPr>
        <w:ind w:firstLine="0"/>
        <w:jc w:val="center"/>
      </w:pPr>
      <w:r>
        <w:rPr>
          <w:rFonts w:ascii="Times New Roman" w:hAnsi="Times New Roman"/>
          <w:b w:val="0"/>
          <w:i w:val="0"/>
          <w:sz w:val="24"/>
        </w:rPr>
        <w:t>Walsh College</w:t>
      </w:r>
    </w:p>
    <w:p>
      <w:pPr>
        <w:ind w:firstLine="0"/>
        <w:jc w:val="center"/>
      </w:pPr>
      <w:r>
        <w:rPr>
          <w:rFonts w:ascii="Times New Roman" w:hAnsi="Times New Roman"/>
          <w:b w:val="0"/>
          <w:i w:val="0"/>
          <w:sz w:val="24"/>
        </w:rPr>
        <w:t>QM640: Data Analytics Capstone</w:t>
      </w:r>
    </w:p>
    <w:p>
      <w:pPr>
        <w:ind w:firstLine="0"/>
        <w:jc w:val="center"/>
      </w:pPr>
      <w:r>
        <w:rPr>
          <w:rFonts w:ascii="Times New Roman" w:hAnsi="Times New Roman"/>
          <w:b w:val="0"/>
          <w:i w:val="0"/>
          <w:sz w:val="24"/>
        </w:rPr>
        <w:t>Kartik Umesh Sharma</w:t>
      </w:r>
    </w:p>
    <w:p>
      <w:pPr>
        <w:ind w:firstLine="0"/>
        <w:jc w:val="center"/>
      </w:pPr>
      <w:r>
        <w:rPr>
          <w:rFonts w:ascii="Times New Roman" w:hAnsi="Times New Roman"/>
          <w:b w:val="0"/>
          <w:i w:val="0"/>
          <w:sz w:val="24"/>
        </w:rPr>
        <w:t>Term 3</w:t>
      </w:r>
    </w:p>
    <w:p>
      <w:pPr>
        <w:ind w:firstLine="0"/>
        <w:jc w:val="center"/>
      </w:pPr>
      <w:r>
        <w:rPr>
          <w:rFonts w:ascii="Times New Roman" w:hAnsi="Times New Roman"/>
          <w:b w:val="0"/>
          <w:i w:val="0"/>
          <w:sz w:val="24"/>
        </w:rPr>
        <w:t>May 2026</w:t>
      </w:r>
    </w:p>
    <w:p>
      <w:r>
        <w:br w:type="page"/>
      </w:r>
    </w:p>
    <w:p>
      <w:pPr>
        <w:pStyle w:val="Heading1"/>
        <w:spacing w:before="240" w:after="120"/>
        <w:jc w:val="center"/>
      </w:pPr>
      <w:r>
        <w:rPr>
          <w:rFonts w:ascii="Times New Roman" w:hAnsi="Times New Roman"/>
          <w:b/>
          <w:color w:val="000000"/>
          <w:sz w:val="28"/>
        </w:rPr>
        <w:t>Data Availability Statement</w:t>
      </w:r>
    </w:p>
    <w:p>
      <w:pPr>
        <w:spacing w:after="120" w:line="480" w:lineRule="auto"/>
        <w:ind w:firstLine="360"/>
        <w:jc w:val="both"/>
      </w:pPr>
      <w:r>
        <w:rPr>
          <w:rFonts w:ascii="Times New Roman" w:hAnsi="Times New Roman"/>
          <w:b w:val="0"/>
          <w:i w:val="0"/>
          <w:sz w:val="24"/>
        </w:rPr>
        <w:t>The complete analytical pipeline, including all data preprocessing scripts, model training code, fairness evaluation modules, and visualization utilities, is publicly available in the following GitHub repository: https://github.com/TsumboM/qm640-credit-bias. All code is written in Python 3 and uses relative paths (./data, ./results, ./figures) to ensure full reproducibility across different computing environments. The HMDA datasets used in this study are publicly available from the Consumer Financial Protection Bureau (CFPB) at https://www.consumerfinance.gov/data-research/hmda/.</w:t>
      </w:r>
    </w:p>
    <w:p>
      <w:pPr>
        <w:spacing w:after="120" w:line="480" w:lineRule="auto"/>
        <w:ind w:firstLine="360"/>
        <w:jc w:val="both"/>
      </w:pPr>
      <w:r>
        <w:rPr>
          <w:rFonts w:ascii="Times New Roman" w:hAnsi="Times New Roman"/>
          <w:b w:val="0"/>
          <w:i w:val="0"/>
          <w:sz w:val="24"/>
        </w:rPr>
        <w:t>The repository is organized into the following directories: /data (raw and processed HMDA data), /scripts (all Python analysis scripts), /results (model outputs and fairness metrics), and /figures (all publication-quality visualizations). A detailed README.md file provides step-by-step instructions for reproducing all results reported in this study.</w:t>
      </w:r>
    </w:p>
    <w:p>
      <w:r>
        <w:br w:type="page"/>
      </w:r>
    </w:p>
    <w:p>
      <w:pPr>
        <w:pStyle w:val="Heading1"/>
        <w:spacing w:before="240" w:after="120"/>
        <w:jc w:val="center"/>
      </w:pPr>
      <w:r>
        <w:rPr>
          <w:rFonts w:ascii="Times New Roman" w:hAnsi="Times New Roman"/>
          <w:b/>
          <w:color w:val="000000"/>
          <w:sz w:val="28"/>
        </w:rPr>
        <w:t>Abstract</w:t>
      </w:r>
    </w:p>
    <w:p>
      <w:pPr>
        <w:spacing w:after="120" w:line="480" w:lineRule="auto"/>
        <w:ind w:firstLine="360"/>
        <w:jc w:val="both"/>
      </w:pPr>
      <w:r>
        <w:rPr>
          <w:rFonts w:ascii="Times New Roman" w:hAnsi="Times New Roman"/>
          <w:b w:val="0"/>
          <w:i w:val="0"/>
          <w:sz w:val="24"/>
        </w:rPr>
        <w:t>Problem: Algorithmic decision-making systems in mortgage lending may perpetuate historical biases by encoding discriminatory patterns present in training data, resulting in disparate pricing outcomes for protected demographic groups. Despite extensive regulation, empirical evidence of algorithmic bias in rate spread determination remains understudied, particularly across intersectional demographic categories and over multi-year temporal windows.</w:t>
      </w:r>
    </w:p>
    <w:p>
      <w:pPr>
        <w:spacing w:after="120" w:line="480" w:lineRule="auto"/>
        <w:ind w:firstLine="360"/>
        <w:jc w:val="both"/>
      </w:pPr>
      <w:r>
        <w:rPr>
          <w:rFonts w:ascii="Times New Roman" w:hAnsi="Times New Roman"/>
          <w:b w:val="0"/>
          <w:i w:val="0"/>
          <w:sz w:val="24"/>
        </w:rPr>
        <w:t>Solution Approach: This study employs a dual-model comparison framework, contrasting a baseline Ordinary Least Squares Logistic Regression model against an optimized XGBoost ensemble model. Fairness is evaluated using both established metrics (Disparate Impact ratio, Kolmogorov-Smirnov test, Cohen's d) and three novel metrics developed for this research: the Temporal Intersectional Bias Area Index (TIBAI), the Protected Location-Sex Score (PLSS), and the Disparate Rate Spread Index (DRSI).</w:t>
      </w:r>
    </w:p>
    <w:p>
      <w:pPr>
        <w:spacing w:after="120" w:line="480" w:lineRule="auto"/>
        <w:ind w:firstLine="360"/>
        <w:jc w:val="both"/>
      </w:pPr>
      <w:r>
        <w:rPr>
          <w:rFonts w:ascii="Times New Roman" w:hAnsi="Times New Roman"/>
          <w:b w:val="0"/>
          <w:i w:val="0"/>
          <w:sz w:val="24"/>
        </w:rPr>
        <w:t>Data: The analysis utilizes the Home Mortgage Disclosure Act (HMDA) public datasets for 2022, 2023, and 2024, obtained from the Consumer Financial Protection Bureau. After applying inclusion criteria (originated loans only, non-exempt rate spread values, valid income and loan amount records), the clean dataset comprised 4.6M records (2022), 3.1M records (2023), and 3.3M records (2024). A stratified random sample of 120,000 records per year (N=360,000 total) was used for all analyses. The unit of analysis is the individual mortgage application.</w:t>
      </w:r>
    </w:p>
    <w:p>
      <w:pPr>
        <w:spacing w:after="120" w:line="480" w:lineRule="auto"/>
        <w:ind w:firstLine="360"/>
        <w:jc w:val="both"/>
      </w:pPr>
      <w:r>
        <w:rPr>
          <w:rFonts w:ascii="Times New Roman" w:hAnsi="Times New Roman"/>
          <w:b w:val="0"/>
          <w:i w:val="0"/>
          <w:sz w:val="24"/>
        </w:rPr>
        <w:t>Technology: The analytical pipeline was implemented in Python 3.11 using pandas (data processing), scikit-learn (Logistic Regression, preprocessing, cross-validation), xgboost (gradient boosting), scipy (statistical tests), and matplotlib/seaborn (visualization). All computations were performed on a standard computing environment.</w:t>
      </w:r>
    </w:p>
    <w:p>
      <w:pPr>
        <w:spacing w:after="120" w:line="480" w:lineRule="auto"/>
        <w:ind w:firstLine="360"/>
        <w:jc w:val="both"/>
      </w:pPr>
      <w:r>
        <w:rPr>
          <w:rFonts w:ascii="Times New Roman" w:hAnsi="Times New Roman"/>
          <w:b w:val="0"/>
          <w:i w:val="0"/>
          <w:sz w:val="24"/>
        </w:rPr>
        <w:t>Major Results: The optimized XGBoost model (max_depth=8) achieved an RMSE of 0.7929 and R² of 0.5812, representing a 25.6% improvement in RMSE over the Logistic Regression baseline (RMSE=1.0669, R²=0.2155). The DRSI improved from 0.1242 (Logistic Regression) to 0.0286 (XGBoost), a 77% reduction in disparate rate spread. The TIBAI metric revealed a modest improvement in fairness from 0.9967 (2022) to 0.9701 (2024). A rural penalty of 0.089% was identified, equivalent to approximately $6,675 in additional interest over a 30-year $250,000 mortgage.</w:t>
      </w:r>
    </w:p>
    <w:p>
      <w:pPr>
        <w:spacing w:after="120" w:line="480" w:lineRule="auto"/>
        <w:ind w:firstLine="360"/>
        <w:jc w:val="both"/>
      </w:pPr>
      <w:r>
        <w:rPr>
          <w:rFonts w:ascii="Times New Roman" w:hAnsi="Times New Roman"/>
          <w:b w:val="0"/>
          <w:i w:val="0"/>
          <w:sz w:val="24"/>
        </w:rPr>
        <w:t>Implementation Area: The findings are directly applicable to mortgage lending institutions, regulatory bodies (CFPB, FFIEC), and fair lending compliance officers. The proposed fairness metrics provide a practical toolkit for ongoing algorithmic auditing in financial services.</w:t>
      </w:r>
    </w:p>
    <w:p>
      <w:r>
        <w:br w:type="page"/>
      </w:r>
    </w:p>
    <w:p>
      <w:pPr>
        <w:pStyle w:val="Heading1"/>
        <w:spacing w:before="240" w:after="120"/>
        <w:jc w:val="center"/>
      </w:pPr>
      <w:r>
        <w:rPr>
          <w:rFonts w:ascii="Times New Roman" w:hAnsi="Times New Roman"/>
          <w:b/>
          <w:color w:val="000000"/>
          <w:sz w:val="28"/>
        </w:rPr>
        <w:t>Introduction</w:t>
      </w:r>
    </w:p>
    <w:p>
      <w:pPr>
        <w:pStyle w:val="Heading2"/>
        <w:spacing w:before="240" w:after="120"/>
      </w:pPr>
      <w:r>
        <w:rPr>
          <w:rFonts w:ascii="Times New Roman" w:hAnsi="Times New Roman"/>
          <w:b/>
          <w:color w:val="000000"/>
          <w:sz w:val="26"/>
        </w:rPr>
        <w:t>Background and Context</w:t>
      </w:r>
    </w:p>
    <w:p>
      <w:pPr>
        <w:spacing w:after="120" w:line="480" w:lineRule="auto"/>
        <w:ind w:firstLine="360"/>
        <w:jc w:val="both"/>
      </w:pPr>
      <w:r>
        <w:rPr>
          <w:rFonts w:ascii="Times New Roman" w:hAnsi="Times New Roman"/>
          <w:b w:val="0"/>
          <w:i w:val="0"/>
          <w:sz w:val="24"/>
        </w:rPr>
        <w:t>The United States mortgage market represents one of the largest financial markets in the world, with approximately $12 trillion in outstanding residential mortgage debt as of 2024. Access to affordable mortgage credit is a cornerstone of wealth accumulation for American households, making equitable lending practices a matter of both economic justice and social policy. Historically, discriminatory practices such as redlining, the systematic denial of financial services to residents of minority neighborhoods, created persistent wealth gaps that continue to affect communities today. While the Fair Housing Act of 1968 and the Equal Credit Opportunity Act of 1974 formally prohibited discrimination in lending, empirical evidence consistently demonstrates that disparities in mortgage approval rates and pricing persist along racial, gender, and geographic lines (Bartlett et al., 2022).</w:t>
      </w:r>
    </w:p>
    <w:p>
      <w:pPr>
        <w:spacing w:after="120" w:line="480" w:lineRule="auto"/>
        <w:ind w:firstLine="360"/>
        <w:jc w:val="both"/>
      </w:pPr>
      <w:r>
        <w:rPr>
          <w:rFonts w:ascii="Times New Roman" w:hAnsi="Times New Roman"/>
          <w:b w:val="0"/>
          <w:i w:val="0"/>
          <w:sz w:val="24"/>
        </w:rPr>
        <w:t>The advent of algorithmic decision-making in financial services has introduced new complexities to the fairness landscape. Lenders increasingly rely on machine learning models to assess creditworthiness, determine interest rates, and allocate loan terms. These systems process vast quantities of historical data to identify patterns predictive of default risk. However, when historical data reflects past discriminatory practices, models trained on such data risk perpetuating and potentially amplifying those biases, a phenomenon known as algorithmic discrimination (O'Neil, 2016). The opacity of complex models like gradient boosting machines further complicates regulatory oversight, as it is often difficult to identify the specific features or interactions driving disparate outcomes.</w:t>
      </w:r>
    </w:p>
    <w:p>
      <w:pPr>
        <w:spacing w:after="120" w:line="480" w:lineRule="auto"/>
        <w:ind w:firstLine="360"/>
        <w:jc w:val="both"/>
      </w:pPr>
      <w:r>
        <w:rPr>
          <w:rFonts w:ascii="Times New Roman" w:hAnsi="Times New Roman"/>
          <w:b w:val="0"/>
          <w:i w:val="0"/>
          <w:sz w:val="24"/>
        </w:rPr>
        <w:t>The Home Mortgage Disclosure Act (HMDA), enacted in 1975 and significantly expanded in 2018, requires financial institutions to report detailed data on mortgage applications, including borrower demographics, loan characteristics, and pricing information. The rate spread, the difference between a loan's Annual Percentage Rate (APR) and the Average Prime Offer Rate (APOR) for a comparable transaction, serves as a key indicator of loan pricing and is a primary focus of fair lending examinations. Analysis of HMDA data provides an unprecedented opportunity to empirically evaluate the extent to which algorithmic pricing models produce equitable outcomes across demographic groups.</w:t>
      </w:r>
    </w:p>
    <w:p>
      <w:pPr>
        <w:spacing w:after="120" w:line="480" w:lineRule="auto"/>
        <w:ind w:firstLine="360"/>
        <w:jc w:val="both"/>
      </w:pPr>
      <w:r>
        <w:rPr>
          <w:rFonts w:ascii="Times New Roman" w:hAnsi="Times New Roman"/>
          <w:b w:val="0"/>
          <w:i w:val="0"/>
          <w:sz w:val="24"/>
        </w:rPr>
        <w:t>This study is situated at the intersection of machine learning, fairness research, and financial regulation. By analyzing three consecutive years of HMDA data (2022–2024), the research provides a longitudinal perspective on algorithmic fairness in mortgage lending, capturing the evolution of pricing disparities in a period of significant interest rate volatility following the Federal Reserve's aggressive rate-hiking cycle.</w:t>
      </w:r>
    </w:p>
    <w:p>
      <w:pPr>
        <w:pStyle w:val="Heading2"/>
        <w:spacing w:before="240" w:after="120"/>
      </w:pPr>
      <w:r>
        <w:rPr>
          <w:rFonts w:ascii="Times New Roman" w:hAnsi="Times New Roman"/>
          <w:b/>
          <w:color w:val="000000"/>
          <w:sz w:val="26"/>
        </w:rPr>
        <w:t>Problem Statement</w:t>
      </w:r>
    </w:p>
    <w:p>
      <w:pPr>
        <w:spacing w:after="120" w:line="480" w:lineRule="auto"/>
        <w:ind w:firstLine="360"/>
        <w:jc w:val="both"/>
      </w:pPr>
      <w:r>
        <w:rPr>
          <w:rFonts w:ascii="Times New Roman" w:hAnsi="Times New Roman"/>
          <w:b w:val="0"/>
          <w:i w:val="0"/>
          <w:sz w:val="24"/>
        </w:rPr>
        <w:t>The objective of this study is to predict and explain Y = mortgage rate spread (the difference between APR and APOR, in percentage points) for individual mortgage applicants using X = applicant sex, property location (urban/rural), loan type, income, loan amount, loan-to-value ratio, debt-to-income ratio, and loan term, over the period 2022–2024 using HMDA national data. Success will be evaluated using Root Mean Squared Error (RMSE), R-squared (R²), Mean Absolute Error (MAE), Disparate Impact ratio (DI), and the novel TIBAI, PLSS, and DRSI metrics developed in this research.</w:t>
      </w:r>
    </w:p>
    <w:p>
      <w:pPr>
        <w:pStyle w:val="Heading2"/>
        <w:spacing w:before="240" w:after="120"/>
      </w:pPr>
      <w:r>
        <w:rPr>
          <w:rFonts w:ascii="Times New Roman" w:hAnsi="Times New Roman"/>
          <w:b/>
          <w:color w:val="000000"/>
          <w:sz w:val="26"/>
        </w:rPr>
        <w:t>Purpose of the Study</w:t>
      </w:r>
    </w:p>
    <w:p>
      <w:pPr>
        <w:spacing w:after="120" w:line="480" w:lineRule="auto"/>
        <w:ind w:firstLine="360"/>
        <w:jc w:val="both"/>
      </w:pPr>
      <w:r>
        <w:rPr>
          <w:rFonts w:ascii="Times New Roman" w:hAnsi="Times New Roman"/>
          <w:b w:val="0"/>
          <w:i w:val="0"/>
          <w:sz w:val="24"/>
        </w:rPr>
        <w:t>The study serves a dual purpose: first, to develop and compare predictive models for mortgage rate spreads that optimize for accuracy; and second, to evaluate the fairness of these models with respect to protected demographic characteristics. The research aims to identify specific configurations and modeling choices that achieve a Pareto-optimal balance between predictive performance and equitable outcomes, providing actionable guidance for practitioners seeking to deploy fair algorithmic lending systems.</w:t>
      </w:r>
    </w:p>
    <w:p>
      <w:pPr>
        <w:pStyle w:val="Heading2"/>
        <w:spacing w:before="240" w:after="120"/>
      </w:pPr>
      <w:r>
        <w:rPr>
          <w:rFonts w:ascii="Times New Roman" w:hAnsi="Times New Roman"/>
          <w:b/>
          <w:color w:val="000000"/>
          <w:sz w:val="26"/>
        </w:rPr>
        <w:t>Research Questions</w:t>
      </w:r>
    </w:p>
    <w:p>
      <w:pPr>
        <w:spacing w:after="120" w:line="480" w:lineRule="auto"/>
        <w:ind w:firstLine="360"/>
        <w:jc w:val="both"/>
      </w:pPr>
      <w:r>
        <w:rPr>
          <w:rFonts w:ascii="Times New Roman" w:hAnsi="Times New Roman"/>
          <w:b w:val="0"/>
          <w:i w:val="0"/>
          <w:sz w:val="24"/>
        </w:rPr>
        <w:t>RQ1: To what extent do machine learning models (XGBoost vs. Logistic Regression) exhibit disparate impact in predicting mortgage rate spreads across sex-based demographic groups, and is any observed disparity statistically significant?</w:t>
      </w:r>
    </w:p>
    <w:p>
      <w:pPr>
        <w:spacing w:after="120" w:line="480" w:lineRule="auto"/>
        <w:ind w:firstLine="360"/>
        <w:jc w:val="both"/>
      </w:pPr>
      <w:r>
        <w:rPr>
          <w:rFonts w:ascii="Times New Roman" w:hAnsi="Times New Roman"/>
          <w:b w:val="0"/>
          <w:i w:val="0"/>
          <w:sz w:val="24"/>
        </w:rPr>
        <w:t>RQ2: How does loan type (Conventional vs. FHA vs. VA) moderate the magnitude of algorithmic bias in rate spread prediction, as measured by the Disparate Impact ratio?</w:t>
      </w:r>
    </w:p>
    <w:p>
      <w:pPr>
        <w:spacing w:after="120" w:line="480" w:lineRule="auto"/>
        <w:ind w:firstLine="360"/>
        <w:jc w:val="both"/>
      </w:pPr>
      <w:r>
        <w:rPr>
          <w:rFonts w:ascii="Times New Roman" w:hAnsi="Times New Roman"/>
          <w:b w:val="0"/>
          <w:i w:val="0"/>
          <w:sz w:val="24"/>
        </w:rPr>
        <w:t>RQ3: What is the combined effect of applicant sex and property location (urban vs. rural) on mortgage rate spread disparities, as quantified by the Protected Location-Sex Score (PLSS)?</w:t>
      </w:r>
    </w:p>
    <w:p>
      <w:pPr>
        <w:spacing w:after="120" w:line="480" w:lineRule="auto"/>
        <w:ind w:firstLine="360"/>
        <w:jc w:val="both"/>
      </w:pPr>
      <w:r>
        <w:rPr>
          <w:rFonts w:ascii="Times New Roman" w:hAnsi="Times New Roman"/>
          <w:b w:val="0"/>
          <w:i w:val="0"/>
          <w:sz w:val="24"/>
        </w:rPr>
        <w:t>RQ4: Can XGBoost hyperparameter tuning (specifically max_depth) achieve a Pareto-optimal configuration that simultaneously maximizes predictive accuracy and minimizes disparate impact?</w:t>
      </w:r>
    </w:p>
    <w:p>
      <w:pPr>
        <w:spacing w:after="120" w:line="480" w:lineRule="auto"/>
        <w:ind w:firstLine="360"/>
        <w:jc w:val="both"/>
      </w:pPr>
      <w:r>
        <w:rPr>
          <w:rFonts w:ascii="Times New Roman" w:hAnsi="Times New Roman"/>
          <w:b w:val="0"/>
          <w:i w:val="0"/>
          <w:sz w:val="24"/>
        </w:rPr>
        <w:t>RQ5: Do applicants with intersectional protected identities (minority sex and rural location) experience compounding rate spread penalties beyond what would be expected from additive individual effects?</w:t>
      </w:r>
    </w:p>
    <w:p>
      <w:pPr>
        <w:spacing w:after="120" w:line="480" w:lineRule="auto"/>
        <w:ind w:firstLine="360"/>
        <w:jc w:val="both"/>
      </w:pPr>
      <w:r>
        <w:rPr>
          <w:rFonts w:ascii="Times New Roman" w:hAnsi="Times New Roman"/>
          <w:b w:val="0"/>
          <w:i w:val="0"/>
          <w:sz w:val="24"/>
        </w:rPr>
        <w:t>RQ6: How has the Temporal Intersectional Bias Area Index (TIBAI) evolved across the 2022–2024 period, and what does this trajectory indicate about trends in algorithmic fairness in mortgage lending?</w:t>
      </w:r>
    </w:p>
    <w:p>
      <w:pPr>
        <w:pStyle w:val="Heading2"/>
        <w:spacing w:before="240" w:after="120"/>
      </w:pPr>
      <w:r>
        <w:rPr>
          <w:rFonts w:ascii="Times New Roman" w:hAnsi="Times New Roman"/>
          <w:b/>
          <w:color w:val="000000"/>
          <w:sz w:val="26"/>
        </w:rPr>
        <w:t>Contributions and Expected Value</w:t>
      </w:r>
    </w:p>
    <w:p>
      <w:pPr>
        <w:spacing w:after="120" w:line="480" w:lineRule="auto"/>
        <w:ind w:firstLine="360"/>
        <w:jc w:val="both"/>
      </w:pPr>
      <w:r>
        <w:rPr>
          <w:rFonts w:ascii="Times New Roman" w:hAnsi="Times New Roman"/>
          <w:b w:val="0"/>
          <w:i w:val="0"/>
          <w:sz w:val="24"/>
        </w:rPr>
        <w:t>This research makes three primary contributions to the field. First, it provides a longitudinal empirical analysis of algorithmic fairness in mortgage lending using the most recent available HMDA data, filling a gap in the literature that has largely focused on single-year analyses. Second, it introduces three novel fairness metrics (TIBAI, PLSS, and DRSI) that extend existing fairness frameworks to capture intersectional and temporal dimensions of bias. Third, it demonstrates a practical methodology for achieving Pareto-optimal accuracy-fairness trade-offs in gradient boosting models, providing a replicable framework for fair lending compliance.</w:t>
      </w:r>
    </w:p>
    <w:p>
      <w:pPr>
        <w:spacing w:after="120" w:line="480" w:lineRule="auto"/>
        <w:ind w:firstLine="360"/>
        <w:jc w:val="both"/>
      </w:pPr>
      <w:r>
        <w:rPr>
          <w:rFonts w:ascii="Times New Roman" w:hAnsi="Times New Roman"/>
          <w:b w:val="0"/>
          <w:i w:val="0"/>
          <w:sz w:val="24"/>
        </w:rPr>
        <w:t>The practical value of this research extends to multiple stakeholder groups. Mortgage lenders can use the proposed framework to audit their algorithmic systems for compliance with fair lending regulations. Regulatory bodies such as the CFPB and FFIEC can incorporate the novel metrics into their examination procedures. Consumer advocacy organizations can leverage the findings to identify specific loan products and geographic markets where disparate pricing is most pronounced.</w:t>
      </w:r>
    </w:p>
    <w:p>
      <w:r>
        <w:br w:type="page"/>
      </w:r>
    </w:p>
    <w:p>
      <w:pPr>
        <w:pStyle w:val="Heading1"/>
        <w:spacing w:before="240" w:after="120"/>
        <w:jc w:val="center"/>
      </w:pPr>
      <w:r>
        <w:rPr>
          <w:rFonts w:ascii="Times New Roman" w:hAnsi="Times New Roman"/>
          <w:b/>
          <w:color w:val="000000"/>
          <w:sz w:val="28"/>
        </w:rPr>
        <w:t>Literature Review</w:t>
      </w:r>
    </w:p>
    <w:p>
      <w:pPr>
        <w:pStyle w:val="Heading2"/>
        <w:spacing w:before="240" w:after="120"/>
      </w:pPr>
      <w:r>
        <w:rPr>
          <w:rFonts w:ascii="Times New Roman" w:hAnsi="Times New Roman"/>
          <w:b/>
          <w:color w:val="000000"/>
          <w:sz w:val="26"/>
        </w:rPr>
        <w:t>Literature Review Approach</w:t>
      </w:r>
    </w:p>
    <w:p>
      <w:pPr>
        <w:spacing w:after="120" w:line="480" w:lineRule="auto"/>
        <w:ind w:firstLine="360"/>
        <w:jc w:val="both"/>
      </w:pPr>
      <w:r>
        <w:rPr>
          <w:rFonts w:ascii="Times New Roman" w:hAnsi="Times New Roman"/>
          <w:b w:val="0"/>
          <w:i w:val="0"/>
          <w:sz w:val="24"/>
        </w:rPr>
        <w:t>The literature review was conducted through systematic searches of Google Scholar, SSRN, and the Journal of Finance databases. Primary search terms included 'algorithmic fairness mortgage lending', 'HMDA machine learning bias', 'disparate impact credit scoring', 'XGBoost fairness financial services', and 'intersectional bias lending'. Inclusion criteria required: (1) publication within the last ten years (2015–2025); (2) empirical analysis using real financial data; (3) direct relevance to at least one of the six research questions. A total of 11 sources meeting these criteria were selected for detailed review. The literature is organized thematically around three core areas: (1) empirical evidence of lending discrimination, (2) machine learning fairness methods, and (3) regulatory and policy frameworks.</w:t>
      </w:r>
    </w:p>
    <w:p>
      <w:pPr>
        <w:pStyle w:val="Heading2"/>
        <w:spacing w:before="240" w:after="120"/>
      </w:pPr>
      <w:r>
        <w:rPr>
          <w:rFonts w:ascii="Times New Roman" w:hAnsi="Times New Roman"/>
          <w:b/>
          <w:color w:val="000000"/>
          <w:sz w:val="26"/>
        </w:rPr>
        <w:t>Summary of Key Literature</w:t>
      </w:r>
    </w:p>
    <w:p>
      <w:pPr>
        <w:spacing w:after="120" w:line="480" w:lineRule="auto"/>
        <w:ind w:firstLine="360"/>
        <w:jc w:val="both"/>
      </w:pPr>
      <w:r>
        <w:rPr>
          <w:rFonts w:ascii="Times New Roman" w:hAnsi="Times New Roman"/>
          <w:b w:val="0"/>
          <w:i w:val="0"/>
          <w:sz w:val="24"/>
        </w:rPr>
        <w:t>The selected literature spans empirical studies of lending discrimination, methodological contributions to algorithmic fairness, and policy analyses of regulatory effectiveness. Each source was evaluated for its methodological rigor, relevance to the research questions, and quality of evidence.</w:t>
      </w:r>
    </w:p>
    <w:p>
      <w:pPr>
        <w:pStyle w:val="Heading2"/>
        <w:spacing w:before="240" w:after="120"/>
      </w:pPr>
      <w:r>
        <w:rPr>
          <w:rFonts w:ascii="Times New Roman" w:hAnsi="Times New Roman"/>
          <w:b/>
          <w:color w:val="000000"/>
          <w:sz w:val="26"/>
        </w:rPr>
        <w:t>Table 1: Literature Relevance Matrix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4E79"/>
          </w:tcPr>
          <w:p>
            <w:pPr>
              <w:jc w:val="center"/>
            </w:pPr>
            <w:r>
              <w:rPr>
                <w:rFonts w:ascii="Times New Roman" w:hAnsi="Times New Roman"/>
                <w:b/>
                <w:color w:val="FFFFFF"/>
                <w:sz w:val="20"/>
              </w:rPr>
              <w:t>Author (Year)</w:t>
            </w:r>
          </w:p>
        </w:tc>
        <w:tc>
          <w:tcPr>
            <w:tcW w:type="dxa" w:w="1560"/>
            <w:shd w:val="clear" w:color="auto" w:fill="1F4E79"/>
          </w:tcPr>
          <w:p>
            <w:pPr>
              <w:jc w:val="center"/>
            </w:pPr>
            <w:r>
              <w:rPr>
                <w:rFonts w:ascii="Times New Roman" w:hAnsi="Times New Roman"/>
                <w:b/>
                <w:color w:val="FFFFFF"/>
                <w:sz w:val="20"/>
              </w:rPr>
              <w:t>Domain/Context</w:t>
            </w:r>
          </w:p>
        </w:tc>
        <w:tc>
          <w:tcPr>
            <w:tcW w:type="dxa" w:w="1560"/>
            <w:shd w:val="clear" w:color="auto" w:fill="1F4E79"/>
          </w:tcPr>
          <w:p>
            <w:pPr>
              <w:jc w:val="center"/>
            </w:pPr>
            <w:r>
              <w:rPr>
                <w:rFonts w:ascii="Times New Roman" w:hAnsi="Times New Roman"/>
                <w:b/>
                <w:color w:val="FFFFFF"/>
                <w:sz w:val="20"/>
              </w:rPr>
              <w:t>Dataset/Setting</w:t>
            </w:r>
          </w:p>
        </w:tc>
        <w:tc>
          <w:tcPr>
            <w:tcW w:type="dxa" w:w="1560"/>
            <w:shd w:val="clear" w:color="auto" w:fill="1F4E79"/>
          </w:tcPr>
          <w:p>
            <w:pPr>
              <w:jc w:val="center"/>
            </w:pPr>
            <w:r>
              <w:rPr>
                <w:rFonts w:ascii="Times New Roman" w:hAnsi="Times New Roman"/>
                <w:b/>
                <w:color w:val="FFFFFF"/>
                <w:sz w:val="20"/>
              </w:rPr>
              <w:t>Method(s)</w:t>
            </w:r>
          </w:p>
        </w:tc>
        <w:tc>
          <w:tcPr>
            <w:tcW w:type="dxa" w:w="1560"/>
            <w:shd w:val="clear" w:color="auto" w:fill="1F4E79"/>
          </w:tcPr>
          <w:p>
            <w:pPr>
              <w:jc w:val="center"/>
            </w:pPr>
            <w:r>
              <w:rPr>
                <w:rFonts w:ascii="Times New Roman" w:hAnsi="Times New Roman"/>
                <w:b/>
                <w:color w:val="FFFFFF"/>
                <w:sz w:val="20"/>
              </w:rPr>
              <w:t>Key Findings</w:t>
            </w:r>
          </w:p>
        </w:tc>
        <w:tc>
          <w:tcPr>
            <w:tcW w:type="dxa" w:w="1560"/>
            <w:shd w:val="clear" w:color="auto" w:fill="1F4E79"/>
          </w:tcPr>
          <w:p>
            <w:pPr>
              <w:jc w:val="center"/>
            </w:pPr>
            <w:r>
              <w:rPr>
                <w:rFonts w:ascii="Times New Roman" w:hAnsi="Times New Roman"/>
                <w:b/>
                <w:color w:val="FFFFFF"/>
                <w:sz w:val="20"/>
              </w:rPr>
              <w:t>Supports RQ(s)</w:t>
            </w:r>
          </w:p>
        </w:tc>
      </w:tr>
      <w:tr>
        <w:tc>
          <w:tcPr>
            <w:tcW w:type="dxa" w:w="1560"/>
          </w:tcPr>
          <w:p>
            <w:r>
              <w:rPr>
                <w:rFonts w:ascii="Times New Roman" w:hAnsi="Times New Roman"/>
                <w:sz w:val="20"/>
              </w:rPr>
              <w:t>Bartlett et al. (2022)</w:t>
            </w:r>
          </w:p>
        </w:tc>
        <w:tc>
          <w:tcPr>
            <w:tcW w:type="dxa" w:w="1560"/>
          </w:tcPr>
          <w:p>
            <w:r>
              <w:rPr>
                <w:rFonts w:ascii="Times New Roman" w:hAnsi="Times New Roman"/>
                <w:sz w:val="20"/>
              </w:rPr>
              <w:t>Mortgage lending discrimination</w:t>
            </w:r>
          </w:p>
        </w:tc>
        <w:tc>
          <w:tcPr>
            <w:tcW w:type="dxa" w:w="1560"/>
          </w:tcPr>
          <w:p>
            <w:r>
              <w:rPr>
                <w:rFonts w:ascii="Times New Roman" w:hAnsi="Times New Roman"/>
                <w:sz w:val="20"/>
              </w:rPr>
              <w:t>HMDA 2009–2015</w:t>
            </w:r>
          </w:p>
        </w:tc>
        <w:tc>
          <w:tcPr>
            <w:tcW w:type="dxa" w:w="1560"/>
          </w:tcPr>
          <w:p>
            <w:r>
              <w:rPr>
                <w:rFonts w:ascii="Times New Roman" w:hAnsi="Times New Roman"/>
                <w:sz w:val="20"/>
              </w:rPr>
              <w:t>OLS regression, audit study</w:t>
            </w:r>
          </w:p>
        </w:tc>
        <w:tc>
          <w:tcPr>
            <w:tcW w:type="dxa" w:w="1560"/>
          </w:tcPr>
          <w:p>
            <w:r>
              <w:rPr>
                <w:rFonts w:ascii="Times New Roman" w:hAnsi="Times New Roman"/>
                <w:sz w:val="20"/>
              </w:rPr>
              <w:t>Fintech lenders show 40% less discrimination than face-to-face lenders</w:t>
            </w:r>
          </w:p>
        </w:tc>
        <w:tc>
          <w:tcPr>
            <w:tcW w:type="dxa" w:w="1560"/>
          </w:tcPr>
          <w:p>
            <w:r>
              <w:rPr>
                <w:rFonts w:ascii="Times New Roman" w:hAnsi="Times New Roman"/>
                <w:sz w:val="20"/>
              </w:rPr>
              <w:t>RQ1, RQ2</w:t>
            </w:r>
          </w:p>
        </w:tc>
      </w:tr>
      <w:tr>
        <w:tc>
          <w:tcPr>
            <w:tcW w:type="dxa" w:w="1560"/>
          </w:tcPr>
          <w:p>
            <w:r>
              <w:rPr>
                <w:rFonts w:ascii="Times New Roman" w:hAnsi="Times New Roman"/>
                <w:sz w:val="20"/>
              </w:rPr>
              <w:t>Fuster et al. (2022)</w:t>
            </w:r>
          </w:p>
        </w:tc>
        <w:tc>
          <w:tcPr>
            <w:tcW w:type="dxa" w:w="1560"/>
          </w:tcPr>
          <w:p>
            <w:r>
              <w:rPr>
                <w:rFonts w:ascii="Times New Roman" w:hAnsi="Times New Roman"/>
                <w:sz w:val="20"/>
              </w:rPr>
              <w:t>Algorithmic lending fairness</w:t>
            </w:r>
          </w:p>
        </w:tc>
        <w:tc>
          <w:tcPr>
            <w:tcW w:type="dxa" w:w="1560"/>
          </w:tcPr>
          <w:p>
            <w:r>
              <w:rPr>
                <w:rFonts w:ascii="Times New Roman" w:hAnsi="Times New Roman"/>
                <w:sz w:val="20"/>
              </w:rPr>
              <w:t>HMDA 2018–2019</w:t>
            </w:r>
          </w:p>
        </w:tc>
        <w:tc>
          <w:tcPr>
            <w:tcW w:type="dxa" w:w="1560"/>
          </w:tcPr>
          <w:p>
            <w:r>
              <w:rPr>
                <w:rFonts w:ascii="Times New Roman" w:hAnsi="Times New Roman"/>
                <w:sz w:val="20"/>
              </w:rPr>
              <w:t>ML vs. traditional models</w:t>
            </w:r>
          </w:p>
        </w:tc>
        <w:tc>
          <w:tcPr>
            <w:tcW w:type="dxa" w:w="1560"/>
          </w:tcPr>
          <w:p>
            <w:r>
              <w:rPr>
                <w:rFonts w:ascii="Times New Roman" w:hAnsi="Times New Roman"/>
                <w:sz w:val="20"/>
              </w:rPr>
              <w:t>ML models reduce approval disparities but increase pricing disparities</w:t>
            </w:r>
          </w:p>
        </w:tc>
        <w:tc>
          <w:tcPr>
            <w:tcW w:type="dxa" w:w="1560"/>
          </w:tcPr>
          <w:p>
            <w:r>
              <w:rPr>
                <w:rFonts w:ascii="Times New Roman" w:hAnsi="Times New Roman"/>
                <w:sz w:val="20"/>
              </w:rPr>
              <w:t>RQ1, RQ4</w:t>
            </w:r>
          </w:p>
        </w:tc>
      </w:tr>
      <w:tr>
        <w:tc>
          <w:tcPr>
            <w:tcW w:type="dxa" w:w="1560"/>
          </w:tcPr>
          <w:p>
            <w:r>
              <w:rPr>
                <w:rFonts w:ascii="Times New Roman" w:hAnsi="Times New Roman"/>
                <w:sz w:val="20"/>
              </w:rPr>
              <w:t>Chouldechova (2017)</w:t>
            </w:r>
          </w:p>
        </w:tc>
        <w:tc>
          <w:tcPr>
            <w:tcW w:type="dxa" w:w="1560"/>
          </w:tcPr>
          <w:p>
            <w:r>
              <w:rPr>
                <w:rFonts w:ascii="Times New Roman" w:hAnsi="Times New Roman"/>
                <w:sz w:val="20"/>
              </w:rPr>
              <w:t>Fairness in ML predictions</w:t>
            </w:r>
          </w:p>
        </w:tc>
        <w:tc>
          <w:tcPr>
            <w:tcW w:type="dxa" w:w="1560"/>
          </w:tcPr>
          <w:p>
            <w:r>
              <w:rPr>
                <w:rFonts w:ascii="Times New Roman" w:hAnsi="Times New Roman"/>
                <w:sz w:val="20"/>
              </w:rPr>
              <w:t>Criminal justice data</w:t>
            </w:r>
          </w:p>
        </w:tc>
        <w:tc>
          <w:tcPr>
            <w:tcW w:type="dxa" w:w="1560"/>
          </w:tcPr>
          <w:p>
            <w:r>
              <w:rPr>
                <w:rFonts w:ascii="Times New Roman" w:hAnsi="Times New Roman"/>
                <w:sz w:val="20"/>
              </w:rPr>
              <w:t>Statistical fairness metrics</w:t>
            </w:r>
          </w:p>
        </w:tc>
        <w:tc>
          <w:tcPr>
            <w:tcW w:type="dxa" w:w="1560"/>
          </w:tcPr>
          <w:p>
            <w:r>
              <w:rPr>
                <w:rFonts w:ascii="Times New Roman" w:hAnsi="Times New Roman"/>
                <w:sz w:val="20"/>
              </w:rPr>
              <w:t>Impossibility theorem: multiple fairness criteria cannot be simultaneously satisfied</w:t>
            </w:r>
          </w:p>
        </w:tc>
        <w:tc>
          <w:tcPr>
            <w:tcW w:type="dxa" w:w="1560"/>
          </w:tcPr>
          <w:p>
            <w:r>
              <w:rPr>
                <w:rFonts w:ascii="Times New Roman" w:hAnsi="Times New Roman"/>
                <w:sz w:val="20"/>
              </w:rPr>
              <w:t>RQ4</w:t>
            </w:r>
          </w:p>
        </w:tc>
      </w:tr>
      <w:tr>
        <w:tc>
          <w:tcPr>
            <w:tcW w:type="dxa" w:w="1560"/>
          </w:tcPr>
          <w:p>
            <w:r>
              <w:rPr>
                <w:rFonts w:ascii="Times New Roman" w:hAnsi="Times New Roman"/>
                <w:sz w:val="20"/>
              </w:rPr>
              <w:t>Hardt et al. (2016)</w:t>
            </w:r>
          </w:p>
        </w:tc>
        <w:tc>
          <w:tcPr>
            <w:tcW w:type="dxa" w:w="1560"/>
          </w:tcPr>
          <w:p>
            <w:r>
              <w:rPr>
                <w:rFonts w:ascii="Times New Roman" w:hAnsi="Times New Roman"/>
                <w:sz w:val="20"/>
              </w:rPr>
              <w:t>Equality of opportunity in ML</w:t>
            </w:r>
          </w:p>
        </w:tc>
        <w:tc>
          <w:tcPr>
            <w:tcW w:type="dxa" w:w="1560"/>
          </w:tcPr>
          <w:p>
            <w:r>
              <w:rPr>
                <w:rFonts w:ascii="Times New Roman" w:hAnsi="Times New Roman"/>
                <w:sz w:val="20"/>
              </w:rPr>
              <w:t>Synthetic + real data</w:t>
            </w:r>
          </w:p>
        </w:tc>
        <w:tc>
          <w:tcPr>
            <w:tcW w:type="dxa" w:w="1560"/>
          </w:tcPr>
          <w:p>
            <w:r>
              <w:rPr>
                <w:rFonts w:ascii="Times New Roman" w:hAnsi="Times New Roman"/>
                <w:sz w:val="20"/>
              </w:rPr>
              <w:t>Post-processing fairness</w:t>
            </w:r>
          </w:p>
        </w:tc>
        <w:tc>
          <w:tcPr>
            <w:tcW w:type="dxa" w:w="1560"/>
          </w:tcPr>
          <w:p>
            <w:r>
              <w:rPr>
                <w:rFonts w:ascii="Times New Roman" w:hAnsi="Times New Roman"/>
                <w:sz w:val="20"/>
              </w:rPr>
              <w:t>Equalized odds framework for binary classification</w:t>
            </w:r>
          </w:p>
        </w:tc>
        <w:tc>
          <w:tcPr>
            <w:tcW w:type="dxa" w:w="1560"/>
          </w:tcPr>
          <w:p>
            <w:r>
              <w:rPr>
                <w:rFonts w:ascii="Times New Roman" w:hAnsi="Times New Roman"/>
                <w:sz w:val="20"/>
              </w:rPr>
              <w:t>RQ1, RQ4</w:t>
            </w:r>
          </w:p>
        </w:tc>
      </w:tr>
      <w:tr>
        <w:tc>
          <w:tcPr>
            <w:tcW w:type="dxa" w:w="1560"/>
          </w:tcPr>
          <w:p>
            <w:r>
              <w:rPr>
                <w:rFonts w:ascii="Times New Roman" w:hAnsi="Times New Roman"/>
                <w:sz w:val="20"/>
              </w:rPr>
              <w:t>Dressel &amp; Farid (2018)</w:t>
            </w:r>
          </w:p>
        </w:tc>
        <w:tc>
          <w:tcPr>
            <w:tcW w:type="dxa" w:w="1560"/>
          </w:tcPr>
          <w:p>
            <w:r>
              <w:rPr>
                <w:rFonts w:ascii="Times New Roman" w:hAnsi="Times New Roman"/>
                <w:sz w:val="20"/>
              </w:rPr>
              <w:t>Algorithmic vs. human fairness</w:t>
            </w:r>
          </w:p>
        </w:tc>
        <w:tc>
          <w:tcPr>
            <w:tcW w:type="dxa" w:w="1560"/>
          </w:tcPr>
          <w:p>
            <w:r>
              <w:rPr>
                <w:rFonts w:ascii="Times New Roman" w:hAnsi="Times New Roman"/>
                <w:sz w:val="20"/>
              </w:rPr>
              <w:t>COMPAS recidivism data</w:t>
            </w:r>
          </w:p>
        </w:tc>
        <w:tc>
          <w:tcPr>
            <w:tcW w:type="dxa" w:w="1560"/>
          </w:tcPr>
          <w:p>
            <w:r>
              <w:rPr>
                <w:rFonts w:ascii="Times New Roman" w:hAnsi="Times New Roman"/>
                <w:sz w:val="20"/>
              </w:rPr>
              <w:t>Logistic regression comparison</w:t>
            </w:r>
          </w:p>
        </w:tc>
        <w:tc>
          <w:tcPr>
            <w:tcW w:type="dxa" w:w="1560"/>
          </w:tcPr>
          <w:p>
            <w:r>
              <w:rPr>
                <w:rFonts w:ascii="Times New Roman" w:hAnsi="Times New Roman"/>
                <w:sz w:val="20"/>
              </w:rPr>
              <w:t>Simple models match complex ones; human bias persists</w:t>
            </w:r>
          </w:p>
        </w:tc>
        <w:tc>
          <w:tcPr>
            <w:tcW w:type="dxa" w:w="1560"/>
          </w:tcPr>
          <w:p>
            <w:r>
              <w:rPr>
                <w:rFonts w:ascii="Times New Roman" w:hAnsi="Times New Roman"/>
                <w:sz w:val="20"/>
              </w:rPr>
              <w:t>RQ1</w:t>
            </w:r>
          </w:p>
        </w:tc>
      </w:tr>
      <w:tr>
        <w:tc>
          <w:tcPr>
            <w:tcW w:type="dxa" w:w="1560"/>
          </w:tcPr>
          <w:p>
            <w:r>
              <w:rPr>
                <w:rFonts w:ascii="Times New Roman" w:hAnsi="Times New Roman"/>
                <w:sz w:val="20"/>
              </w:rPr>
              <w:t>Khandani et al. (2010)</w:t>
            </w:r>
          </w:p>
        </w:tc>
        <w:tc>
          <w:tcPr>
            <w:tcW w:type="dxa" w:w="1560"/>
          </w:tcPr>
          <w:p>
            <w:r>
              <w:rPr>
                <w:rFonts w:ascii="Times New Roman" w:hAnsi="Times New Roman"/>
                <w:sz w:val="20"/>
              </w:rPr>
              <w:t>Consumer credit risk ML</w:t>
            </w:r>
          </w:p>
        </w:tc>
        <w:tc>
          <w:tcPr>
            <w:tcW w:type="dxa" w:w="1560"/>
          </w:tcPr>
          <w:p>
            <w:r>
              <w:rPr>
                <w:rFonts w:ascii="Times New Roman" w:hAnsi="Times New Roman"/>
                <w:sz w:val="20"/>
              </w:rPr>
              <w:t>Bank transaction data</w:t>
            </w:r>
          </w:p>
        </w:tc>
        <w:tc>
          <w:tcPr>
            <w:tcW w:type="dxa" w:w="1560"/>
          </w:tcPr>
          <w:p>
            <w:r>
              <w:rPr>
                <w:rFonts w:ascii="Times New Roman" w:hAnsi="Times New Roman"/>
                <w:sz w:val="20"/>
              </w:rPr>
              <w:t>Decision trees, regression</w:t>
            </w:r>
          </w:p>
        </w:tc>
        <w:tc>
          <w:tcPr>
            <w:tcW w:type="dxa" w:w="1560"/>
          </w:tcPr>
          <w:p>
            <w:r>
              <w:rPr>
                <w:rFonts w:ascii="Times New Roman" w:hAnsi="Times New Roman"/>
                <w:sz w:val="20"/>
              </w:rPr>
              <w:t>ML improves default prediction; demographic disparities documented</w:t>
            </w:r>
          </w:p>
        </w:tc>
        <w:tc>
          <w:tcPr>
            <w:tcW w:type="dxa" w:w="1560"/>
          </w:tcPr>
          <w:p>
            <w:r>
              <w:rPr>
                <w:rFonts w:ascii="Times New Roman" w:hAnsi="Times New Roman"/>
                <w:sz w:val="20"/>
              </w:rPr>
              <w:t>RQ2, RQ4</w:t>
            </w:r>
          </w:p>
        </w:tc>
      </w:tr>
      <w:tr>
        <w:tc>
          <w:tcPr>
            <w:tcW w:type="dxa" w:w="1560"/>
          </w:tcPr>
          <w:p>
            <w:r>
              <w:rPr>
                <w:rFonts w:ascii="Times New Roman" w:hAnsi="Times New Roman"/>
                <w:sz w:val="20"/>
              </w:rPr>
              <w:t>Bhutta &amp; Hizmo (2021)</w:t>
            </w:r>
          </w:p>
        </w:tc>
        <w:tc>
          <w:tcPr>
            <w:tcW w:type="dxa" w:w="1560"/>
          </w:tcPr>
          <w:p>
            <w:r>
              <w:rPr>
                <w:rFonts w:ascii="Times New Roman" w:hAnsi="Times New Roman"/>
                <w:sz w:val="20"/>
              </w:rPr>
              <w:t>Racial gaps in mortgage pricing</w:t>
            </w:r>
          </w:p>
        </w:tc>
        <w:tc>
          <w:tcPr>
            <w:tcW w:type="dxa" w:w="1560"/>
          </w:tcPr>
          <w:p>
            <w:r>
              <w:rPr>
                <w:rFonts w:ascii="Times New Roman" w:hAnsi="Times New Roman"/>
                <w:sz w:val="20"/>
              </w:rPr>
              <w:t>HMDA 2018–2019</w:t>
            </w:r>
          </w:p>
        </w:tc>
        <w:tc>
          <w:tcPr>
            <w:tcW w:type="dxa" w:w="1560"/>
          </w:tcPr>
          <w:p>
            <w:r>
              <w:rPr>
                <w:rFonts w:ascii="Times New Roman" w:hAnsi="Times New Roman"/>
                <w:sz w:val="20"/>
              </w:rPr>
              <w:t>Regression discontinuity</w:t>
            </w:r>
          </w:p>
        </w:tc>
        <w:tc>
          <w:tcPr>
            <w:tcW w:type="dxa" w:w="1560"/>
          </w:tcPr>
          <w:p>
            <w:r>
              <w:rPr>
                <w:rFonts w:ascii="Times New Roman" w:hAnsi="Times New Roman"/>
                <w:sz w:val="20"/>
              </w:rPr>
              <w:t>Black and Hispanic borrowers pay 5-10 bps more on average</w:t>
            </w:r>
          </w:p>
        </w:tc>
        <w:tc>
          <w:tcPr>
            <w:tcW w:type="dxa" w:w="1560"/>
          </w:tcPr>
          <w:p>
            <w:r>
              <w:rPr>
                <w:rFonts w:ascii="Times New Roman" w:hAnsi="Times New Roman"/>
                <w:sz w:val="20"/>
              </w:rPr>
              <w:t>RQ1, RQ2</w:t>
            </w:r>
          </w:p>
        </w:tc>
      </w:tr>
      <w:tr>
        <w:tc>
          <w:tcPr>
            <w:tcW w:type="dxa" w:w="1560"/>
          </w:tcPr>
          <w:p>
            <w:r>
              <w:rPr>
                <w:rFonts w:ascii="Times New Roman" w:hAnsi="Times New Roman"/>
                <w:sz w:val="20"/>
              </w:rPr>
              <w:t>Avery et al. (2021)</w:t>
            </w:r>
          </w:p>
        </w:tc>
        <w:tc>
          <w:tcPr>
            <w:tcW w:type="dxa" w:w="1560"/>
          </w:tcPr>
          <w:p>
            <w:r>
              <w:rPr>
                <w:rFonts w:ascii="Times New Roman" w:hAnsi="Times New Roman"/>
                <w:sz w:val="20"/>
              </w:rPr>
              <w:t>HMDA data quality and coverage</w:t>
            </w:r>
          </w:p>
        </w:tc>
        <w:tc>
          <w:tcPr>
            <w:tcW w:type="dxa" w:w="1560"/>
          </w:tcPr>
          <w:p>
            <w:r>
              <w:rPr>
                <w:rFonts w:ascii="Times New Roman" w:hAnsi="Times New Roman"/>
                <w:sz w:val="20"/>
              </w:rPr>
              <w:t>HMDA 2018–2020</w:t>
            </w:r>
          </w:p>
        </w:tc>
        <w:tc>
          <w:tcPr>
            <w:tcW w:type="dxa" w:w="1560"/>
          </w:tcPr>
          <w:p>
            <w:r>
              <w:rPr>
                <w:rFonts w:ascii="Times New Roman" w:hAnsi="Times New Roman"/>
                <w:sz w:val="20"/>
              </w:rPr>
              <w:t>Descriptive analysis</w:t>
            </w:r>
          </w:p>
        </w:tc>
        <w:tc>
          <w:tcPr>
            <w:tcW w:type="dxa" w:w="1560"/>
          </w:tcPr>
          <w:p>
            <w:r>
              <w:rPr>
                <w:rFonts w:ascii="Times New Roman" w:hAnsi="Times New Roman"/>
                <w:sz w:val="20"/>
              </w:rPr>
              <w:t>Post-2018 HMDA expansion improves fairness analysis capabilities</w:t>
            </w:r>
          </w:p>
        </w:tc>
        <w:tc>
          <w:tcPr>
            <w:tcW w:type="dxa" w:w="1560"/>
          </w:tcPr>
          <w:p>
            <w:r>
              <w:rPr>
                <w:rFonts w:ascii="Times New Roman" w:hAnsi="Times New Roman"/>
                <w:sz w:val="20"/>
              </w:rPr>
              <w:t>RQ3, RQ6</w:t>
            </w:r>
          </w:p>
        </w:tc>
      </w:tr>
      <w:tr>
        <w:tc>
          <w:tcPr>
            <w:tcW w:type="dxa" w:w="1560"/>
          </w:tcPr>
          <w:p>
            <w:r>
              <w:rPr>
                <w:rFonts w:ascii="Times New Roman" w:hAnsi="Times New Roman"/>
                <w:sz w:val="20"/>
              </w:rPr>
              <w:t>Obermeyer et al. (2019)</w:t>
            </w:r>
          </w:p>
        </w:tc>
        <w:tc>
          <w:tcPr>
            <w:tcW w:type="dxa" w:w="1560"/>
          </w:tcPr>
          <w:p>
            <w:r>
              <w:rPr>
                <w:rFonts w:ascii="Times New Roman" w:hAnsi="Times New Roman"/>
                <w:sz w:val="20"/>
              </w:rPr>
              <w:t>Algorithmic bias in healthcare</w:t>
            </w:r>
          </w:p>
        </w:tc>
        <w:tc>
          <w:tcPr>
            <w:tcW w:type="dxa" w:w="1560"/>
          </w:tcPr>
          <w:p>
            <w:r>
              <w:rPr>
                <w:rFonts w:ascii="Times New Roman" w:hAnsi="Times New Roman"/>
                <w:sz w:val="20"/>
              </w:rPr>
              <w:t>Commercial health data</w:t>
            </w:r>
          </w:p>
        </w:tc>
        <w:tc>
          <w:tcPr>
            <w:tcW w:type="dxa" w:w="1560"/>
          </w:tcPr>
          <w:p>
            <w:r>
              <w:rPr>
                <w:rFonts w:ascii="Times New Roman" w:hAnsi="Times New Roman"/>
                <w:sz w:val="20"/>
              </w:rPr>
              <w:t>Regression analysis</w:t>
            </w:r>
          </w:p>
        </w:tc>
        <w:tc>
          <w:tcPr>
            <w:tcW w:type="dxa" w:w="1560"/>
          </w:tcPr>
          <w:p>
            <w:r>
              <w:rPr>
                <w:rFonts w:ascii="Times New Roman" w:hAnsi="Times New Roman"/>
                <w:sz w:val="20"/>
              </w:rPr>
              <w:t>Commercial algorithm exhibits racial bias due to proxy variable use</w:t>
            </w:r>
          </w:p>
        </w:tc>
        <w:tc>
          <w:tcPr>
            <w:tcW w:type="dxa" w:w="1560"/>
          </w:tcPr>
          <w:p>
            <w:r>
              <w:rPr>
                <w:rFonts w:ascii="Times New Roman" w:hAnsi="Times New Roman"/>
                <w:sz w:val="20"/>
              </w:rPr>
              <w:t>RQ5</w:t>
            </w:r>
          </w:p>
        </w:tc>
      </w:tr>
      <w:tr>
        <w:tc>
          <w:tcPr>
            <w:tcW w:type="dxa" w:w="1560"/>
          </w:tcPr>
          <w:p>
            <w:r>
              <w:rPr>
                <w:rFonts w:ascii="Times New Roman" w:hAnsi="Times New Roman"/>
                <w:sz w:val="20"/>
              </w:rPr>
              <w:t>Mehrabi et al. (2021)</w:t>
            </w:r>
          </w:p>
        </w:tc>
        <w:tc>
          <w:tcPr>
            <w:tcW w:type="dxa" w:w="1560"/>
          </w:tcPr>
          <w:p>
            <w:r>
              <w:rPr>
                <w:rFonts w:ascii="Times New Roman" w:hAnsi="Times New Roman"/>
                <w:sz w:val="20"/>
              </w:rPr>
              <w:t>Survey of algorithmic fairness</w:t>
            </w:r>
          </w:p>
        </w:tc>
        <w:tc>
          <w:tcPr>
            <w:tcW w:type="dxa" w:w="1560"/>
          </w:tcPr>
          <w:p>
            <w:r>
              <w:rPr>
                <w:rFonts w:ascii="Times New Roman" w:hAnsi="Times New Roman"/>
                <w:sz w:val="20"/>
              </w:rPr>
              <w:t>Multiple datasets</w:t>
            </w:r>
          </w:p>
        </w:tc>
        <w:tc>
          <w:tcPr>
            <w:tcW w:type="dxa" w:w="1560"/>
          </w:tcPr>
          <w:p>
            <w:r>
              <w:rPr>
                <w:rFonts w:ascii="Times New Roman" w:hAnsi="Times New Roman"/>
                <w:sz w:val="20"/>
              </w:rPr>
              <w:t>Literature review</w:t>
            </w:r>
          </w:p>
        </w:tc>
        <w:tc>
          <w:tcPr>
            <w:tcW w:type="dxa" w:w="1560"/>
          </w:tcPr>
          <w:p>
            <w:r>
              <w:rPr>
                <w:rFonts w:ascii="Times New Roman" w:hAnsi="Times New Roman"/>
                <w:sz w:val="20"/>
              </w:rPr>
              <w:t>Comprehensive taxonomy of 23 fairness definitions and mitigation strategies</w:t>
            </w:r>
          </w:p>
        </w:tc>
        <w:tc>
          <w:tcPr>
            <w:tcW w:type="dxa" w:w="1560"/>
          </w:tcPr>
          <w:p>
            <w:r>
              <w:rPr>
                <w:rFonts w:ascii="Times New Roman" w:hAnsi="Times New Roman"/>
                <w:sz w:val="20"/>
              </w:rPr>
              <w:t>RQ1-RQ6</w:t>
            </w:r>
          </w:p>
        </w:tc>
      </w:tr>
      <w:tr>
        <w:tc>
          <w:tcPr>
            <w:tcW w:type="dxa" w:w="1560"/>
          </w:tcPr>
          <w:p>
            <w:r>
              <w:rPr>
                <w:rFonts w:ascii="Times New Roman" w:hAnsi="Times New Roman"/>
                <w:sz w:val="20"/>
              </w:rPr>
              <w:t>Munyai (2026)</w:t>
            </w:r>
          </w:p>
        </w:tc>
        <w:tc>
          <w:tcPr>
            <w:tcW w:type="dxa" w:w="1560"/>
          </w:tcPr>
          <w:p>
            <w:r>
              <w:rPr>
                <w:rFonts w:ascii="Times New Roman" w:hAnsi="Times New Roman"/>
                <w:sz w:val="20"/>
              </w:rPr>
              <w:t>Intersectional bias in mortgage ML</w:t>
            </w:r>
          </w:p>
        </w:tc>
        <w:tc>
          <w:tcPr>
            <w:tcW w:type="dxa" w:w="1560"/>
          </w:tcPr>
          <w:p>
            <w:r>
              <w:rPr>
                <w:rFonts w:ascii="Times New Roman" w:hAnsi="Times New Roman"/>
                <w:sz w:val="20"/>
              </w:rPr>
              <w:t>HMDA 2022–2024</w:t>
            </w:r>
          </w:p>
        </w:tc>
        <w:tc>
          <w:tcPr>
            <w:tcW w:type="dxa" w:w="1560"/>
          </w:tcPr>
          <w:p>
            <w:r>
              <w:rPr>
                <w:rFonts w:ascii="Times New Roman" w:hAnsi="Times New Roman"/>
                <w:sz w:val="20"/>
              </w:rPr>
              <w:t>XGBoost, novel metrics</w:t>
            </w:r>
          </w:p>
        </w:tc>
        <w:tc>
          <w:tcPr>
            <w:tcW w:type="dxa" w:w="1560"/>
          </w:tcPr>
          <w:p>
            <w:r>
              <w:rPr>
                <w:rFonts w:ascii="Times New Roman" w:hAnsi="Times New Roman"/>
                <w:sz w:val="20"/>
              </w:rPr>
              <w:t>TIBAI, PLSS, DRSI metrics; rural penalty of 0.089%</w:t>
            </w:r>
          </w:p>
        </w:tc>
        <w:tc>
          <w:tcPr>
            <w:tcW w:type="dxa" w:w="1560"/>
          </w:tcPr>
          <w:p>
            <w:r>
              <w:rPr>
                <w:rFonts w:ascii="Times New Roman" w:hAnsi="Times New Roman"/>
                <w:sz w:val="20"/>
              </w:rPr>
              <w:t>RQ1-RQ6</w:t>
            </w:r>
          </w:p>
        </w:tc>
      </w:tr>
    </w:tbl>
    <w:p/>
    <w:p>
      <w:pPr>
        <w:pStyle w:val="Heading2"/>
        <w:spacing w:before="240" w:after="120"/>
      </w:pPr>
      <w:r>
        <w:rPr>
          <w:rFonts w:ascii="Times New Roman" w:hAnsi="Times New Roman"/>
          <w:b/>
          <w:color w:val="000000"/>
          <w:sz w:val="26"/>
        </w:rPr>
        <w:t>Synthesis</w:t>
      </w:r>
    </w:p>
    <w:p>
      <w:pPr>
        <w:spacing w:after="120" w:line="480" w:lineRule="auto"/>
        <w:ind w:firstLine="360"/>
        <w:jc w:val="both"/>
      </w:pPr>
      <w:r>
        <w:rPr>
          <w:rFonts w:ascii="Times New Roman" w:hAnsi="Times New Roman"/>
          <w:b w:val="0"/>
          <w:i w:val="0"/>
          <w:sz w:val="24"/>
        </w:rPr>
        <w:t>Theme 1: Empirical Evidence of Lending Disparities: A substantial body of empirical research confirms persistent racial and gender disparities in mortgage lending outcomes, even after controlling for creditworthiness factors. Bartlett et al. (2022) found that while fintech lenders exhibit less face-to-face discrimination than traditional lenders, algorithmic pricing still produces disparate outcomes. Bhutta and Hizmo (2021) documented that Black and Hispanic borrowers pay 5–10 basis points more on average, a gap that persists even when controlling for loan-to-value ratios and credit scores. These findings motivate the present study's focus on rate spread as the primary outcome variable, as it captures pricing disparities that may not be visible in approval rate analyses alone.</w:t>
      </w:r>
    </w:p>
    <w:p>
      <w:pPr>
        <w:spacing w:after="120" w:line="480" w:lineRule="auto"/>
        <w:ind w:firstLine="360"/>
        <w:jc w:val="both"/>
      </w:pPr>
      <w:r>
        <w:rPr>
          <w:rFonts w:ascii="Times New Roman" w:hAnsi="Times New Roman"/>
          <w:b w:val="0"/>
          <w:i w:val="0"/>
          <w:sz w:val="24"/>
        </w:rPr>
        <w:t>Theme 2: Machine Learning Fairness Methods: The machine learning fairness literature has produced a rich set of theoretical frameworks and practical tools for identifying and mitigating algorithmic bias. Hardt et al. (2016) introduced the equalized odds framework, requiring that a model's false positive and false negative rates be equal across demographic groups. Chouldechova (2017) demonstrated the fundamental tension between different fairness criteria, showing that it is mathematically impossible to simultaneously satisfy calibration, balance for positive class, and balance for negative class when base rates differ across groups. This impossibility theorem is directly relevant to the present study's finding that XGBoost achieves better predictive accuracy but requires explicit tuning to maintain fairness.</w:t>
      </w:r>
    </w:p>
    <w:p>
      <w:pPr>
        <w:spacing w:after="120" w:line="480" w:lineRule="auto"/>
        <w:ind w:firstLine="360"/>
        <w:jc w:val="both"/>
      </w:pPr>
      <w:r>
        <w:rPr>
          <w:rFonts w:ascii="Times New Roman" w:hAnsi="Times New Roman"/>
          <w:b w:val="0"/>
          <w:i w:val="0"/>
          <w:sz w:val="24"/>
        </w:rPr>
        <w:t>Theme 3: Intersectional and Temporal Dimensions: A critical gap in the existing literature is the limited attention to intersectional biases, the compounded disadvantages experienced by individuals with multiple marginalized identities. Obermeyer et al. (2019) demonstrated in the healthcare context how proxy variables can encode intersectional biases that are invisible to single-attribute fairness metrics. Mehrabi et al. (2021) identify intersectionality as an emerging frontier in algorithmic fairness research. The present study addresses this gap through the PLSS and TIBAI metrics, which are specifically designed to capture intersectional and temporal dimensions of bias in mortgage pricing.</w:t>
      </w:r>
    </w:p>
    <w:p>
      <w:pPr>
        <w:spacing w:after="120" w:line="480" w:lineRule="auto"/>
        <w:ind w:firstLine="360"/>
        <w:jc w:val="both"/>
      </w:pPr>
      <w:r>
        <w:rPr>
          <w:rFonts w:ascii="Times New Roman" w:hAnsi="Times New Roman"/>
          <w:b w:val="0"/>
          <w:i w:val="0"/>
          <w:sz w:val="24"/>
        </w:rPr>
        <w:t>Theme 4: Regulatory and Policy Context: The regulatory landscape for algorithmic lending fairness is evolving rapidly. The CFPB's 2022 guidance on algorithmic credit scoring explicitly addressed the use of machine learning in credit decisions, requiring that models be explainable and auditable. Avery et al. (2021) documented how the 2018 HMDA data expansion, which added rate spread reporting for a broader range of loans, significantly enhanced the ability to detect pricing disparities. This regulatory context underscores the practical importance of the novel metrics developed in this study, which are designed to align with regulatory examination frameworks.</w:t>
      </w:r>
    </w:p>
    <w:p>
      <w:pPr>
        <w:spacing w:after="120" w:line="480" w:lineRule="auto"/>
        <w:ind w:firstLine="360"/>
        <w:jc w:val="both"/>
      </w:pPr>
      <w:r>
        <w:rPr>
          <w:rFonts w:ascii="Times New Roman" w:hAnsi="Times New Roman"/>
          <w:b w:val="0"/>
          <w:i w:val="0"/>
          <w:sz w:val="24"/>
        </w:rPr>
        <w:t>Theme 5: Methodological Contributions: The methodological literature on fair lending analysis has increasingly moved beyond simple regression approaches toward more sophisticated machine learning frameworks. Fuster et al. (2022) demonstrated that while ML models reduce approval disparities compared to traditional underwriting, they can simultaneously increase pricing disparities, a finding that directly motivates the present study's Pareto-optimal analysis (RQ4). Khandani et al. (2010) showed that decision tree ensembles can significantly improve default prediction accuracy, providing the methodological foundation for the XGBoost approach adopted in this study.</w:t>
      </w:r>
    </w:p>
    <w:p>
      <w:r>
        <w:br w:type="page"/>
      </w:r>
    </w:p>
    <w:p>
      <w:pPr>
        <w:pStyle w:val="Heading1"/>
        <w:spacing w:before="240" w:after="120"/>
        <w:jc w:val="center"/>
      </w:pPr>
      <w:r>
        <w:rPr>
          <w:rFonts w:ascii="Times New Roman" w:hAnsi="Times New Roman"/>
          <w:b/>
          <w:color w:val="000000"/>
          <w:sz w:val="28"/>
        </w:rPr>
        <w:t>Materials and Method</w:t>
      </w:r>
    </w:p>
    <w:p>
      <w:pPr>
        <w:pStyle w:val="Heading2"/>
        <w:spacing w:before="240" w:after="120"/>
      </w:pPr>
      <w:r>
        <w:rPr>
          <w:rFonts w:ascii="Times New Roman" w:hAnsi="Times New Roman"/>
          <w:b/>
          <w:color w:val="000000"/>
          <w:sz w:val="26"/>
        </w:rPr>
        <w:t>Data Description</w:t>
      </w:r>
    </w:p>
    <w:p>
      <w:pPr>
        <w:spacing w:after="120" w:line="480" w:lineRule="auto"/>
        <w:ind w:firstLine="360"/>
        <w:jc w:val="both"/>
      </w:pPr>
      <w:r>
        <w:rPr>
          <w:rFonts w:ascii="Times New Roman" w:hAnsi="Times New Roman"/>
          <w:b w:val="0"/>
          <w:i w:val="0"/>
          <w:sz w:val="24"/>
        </w:rPr>
        <w:t>The primary data source for this study is the Home Mortgage Disclosure Act (HMDA) public dataset, maintained and published annually by the Consumer Financial Protection Bureau (CFPB). HMDA data is collected from financial institutions that meet certain asset and loan volume thresholds, covering the vast majority of mortgage originations in the United States. The dataset includes information on loan applications, originations, and denials, along with borrower demographics, loan characteristics, and pricing information.</w:t>
      </w:r>
    </w:p>
    <w:p>
      <w:pPr>
        <w:spacing w:after="120" w:line="480" w:lineRule="auto"/>
        <w:ind w:firstLine="360"/>
        <w:jc w:val="both"/>
      </w:pPr>
      <w:r>
        <w:rPr>
          <w:rFonts w:ascii="Times New Roman" w:hAnsi="Times New Roman"/>
          <w:b w:val="0"/>
          <w:i w:val="0"/>
          <w:sz w:val="24"/>
        </w:rPr>
        <w:t>Three annual datasets were used: 2022 (raw: 4.6M records), 2023 (raw: 3.1M records), and 2024 (raw: 3.3M records). After applying inclusion criteria (see Data Cleaning section), the clean datasets comprised 694,000 (2022), 774,000 (2023), and 978,000 (2024) eligible records. A stratified random sample of 120,000 records per year was drawn, resulting in a total analytical dataset of N=360,000 observations. Stratification was performed on loan type, applicant sex, and property state to ensure representative coverage of all demographic and geographic subgroups.</w:t>
      </w:r>
    </w:p>
    <w:p>
      <w:pPr>
        <w:spacing w:after="120" w:line="480" w:lineRule="auto"/>
        <w:ind w:firstLine="360"/>
        <w:jc w:val="both"/>
      </w:pPr>
      <w:r>
        <w:rPr>
          <w:rFonts w:ascii="Times New Roman" w:hAnsi="Times New Roman"/>
          <w:b w:val="0"/>
          <w:i w:val="0"/>
          <w:sz w:val="24"/>
        </w:rPr>
        <w:t>The target variable is rate_spread, defined as the difference between the loan's Annual Percentage Rate (APR) and the Average Prime Offer Rate (APOR) for a comparable transaction, expressed in percentage points. A positive rate spread indicates that the borrower received a rate above the prime offer rate, with higher values indicating less favorable pricing. The HMDA dataset reports rate spread only for originated loans where the spread exceeds a regulatory threshold (1.5 percentage points for first liens), meaning the analytical sample is restricted to higher-priced mortgage loans.</w:t>
      </w:r>
    </w:p>
    <w:p>
      <w:pPr>
        <w:pStyle w:val="Heading2"/>
        <w:spacing w:before="240" w:after="120"/>
      </w:pPr>
      <w:r>
        <w:rPr>
          <w:rFonts w:ascii="Times New Roman" w:hAnsi="Times New Roman"/>
          <w:b/>
          <w:color w:val="000000"/>
          <w:sz w:val="26"/>
        </w:rPr>
        <w:t>Research Hypotheses</w:t>
      </w:r>
    </w:p>
    <w:p>
      <w:pPr>
        <w:spacing w:after="120" w:line="480" w:lineRule="auto"/>
        <w:ind w:firstLine="360"/>
        <w:jc w:val="both"/>
      </w:pPr>
      <w:r>
        <w:rPr>
          <w:rFonts w:ascii="Times New Roman" w:hAnsi="Times New Roman"/>
          <w:b w:val="0"/>
          <w:i w:val="0"/>
          <w:sz w:val="24"/>
        </w:rPr>
        <w:t>The following null and alternative hypotheses were formulated for each research question:</w:t>
      </w:r>
    </w:p>
    <w:p>
      <w:pPr>
        <w:spacing w:after="120" w:line="480" w:lineRule="auto"/>
        <w:ind w:firstLine="360"/>
        <w:jc w:val="both"/>
      </w:pPr>
      <w:r>
        <w:rPr>
          <w:rFonts w:ascii="Times New Roman" w:hAnsi="Times New Roman"/>
          <w:b w:val="0"/>
          <w:i w:val="0"/>
          <w:sz w:val="24"/>
        </w:rPr>
        <w:t>RQ1 Hypotheses: H₀: There is no statistically significant difference in the distribution of prediction errors between male and female applicants in the XGBoost model (KS statistic p ≥ 0.05). Hₐ: The XGBoost model produces statistically significant differences in prediction errors across sex-based demographic groups (KS statistic p &lt; 0.05).</w:t>
      </w:r>
    </w:p>
    <w:p>
      <w:pPr>
        <w:spacing w:after="120" w:line="480" w:lineRule="auto"/>
        <w:ind w:firstLine="360"/>
        <w:jc w:val="both"/>
      </w:pPr>
      <w:r>
        <w:rPr>
          <w:rFonts w:ascii="Times New Roman" w:hAnsi="Times New Roman"/>
          <w:b w:val="0"/>
          <w:i w:val="0"/>
          <w:sz w:val="24"/>
        </w:rPr>
        <w:t>RQ2 Hypotheses: H₀: The Disparate Impact ratio does not differ significantly across loan types (Conventional, FHA, VA). Hₐ: The Disparate Impact ratio differs significantly across loan types, with FHA loans exhibiting higher disparate impact than Conventional loans.</w:t>
      </w:r>
    </w:p>
    <w:p>
      <w:pPr>
        <w:spacing w:after="120" w:line="480" w:lineRule="auto"/>
        <w:ind w:firstLine="360"/>
        <w:jc w:val="both"/>
      </w:pPr>
      <w:r>
        <w:rPr>
          <w:rFonts w:ascii="Times New Roman" w:hAnsi="Times New Roman"/>
          <w:b w:val="0"/>
          <w:i w:val="0"/>
          <w:sz w:val="24"/>
        </w:rPr>
        <w:t>RQ3 Hypotheses: H₀: The combined effect of sex and location on rate spread is equal to the sum of individual effects (no interaction). Hₐ: There is a statistically significant interaction between applicant sex and property location, resulting in a compounding penalty for rural female applicants.</w:t>
      </w:r>
    </w:p>
    <w:p>
      <w:pPr>
        <w:spacing w:after="120" w:line="480" w:lineRule="auto"/>
        <w:ind w:firstLine="360"/>
        <w:jc w:val="both"/>
      </w:pPr>
      <w:r>
        <w:rPr>
          <w:rFonts w:ascii="Times New Roman" w:hAnsi="Times New Roman"/>
          <w:b w:val="0"/>
          <w:i w:val="0"/>
          <w:sz w:val="24"/>
        </w:rPr>
        <w:t>RQ4 Hypotheses: H₀: There is no XGBoost hyperparameter configuration that simultaneously achieves lower RMSE and lower disparate impact than the baseline Logistic Regression model. Hₐ: At least one XGBoost hyperparameter configuration achieves Pareto-optimality with respect to both RMSE and disparate impact.</w:t>
      </w:r>
    </w:p>
    <w:p>
      <w:pPr>
        <w:spacing w:after="120" w:line="480" w:lineRule="auto"/>
        <w:ind w:firstLine="360"/>
        <w:jc w:val="both"/>
      </w:pPr>
      <w:r>
        <w:rPr>
          <w:rFonts w:ascii="Times New Roman" w:hAnsi="Times New Roman"/>
          <w:b w:val="0"/>
          <w:i w:val="0"/>
          <w:sz w:val="24"/>
        </w:rPr>
        <w:t>RQ5 Hypotheses: H₀: The rate spread penalty for applicants with intersectional protected identities (minority sex and rural location) is not greater than the sum of individual penalties. Hₐ: Applicants with intersectional protected identities experience a compounding penalty exceeding the additive combination of individual effects.</w:t>
      </w:r>
    </w:p>
    <w:p>
      <w:pPr>
        <w:spacing w:after="120" w:line="480" w:lineRule="auto"/>
        <w:ind w:firstLine="360"/>
        <w:jc w:val="both"/>
      </w:pPr>
      <w:r>
        <w:rPr>
          <w:rFonts w:ascii="Times New Roman" w:hAnsi="Times New Roman"/>
          <w:b w:val="0"/>
          <w:i w:val="0"/>
          <w:sz w:val="24"/>
        </w:rPr>
        <w:t>RQ6 Hypotheses: H₀: The TIBAI metric does not change significantly across the 2022–2024 period. Hₐ: The TIBAI metric shows a statistically significant trend in algorithmic fairness over the 2022–2024 period.</w:t>
      </w:r>
    </w:p>
    <w:p>
      <w:pPr>
        <w:pStyle w:val="Heading2"/>
        <w:spacing w:before="240" w:after="120"/>
      </w:pPr>
      <w:r>
        <w:rPr>
          <w:rFonts w:ascii="Times New Roman" w:hAnsi="Times New Roman"/>
          <w:b/>
          <w:color w:val="000000"/>
          <w:sz w:val="26"/>
        </w:rPr>
        <w:t>Minimum Sample Size Computation</w:t>
      </w:r>
    </w:p>
    <w:p>
      <w:pPr>
        <w:spacing w:after="120" w:line="480" w:lineRule="auto"/>
        <w:ind w:firstLine="360"/>
        <w:jc w:val="both"/>
      </w:pPr>
      <w:r>
        <w:rPr>
          <w:rFonts w:ascii="Times New Roman" w:hAnsi="Times New Roman"/>
          <w:b w:val="0"/>
          <w:i w:val="0"/>
          <w:sz w:val="24"/>
        </w:rPr>
        <w:t>A prospective power analysis was conducted using the two-sample t-test framework to determine the minimum sample size required to detect meaningful differences in rate spreads across demographic groups. Based on prior literature (Bhutta &amp; Hizmo, 2021), a conservative effect size of Cohen's d = 0.05 was assumed, representing a small but practically meaningful difference in rate spreads. With a significance level of α = 0.05 and a desired power of 1-β = 0.80, the minimum required sample size per group was calculated as n = 6,281. The study's sample of 120,000 records per year (approximately 60,000 per sex group) provides statistical power exceeding 0.9999, ensuring that even very small effects can be reliably detected. Figure 14 illustrates the power curve as a function of sample size.</w:t>
      </w:r>
    </w:p>
    <w:p/>
    <w:p>
      <w:pPr>
        <w:ind w:firstLine="0"/>
        <w:jc w:val="center"/>
      </w:pPr>
      <w:r>
        <w:drawing>
          <wp:inline xmlns:a="http://schemas.openxmlformats.org/drawingml/2006/main" xmlns:pic="http://schemas.openxmlformats.org/drawingml/2006/picture">
            <wp:extent cx="5303520" cy="2910955"/>
            <wp:docPr id="1" name="Picture 1"/>
            <wp:cNvGraphicFramePr>
              <a:graphicFrameLocks noChangeAspect="1"/>
            </wp:cNvGraphicFramePr>
            <a:graphic>
              <a:graphicData uri="http://schemas.openxmlformats.org/drawingml/2006/picture">
                <pic:pic>
                  <pic:nvPicPr>
                    <pic:cNvPr id="0" name="fig14_power_analysis.png"/>
                    <pic:cNvPicPr/>
                  </pic:nvPicPr>
                  <pic:blipFill>
                    <a:blip r:embed="rId9"/>
                    <a:stretch>
                      <a:fillRect/>
                    </a:stretch>
                  </pic:blipFill>
                  <pic:spPr>
                    <a:xfrm>
                      <a:off x="0" y="0"/>
                      <a:ext cx="5303520" cy="2910955"/>
                    </a:xfrm>
                    <a:prstGeom prst="rect"/>
                  </pic:spPr>
                </pic:pic>
              </a:graphicData>
            </a:graphic>
          </wp:inline>
        </w:drawing>
      </w:r>
    </w:p>
    <w:p>
      <w:pPr>
        <w:ind w:firstLine="0"/>
        <w:jc w:val="center"/>
      </w:pPr>
      <w:r>
        <w:rPr>
          <w:rFonts w:ascii="Times New Roman" w:hAnsi="Times New Roman"/>
          <w:i/>
          <w:sz w:val="20"/>
        </w:rPr>
        <w:t>Figure 14. Statistical Power Analysis (Cohen's d = 0.05, α = 0.05). The vertical red line indicates the study's sample size of 120,000 records per year, demonstrating &gt;99% power to detect the target effect size.</w:t>
      </w:r>
    </w:p>
    <w:p/>
    <w:p>
      <w:pPr>
        <w:pStyle w:val="Heading2"/>
        <w:spacing w:before="240" w:after="120"/>
      </w:pPr>
      <w:r>
        <w:rPr>
          <w:rFonts w:ascii="Times New Roman" w:hAnsi="Times New Roman"/>
          <w:b/>
          <w:color w:val="000000"/>
          <w:sz w:val="26"/>
        </w:rPr>
        <w:t>Statistical Methods</w:t>
      </w:r>
    </w:p>
    <w:p>
      <w:pPr>
        <w:spacing w:after="120" w:line="480" w:lineRule="auto"/>
        <w:ind w:firstLine="360"/>
        <w:jc w:val="both"/>
      </w:pPr>
      <w:r>
        <w:rPr>
          <w:rFonts w:ascii="Times New Roman" w:hAnsi="Times New Roman"/>
          <w:b w:val="0"/>
          <w:i w:val="0"/>
          <w:sz w:val="24"/>
        </w:rPr>
        <w:t>The analysis employs a comprehensive suite of statistical methods to address the six research questions. For model comparison (RQ1, RQ4), the Kolmogorov-Smirnov (KS) two-sample test was used to compare the distributions of prediction errors across demographic groups, with a significance threshold of α = 0.05. Effect sizes were quantified using Cohen's d, with thresholds of |d| &lt; 0.2 (negligible), 0.2–0.5 (small), 0.5–0.8 (medium), and |d| &gt; 0.8 (large). For the Disparate Impact analysis (RQ2), the standard 80% rule was applied: DI = (adverse rate for protected group) / (adverse rate for reference group), with DI &lt; 0.80 indicating legally significant disparate impact.</w:t>
      </w:r>
    </w:p>
    <w:p>
      <w:pPr>
        <w:spacing w:after="120" w:line="480" w:lineRule="auto"/>
        <w:ind w:firstLine="360"/>
        <w:jc w:val="both"/>
      </w:pPr>
      <w:r>
        <w:rPr>
          <w:rFonts w:ascii="Times New Roman" w:hAnsi="Times New Roman"/>
          <w:b w:val="0"/>
          <w:i w:val="0"/>
          <w:sz w:val="24"/>
        </w:rPr>
        <w:t>For the intersectional analysis (RQ3, RQ5), a two-way ANOVA with interaction terms was used to decompose the variance in rate spreads attributable to sex, location, and their interaction. The PLSS metric was computed as the difference in mean predicted rate spreads between rural female applicants and urban male applicants, controlling for financial characteristics. For the temporal analysis (RQ6), the TIBAI metric was computed annually and a Pearson correlation with time was used to assess the significance of the trend. All analyses were conducted at the 5% significance level, with Bonferroni correction applied for multiple comparisons where appropriate.</w:t>
      </w:r>
    </w:p>
    <w:p>
      <w:pPr>
        <w:pStyle w:val="Heading2"/>
        <w:spacing w:before="240" w:after="120"/>
      </w:pPr>
      <w:r>
        <w:rPr>
          <w:rFonts w:ascii="Times New Roman" w:hAnsi="Times New Roman"/>
          <w:b/>
          <w:color w:val="000000"/>
          <w:sz w:val="26"/>
        </w:rPr>
        <w:t>Exploratory Data Analysis</w:t>
      </w:r>
    </w:p>
    <w:p>
      <w:pPr>
        <w:spacing w:after="120" w:line="480" w:lineRule="auto"/>
        <w:ind w:firstLine="360"/>
        <w:jc w:val="both"/>
      </w:pPr>
      <w:r>
        <w:rPr>
          <w:rFonts w:ascii="Times New Roman" w:hAnsi="Times New Roman"/>
          <w:b w:val="0"/>
          <w:i w:val="0"/>
          <w:sz w:val="24"/>
        </w:rPr>
        <w:t>Comprehensive exploratory data analysis was conducted to characterize the distribution of key variables, identify potential data quality issues, and develop hypotheses about the relationships between features and the target variable. The EDA proceeded in four stages: univariate analysis, bivariate analysis, temporal analysis, and multicollinearity assessment.</w:t>
      </w:r>
    </w:p>
    <w:p>
      <w:pPr>
        <w:spacing w:after="120" w:line="480" w:lineRule="auto"/>
        <w:ind w:firstLine="360"/>
        <w:jc w:val="both"/>
      </w:pPr>
      <w:r>
        <w:rPr>
          <w:rFonts w:ascii="Times New Roman" w:hAnsi="Times New Roman"/>
          <w:b w:val="0"/>
          <w:i w:val="0"/>
          <w:sz w:val="24"/>
        </w:rPr>
        <w:t>Univariate Analysis: Figure 1 presents the distributions of the five primary features and the target variable (rate spread). The rate spread distribution is right-skewed, with a median of approximately 1.8 percentage points and a long tail extending to 8+ percentage points for the highest-priced loans. Income and loan amount are approximately log-normally distributed, consistent with the broader literature on mortgage data. Debt-to-income ratios are approximately normally distributed with a mean of 38.4% for male applicants and 36.8% for female applicants.</w:t>
      </w:r>
    </w:p>
    <w:p/>
    <w:p>
      <w:pPr>
        <w:ind w:firstLine="0"/>
        <w:jc w:val="center"/>
      </w:pPr>
      <w:r>
        <w:drawing>
          <wp:inline xmlns:a="http://schemas.openxmlformats.org/drawingml/2006/main" xmlns:pic="http://schemas.openxmlformats.org/drawingml/2006/picture">
            <wp:extent cx="5303520" cy="2035167"/>
            <wp:docPr id="2" name="Picture 2"/>
            <wp:cNvGraphicFramePr>
              <a:graphicFrameLocks noChangeAspect="1"/>
            </wp:cNvGraphicFramePr>
            <a:graphic>
              <a:graphicData uri="http://schemas.openxmlformats.org/drawingml/2006/picture">
                <pic:pic>
                  <pic:nvPicPr>
                    <pic:cNvPr id="0" name="fig01_eda_distributions.png"/>
                    <pic:cNvPicPr/>
                  </pic:nvPicPr>
                  <pic:blipFill>
                    <a:blip r:embed="rId10"/>
                    <a:stretch>
                      <a:fillRect/>
                    </a:stretch>
                  </pic:blipFill>
                  <pic:spPr>
                    <a:xfrm>
                      <a:off x="0" y="0"/>
                      <a:ext cx="5303520" cy="2035167"/>
                    </a:xfrm>
                    <a:prstGeom prst="rect"/>
                  </pic:spPr>
                </pic:pic>
              </a:graphicData>
            </a:graphic>
          </wp:inline>
        </w:drawing>
      </w:r>
    </w:p>
    <w:p>
      <w:pPr>
        <w:ind w:firstLine="0"/>
        <w:jc w:val="center"/>
      </w:pPr>
      <w:r>
        <w:rPr>
          <w:rFonts w:ascii="Times New Roman" w:hAnsi="Times New Roman"/>
          <w:i/>
          <w:sz w:val="20"/>
        </w:rPr>
        <w:t>Figure 1. Distribution of Key Features in the 2024 HMDA Sample (n=120,000). Panels show rate spread (target), income, loan amount, LTV ratio, and DTI ratio.</w:t>
      </w:r>
    </w:p>
    <w:p/>
    <w:p>
      <w:pPr>
        <w:spacing w:after="120" w:line="480" w:lineRule="auto"/>
        <w:ind w:firstLine="360"/>
        <w:jc w:val="both"/>
      </w:pPr>
      <w:r>
        <w:rPr>
          <w:rFonts w:ascii="Times New Roman" w:hAnsi="Times New Roman"/>
          <w:b w:val="0"/>
          <w:i w:val="0"/>
          <w:sz w:val="24"/>
        </w:rPr>
        <w:t>Temporal Analysis: Figure 2 presents the temporal trends in mean rate spread across the three study years, disaggregated by demographic group. The sharp increase in rate spreads from 2022 to 2023 reflects the Federal Reserve's aggressive interest rate increases during this period. Importantly, the gap between demographic groups remained relatively stable across this period of rate volatility, suggesting that the structural factors driving disparities are persistent and not primarily driven by macroeconomic conditions.</w:t>
      </w:r>
    </w:p>
    <w:p/>
    <w:p>
      <w:pPr>
        <w:ind w:firstLine="0"/>
        <w:jc w:val="center"/>
      </w:pPr>
      <w:r>
        <w:drawing>
          <wp:inline xmlns:a="http://schemas.openxmlformats.org/drawingml/2006/main" xmlns:pic="http://schemas.openxmlformats.org/drawingml/2006/picture">
            <wp:extent cx="5303520" cy="1888471"/>
            <wp:docPr id="3" name="Picture 3"/>
            <wp:cNvGraphicFramePr>
              <a:graphicFrameLocks noChangeAspect="1"/>
            </wp:cNvGraphicFramePr>
            <a:graphic>
              <a:graphicData uri="http://schemas.openxmlformats.org/drawingml/2006/picture">
                <pic:pic>
                  <pic:nvPicPr>
                    <pic:cNvPr id="0" name="fig02_temporal_trends.png"/>
                    <pic:cNvPicPr/>
                  </pic:nvPicPr>
                  <pic:blipFill>
                    <a:blip r:embed="rId11"/>
                    <a:stretch>
                      <a:fillRect/>
                    </a:stretch>
                  </pic:blipFill>
                  <pic:spPr>
                    <a:xfrm>
                      <a:off x="0" y="0"/>
                      <a:ext cx="5303520" cy="1888471"/>
                    </a:xfrm>
                    <a:prstGeom prst="rect"/>
                  </pic:spPr>
                </pic:pic>
              </a:graphicData>
            </a:graphic>
          </wp:inline>
        </w:drawing>
      </w:r>
    </w:p>
    <w:p>
      <w:pPr>
        <w:ind w:firstLine="0"/>
        <w:jc w:val="center"/>
      </w:pPr>
      <w:r>
        <w:rPr>
          <w:rFonts w:ascii="Times New Roman" w:hAnsi="Times New Roman"/>
          <w:i/>
          <w:sz w:val="20"/>
        </w:rPr>
        <w:t>Figure 2. Temporal Trends in Mean Rate Spread (2022–2024) by Demographic Group. Error bars represent 95% confidence intervals.</w:t>
      </w:r>
    </w:p>
    <w:p/>
    <w:p>
      <w:pPr>
        <w:spacing w:after="120" w:line="480" w:lineRule="auto"/>
        <w:ind w:firstLine="360"/>
        <w:jc w:val="both"/>
      </w:pPr>
      <w:r>
        <w:rPr>
          <w:rFonts w:ascii="Times New Roman" w:hAnsi="Times New Roman"/>
          <w:b w:val="0"/>
          <w:i w:val="0"/>
          <w:sz w:val="24"/>
        </w:rPr>
        <w:t>Bivariate Analysis: Figure 3 presents the correlation matrix for all features included in the models. The highest correlation observed is between loan amount and income (r = 0.62), which is expected given that lenders typically use income as a primary determinant of loan size. No correlation exceeds 0.80, suggesting the absence of severe multicollinearity. The rate spread shows the strongest negative correlation with income (r = -0.31), confirming that lower-income borrowers tend to receive less favorable pricing.</w:t>
      </w:r>
    </w:p>
    <w:p/>
    <w:p>
      <w:pPr>
        <w:ind w:firstLine="0"/>
        <w:jc w:val="center"/>
      </w:pPr>
      <w:r>
        <w:drawing>
          <wp:inline xmlns:a="http://schemas.openxmlformats.org/drawingml/2006/main" xmlns:pic="http://schemas.openxmlformats.org/drawingml/2006/picture">
            <wp:extent cx="5303520" cy="4237879"/>
            <wp:docPr id="4" name="Picture 4"/>
            <wp:cNvGraphicFramePr>
              <a:graphicFrameLocks noChangeAspect="1"/>
            </wp:cNvGraphicFramePr>
            <a:graphic>
              <a:graphicData uri="http://schemas.openxmlformats.org/drawingml/2006/picture">
                <pic:pic>
                  <pic:nvPicPr>
                    <pic:cNvPr id="0" name="fig03_correlation_matrix.png"/>
                    <pic:cNvPicPr/>
                  </pic:nvPicPr>
                  <pic:blipFill>
                    <a:blip r:embed="rId12"/>
                    <a:stretch>
                      <a:fillRect/>
                    </a:stretch>
                  </pic:blipFill>
                  <pic:spPr>
                    <a:xfrm>
                      <a:off x="0" y="0"/>
                      <a:ext cx="5303520" cy="4237879"/>
                    </a:xfrm>
                    <a:prstGeom prst="rect"/>
                  </pic:spPr>
                </pic:pic>
              </a:graphicData>
            </a:graphic>
          </wp:inline>
        </w:drawing>
      </w:r>
    </w:p>
    <w:p>
      <w:pPr>
        <w:ind w:firstLine="0"/>
        <w:jc w:val="center"/>
      </w:pPr>
      <w:r>
        <w:rPr>
          <w:rFonts w:ascii="Times New Roman" w:hAnsi="Times New Roman"/>
          <w:i/>
          <w:sz w:val="20"/>
        </w:rPr>
        <w:t>Figure 3. Pearson Correlation Matrix for All Model Features. Cells show correlation coefficients; darker shading indicates stronger correlations.</w:t>
      </w:r>
    </w:p>
    <w:p/>
    <w:p>
      <w:pPr>
        <w:spacing w:after="120" w:line="480" w:lineRule="auto"/>
        <w:ind w:firstLine="360"/>
        <w:jc w:val="both"/>
      </w:pPr>
      <w:r>
        <w:rPr>
          <w:rFonts w:ascii="Times New Roman" w:hAnsi="Times New Roman"/>
          <w:b w:val="0"/>
          <w:i w:val="0"/>
          <w:sz w:val="24"/>
        </w:rPr>
        <w:t>Feature Distributions by Gender: Figure 12 presents the distributions of all key features disaggregated by applicant sex. While the distributions are broadly similar, systematic differences are observable in income (male applicants report higher median income), loan amount (male applicants request larger loans on average), and loan type (female applicants are more likely to use FHA loans). These differences in feature distributions are important context for interpreting the fairness analysis, as they indicate that some of the observed rate spread disparities may reflect legitimate differences in financial profiles rather than discriminatory pricing.</w:t>
      </w:r>
    </w:p>
    <w:p/>
    <w:p>
      <w:pPr>
        <w:ind w:firstLine="0"/>
        <w:jc w:val="center"/>
      </w:pPr>
      <w:r>
        <w:drawing>
          <wp:inline xmlns:a="http://schemas.openxmlformats.org/drawingml/2006/main" xmlns:pic="http://schemas.openxmlformats.org/drawingml/2006/picture">
            <wp:extent cx="5303520" cy="3103069"/>
            <wp:docPr id="5" name="Picture 5"/>
            <wp:cNvGraphicFramePr>
              <a:graphicFrameLocks noChangeAspect="1"/>
            </wp:cNvGraphicFramePr>
            <a:graphic>
              <a:graphicData uri="http://schemas.openxmlformats.org/drawingml/2006/picture">
                <pic:pic>
                  <pic:nvPicPr>
                    <pic:cNvPr id="0" name="fig12_feature_distributions.png"/>
                    <pic:cNvPicPr/>
                  </pic:nvPicPr>
                  <pic:blipFill>
                    <a:blip r:embed="rId13"/>
                    <a:stretch>
                      <a:fillRect/>
                    </a:stretch>
                  </pic:blipFill>
                  <pic:spPr>
                    <a:xfrm>
                      <a:off x="0" y="0"/>
                      <a:ext cx="5303520" cy="3103069"/>
                    </a:xfrm>
                    <a:prstGeom prst="rect"/>
                  </pic:spPr>
                </pic:pic>
              </a:graphicData>
            </a:graphic>
          </wp:inline>
        </w:drawing>
      </w:r>
    </w:p>
    <w:p>
      <w:pPr>
        <w:ind w:firstLine="0"/>
        <w:jc w:val="center"/>
      </w:pPr>
      <w:r>
        <w:rPr>
          <w:rFonts w:ascii="Times New Roman" w:hAnsi="Times New Roman"/>
          <w:i/>
          <w:sz w:val="20"/>
        </w:rPr>
        <w:t>Figure 12. Feature Distributions by Applicant Sex in the 2024 HMDA Sample. Blue: Male applicants; Red: Female applicants.</w:t>
      </w:r>
    </w:p>
    <w:p/>
    <w:p>
      <w:pPr>
        <w:spacing w:after="120" w:line="480" w:lineRule="auto"/>
        <w:ind w:firstLine="360"/>
        <w:jc w:val="both"/>
      </w:pPr>
      <w:r>
        <w:rPr>
          <w:rFonts w:ascii="Times New Roman" w:hAnsi="Times New Roman"/>
          <w:b w:val="0"/>
          <w:i w:val="0"/>
          <w:sz w:val="24"/>
        </w:rPr>
        <w:t>Multicollinearity Assessment: Figure 13 presents the Variance Inflation Factor (VIF) scores for all features included in the models. All VIF scores are below 3.0 (range: 1.09–2.62), well below the conventional threshold of 5.0 for moderate multicollinearity and 10.0 for severe multicollinearity. This confirms that multicollinearity is not a concern in the present analysis and that all features can be included in the models without inflating standard errors or destabilizing coefficient estimates.</w:t>
      </w:r>
    </w:p>
    <w:p/>
    <w:p>
      <w:pPr>
        <w:ind w:firstLine="0"/>
        <w:jc w:val="center"/>
      </w:pPr>
      <w:r>
        <w:drawing>
          <wp:inline xmlns:a="http://schemas.openxmlformats.org/drawingml/2006/main" xmlns:pic="http://schemas.openxmlformats.org/drawingml/2006/picture">
            <wp:extent cx="5303520" cy="2910955"/>
            <wp:docPr id="6" name="Picture 6"/>
            <wp:cNvGraphicFramePr>
              <a:graphicFrameLocks noChangeAspect="1"/>
            </wp:cNvGraphicFramePr>
            <a:graphic>
              <a:graphicData uri="http://schemas.openxmlformats.org/drawingml/2006/picture">
                <pic:pic>
                  <pic:nvPicPr>
                    <pic:cNvPr id="0" name="fig13_vif_scores.png"/>
                    <pic:cNvPicPr/>
                  </pic:nvPicPr>
                  <pic:blipFill>
                    <a:blip r:embed="rId14"/>
                    <a:stretch>
                      <a:fillRect/>
                    </a:stretch>
                  </pic:blipFill>
                  <pic:spPr>
                    <a:xfrm>
                      <a:off x="0" y="0"/>
                      <a:ext cx="5303520" cy="2910955"/>
                    </a:xfrm>
                    <a:prstGeom prst="rect"/>
                  </pic:spPr>
                </pic:pic>
              </a:graphicData>
            </a:graphic>
          </wp:inline>
        </w:drawing>
      </w:r>
    </w:p>
    <w:p>
      <w:pPr>
        <w:ind w:firstLine="0"/>
        <w:jc w:val="center"/>
      </w:pPr>
      <w:r>
        <w:rPr>
          <w:rFonts w:ascii="Times New Roman" w:hAnsi="Times New Roman"/>
          <w:i/>
          <w:sz w:val="20"/>
        </w:rPr>
        <w:t>Figure 13. Variance Inflation Factor (VIF) Scores for All Model Features. All scores are below the threshold of 5.0, indicating acceptable multicollinearity.</w:t>
      </w:r>
    </w:p>
    <w:p/>
    <w:p>
      <w:pPr>
        <w:pStyle w:val="Heading2"/>
        <w:spacing w:before="240" w:after="120"/>
      </w:pPr>
      <w:r>
        <w:rPr>
          <w:rFonts w:ascii="Times New Roman" w:hAnsi="Times New Roman"/>
          <w:b/>
          <w:color w:val="000000"/>
          <w:sz w:val="26"/>
        </w:rPr>
        <w:t>Data Cleaning</w:t>
      </w:r>
    </w:p>
    <w:p>
      <w:pPr>
        <w:spacing w:after="120" w:line="480" w:lineRule="auto"/>
        <w:ind w:firstLine="360"/>
        <w:jc w:val="both"/>
      </w:pPr>
      <w:r>
        <w:rPr>
          <w:rFonts w:ascii="Times New Roman" w:hAnsi="Times New Roman"/>
          <w:b w:val="0"/>
          <w:i w:val="0"/>
          <w:sz w:val="24"/>
        </w:rPr>
        <w:t>The raw HMDA datasets required substantial preprocessing to produce a clean analytical dataset. The following exclusion criteria were applied sequentially, and the resulting data cleaning log is presented in Table 2.</w:t>
      </w:r>
    </w:p>
    <w:p>
      <w:pPr>
        <w:pStyle w:val="Heading2"/>
        <w:spacing w:before="240" w:after="120"/>
      </w:pPr>
      <w:r>
        <w:rPr>
          <w:rFonts w:ascii="Times New Roman" w:hAnsi="Times New Roman"/>
          <w:b/>
          <w:color w:val="000000"/>
          <w:sz w:val="26"/>
        </w:rPr>
        <w:t>Table 2: Data Cleaning Log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E79"/>
          </w:tcPr>
          <w:p>
            <w:pPr>
              <w:jc w:val="center"/>
            </w:pPr>
            <w:r>
              <w:rPr>
                <w:rFonts w:ascii="Times New Roman" w:hAnsi="Times New Roman"/>
                <w:b/>
                <w:color w:val="FFFFFF"/>
                <w:sz w:val="20"/>
              </w:rPr>
              <w:t>Issue</w:t>
            </w:r>
          </w:p>
        </w:tc>
        <w:tc>
          <w:tcPr>
            <w:tcW w:type="dxa" w:w="1872"/>
            <w:shd w:val="clear" w:color="auto" w:fill="1F4E79"/>
          </w:tcPr>
          <w:p>
            <w:pPr>
              <w:jc w:val="center"/>
            </w:pPr>
            <w:r>
              <w:rPr>
                <w:rFonts w:ascii="Times New Roman" w:hAnsi="Times New Roman"/>
                <w:b/>
                <w:color w:val="FFFFFF"/>
                <w:sz w:val="20"/>
              </w:rPr>
              <w:t>Variables Affected</w:t>
            </w:r>
          </w:p>
        </w:tc>
        <w:tc>
          <w:tcPr>
            <w:tcW w:type="dxa" w:w="1872"/>
            <w:shd w:val="clear" w:color="auto" w:fill="1F4E79"/>
          </w:tcPr>
          <w:p>
            <w:pPr>
              <w:jc w:val="center"/>
            </w:pPr>
            <w:r>
              <w:rPr>
                <w:rFonts w:ascii="Times New Roman" w:hAnsi="Times New Roman"/>
                <w:b/>
                <w:color w:val="FFFFFF"/>
                <w:sz w:val="20"/>
              </w:rPr>
              <w:t>Detection Method</w:t>
            </w:r>
          </w:p>
        </w:tc>
        <w:tc>
          <w:tcPr>
            <w:tcW w:type="dxa" w:w="1872"/>
            <w:shd w:val="clear" w:color="auto" w:fill="1F4E79"/>
          </w:tcPr>
          <w:p>
            <w:pPr>
              <w:jc w:val="center"/>
            </w:pPr>
            <w:r>
              <w:rPr>
                <w:rFonts w:ascii="Times New Roman" w:hAnsi="Times New Roman"/>
                <w:b/>
                <w:color w:val="FFFFFF"/>
                <w:sz w:val="20"/>
              </w:rPr>
              <w:t>Treatment Applied</w:t>
            </w:r>
          </w:p>
        </w:tc>
        <w:tc>
          <w:tcPr>
            <w:tcW w:type="dxa" w:w="1872"/>
            <w:shd w:val="clear" w:color="auto" w:fill="1F4E79"/>
          </w:tcPr>
          <w:p>
            <w:pPr>
              <w:jc w:val="center"/>
            </w:pPr>
            <w:r>
              <w:rPr>
                <w:rFonts w:ascii="Times New Roman" w:hAnsi="Times New Roman"/>
                <w:b/>
                <w:color w:val="FFFFFF"/>
                <w:sz w:val="20"/>
              </w:rPr>
              <w:t>Rationale</w:t>
            </w:r>
          </w:p>
        </w:tc>
      </w:tr>
      <w:tr>
        <w:tc>
          <w:tcPr>
            <w:tcW w:type="dxa" w:w="1872"/>
          </w:tcPr>
          <w:p>
            <w:r>
              <w:rPr>
                <w:rFonts w:ascii="Times New Roman" w:hAnsi="Times New Roman"/>
                <w:sz w:val="20"/>
              </w:rPr>
              <w:t>Missing rate spread (exempt loans)</w:t>
            </w:r>
          </w:p>
        </w:tc>
        <w:tc>
          <w:tcPr>
            <w:tcW w:type="dxa" w:w="1872"/>
          </w:tcPr>
          <w:p>
            <w:r>
              <w:rPr>
                <w:rFonts w:ascii="Times New Roman" w:hAnsi="Times New Roman"/>
                <w:sz w:val="20"/>
              </w:rPr>
              <w:t>rate_spread</w:t>
            </w:r>
          </w:p>
        </w:tc>
        <w:tc>
          <w:tcPr>
            <w:tcW w:type="dxa" w:w="1872"/>
          </w:tcPr>
          <w:p>
            <w:r>
              <w:rPr>
                <w:rFonts w:ascii="Times New Roman" w:hAnsi="Times New Roman"/>
                <w:sz w:val="20"/>
              </w:rPr>
              <w:t>Null check; 'Exempt' flag</w:t>
            </w:r>
          </w:p>
        </w:tc>
        <w:tc>
          <w:tcPr>
            <w:tcW w:type="dxa" w:w="1872"/>
          </w:tcPr>
          <w:p>
            <w:r>
              <w:rPr>
                <w:rFonts w:ascii="Times New Roman" w:hAnsi="Times New Roman"/>
                <w:sz w:val="20"/>
              </w:rPr>
              <w:t>Excluded (44.8% of raw records)</w:t>
            </w:r>
          </w:p>
        </w:tc>
        <w:tc>
          <w:tcPr>
            <w:tcW w:type="dxa" w:w="1872"/>
          </w:tcPr>
          <w:p>
            <w:r>
              <w:rPr>
                <w:rFonts w:ascii="Times New Roman" w:hAnsi="Times New Roman"/>
                <w:sz w:val="20"/>
              </w:rPr>
              <w:t>Rate spread is the target variable; exempt loans are not comparable</w:t>
            </w:r>
          </w:p>
        </w:tc>
      </w:tr>
      <w:tr>
        <w:tc>
          <w:tcPr>
            <w:tcW w:type="dxa" w:w="1872"/>
          </w:tcPr>
          <w:p>
            <w:r>
              <w:rPr>
                <w:rFonts w:ascii="Times New Roman" w:hAnsi="Times New Roman"/>
                <w:sz w:val="20"/>
              </w:rPr>
              <w:t>Missing income or loan amount</w:t>
            </w:r>
          </w:p>
        </w:tc>
        <w:tc>
          <w:tcPr>
            <w:tcW w:type="dxa" w:w="1872"/>
          </w:tcPr>
          <w:p>
            <w:r>
              <w:rPr>
                <w:rFonts w:ascii="Times New Roman" w:hAnsi="Times New Roman"/>
                <w:sz w:val="20"/>
              </w:rPr>
              <w:t>applicant_income, loan_amount</w:t>
            </w:r>
          </w:p>
        </w:tc>
        <w:tc>
          <w:tcPr>
            <w:tcW w:type="dxa" w:w="1872"/>
          </w:tcPr>
          <w:p>
            <w:r>
              <w:rPr>
                <w:rFonts w:ascii="Times New Roman" w:hAnsi="Times New Roman"/>
                <w:sz w:val="20"/>
              </w:rPr>
              <w:t>Null check</w:t>
            </w:r>
          </w:p>
        </w:tc>
        <w:tc>
          <w:tcPr>
            <w:tcW w:type="dxa" w:w="1872"/>
          </w:tcPr>
          <w:p>
            <w:r>
              <w:rPr>
                <w:rFonts w:ascii="Times New Roman" w:hAnsi="Times New Roman"/>
                <w:sz w:val="20"/>
              </w:rPr>
              <w:t>Excluded (0.9% of remaining records)</w:t>
            </w:r>
          </w:p>
        </w:tc>
        <w:tc>
          <w:tcPr>
            <w:tcW w:type="dxa" w:w="1872"/>
          </w:tcPr>
          <w:p>
            <w:r>
              <w:rPr>
                <w:rFonts w:ascii="Times New Roman" w:hAnsi="Times New Roman"/>
                <w:sz w:val="20"/>
              </w:rPr>
              <w:t>Income and loan amount are critical predictors; imputation would introduce bias</w:t>
            </w:r>
          </w:p>
        </w:tc>
      </w:tr>
      <w:tr>
        <w:tc>
          <w:tcPr>
            <w:tcW w:type="dxa" w:w="1872"/>
          </w:tcPr>
          <w:p>
            <w:r>
              <w:rPr>
                <w:rFonts w:ascii="Times New Roman" w:hAnsi="Times New Roman"/>
                <w:sz w:val="20"/>
              </w:rPr>
              <w:t>Non-originated applications</w:t>
            </w:r>
          </w:p>
        </w:tc>
        <w:tc>
          <w:tcPr>
            <w:tcW w:type="dxa" w:w="1872"/>
          </w:tcPr>
          <w:p>
            <w:r>
              <w:rPr>
                <w:rFonts w:ascii="Times New Roman" w:hAnsi="Times New Roman"/>
                <w:sz w:val="20"/>
              </w:rPr>
              <w:t>action_taken</w:t>
            </w:r>
          </w:p>
        </w:tc>
        <w:tc>
          <w:tcPr>
            <w:tcW w:type="dxa" w:w="1872"/>
          </w:tcPr>
          <w:p>
            <w:r>
              <w:rPr>
                <w:rFonts w:ascii="Times New Roman" w:hAnsi="Times New Roman"/>
                <w:sz w:val="20"/>
              </w:rPr>
              <w:t>action_taken != 1</w:t>
            </w:r>
          </w:p>
        </w:tc>
        <w:tc>
          <w:tcPr>
            <w:tcW w:type="dxa" w:w="1872"/>
          </w:tcPr>
          <w:p>
            <w:r>
              <w:rPr>
                <w:rFonts w:ascii="Times New Roman" w:hAnsi="Times New Roman"/>
                <w:sz w:val="20"/>
              </w:rPr>
              <w:t>Excluded (61.2% of raw records)</w:t>
            </w:r>
          </w:p>
        </w:tc>
        <w:tc>
          <w:tcPr>
            <w:tcW w:type="dxa" w:w="1872"/>
          </w:tcPr>
          <w:p>
            <w:r>
              <w:rPr>
                <w:rFonts w:ascii="Times New Roman" w:hAnsi="Times New Roman"/>
                <w:sz w:val="20"/>
              </w:rPr>
              <w:t>Analysis restricted to originated loans to ensure comparability of rate spreads</w:t>
            </w:r>
          </w:p>
        </w:tc>
      </w:tr>
      <w:tr>
        <w:tc>
          <w:tcPr>
            <w:tcW w:type="dxa" w:w="1872"/>
          </w:tcPr>
          <w:p>
            <w:r>
              <w:rPr>
                <w:rFonts w:ascii="Times New Roman" w:hAnsi="Times New Roman"/>
                <w:sz w:val="20"/>
              </w:rPr>
              <w:t>Exempt DTI records</w:t>
            </w:r>
          </w:p>
        </w:tc>
        <w:tc>
          <w:tcPr>
            <w:tcW w:type="dxa" w:w="1872"/>
          </w:tcPr>
          <w:p>
            <w:r>
              <w:rPr>
                <w:rFonts w:ascii="Times New Roman" w:hAnsi="Times New Roman"/>
                <w:sz w:val="20"/>
              </w:rPr>
              <w:t>debt_to_income_ratio</w:t>
            </w:r>
          </w:p>
        </w:tc>
        <w:tc>
          <w:tcPr>
            <w:tcW w:type="dxa" w:w="1872"/>
          </w:tcPr>
          <w:p>
            <w:r>
              <w:rPr>
                <w:rFonts w:ascii="Times New Roman" w:hAnsi="Times New Roman"/>
                <w:sz w:val="20"/>
              </w:rPr>
              <w:t>'Exempt' string value</w:t>
            </w:r>
          </w:p>
        </w:tc>
        <w:tc>
          <w:tcPr>
            <w:tcW w:type="dxa" w:w="1872"/>
          </w:tcPr>
          <w:p>
            <w:r>
              <w:rPr>
                <w:rFonts w:ascii="Times New Roman" w:hAnsi="Times New Roman"/>
                <w:sz w:val="20"/>
              </w:rPr>
              <w:t>Excluded (3.1% of remaining records)</w:t>
            </w:r>
          </w:p>
        </w:tc>
        <w:tc>
          <w:tcPr>
            <w:tcW w:type="dxa" w:w="1872"/>
          </w:tcPr>
          <w:p>
            <w:r>
              <w:rPr>
                <w:rFonts w:ascii="Times New Roman" w:hAnsi="Times New Roman"/>
                <w:sz w:val="20"/>
              </w:rPr>
              <w:t>DTI is a key predictor; exempt records cannot be meaningfully included</w:t>
            </w:r>
          </w:p>
        </w:tc>
      </w:tr>
      <w:tr>
        <w:tc>
          <w:tcPr>
            <w:tcW w:type="dxa" w:w="1872"/>
          </w:tcPr>
          <w:p>
            <w:r>
              <w:rPr>
                <w:rFonts w:ascii="Times New Roman" w:hAnsi="Times New Roman"/>
                <w:sz w:val="20"/>
              </w:rPr>
              <w:t>Outlier rate spreads (&gt;10%)</w:t>
            </w:r>
          </w:p>
        </w:tc>
        <w:tc>
          <w:tcPr>
            <w:tcW w:type="dxa" w:w="1872"/>
          </w:tcPr>
          <w:p>
            <w:r>
              <w:rPr>
                <w:rFonts w:ascii="Times New Roman" w:hAnsi="Times New Roman"/>
                <w:sz w:val="20"/>
              </w:rPr>
              <w:t>rate_spread</w:t>
            </w:r>
          </w:p>
        </w:tc>
        <w:tc>
          <w:tcPr>
            <w:tcW w:type="dxa" w:w="1872"/>
          </w:tcPr>
          <w:p>
            <w:r>
              <w:rPr>
                <w:rFonts w:ascii="Times New Roman" w:hAnsi="Times New Roman"/>
                <w:sz w:val="20"/>
              </w:rPr>
              <w:t>IQR method (3 SD threshold)</w:t>
            </w:r>
          </w:p>
        </w:tc>
        <w:tc>
          <w:tcPr>
            <w:tcW w:type="dxa" w:w="1872"/>
          </w:tcPr>
          <w:p>
            <w:r>
              <w:rPr>
                <w:rFonts w:ascii="Times New Roman" w:hAnsi="Times New Roman"/>
                <w:sz w:val="20"/>
              </w:rPr>
              <w:t>Excluded (1.4% of remaining records)</w:t>
            </w:r>
          </w:p>
        </w:tc>
        <w:tc>
          <w:tcPr>
            <w:tcW w:type="dxa" w:w="1872"/>
          </w:tcPr>
          <w:p>
            <w:r>
              <w:rPr>
                <w:rFonts w:ascii="Times New Roman" w:hAnsi="Times New Roman"/>
                <w:sz w:val="20"/>
              </w:rPr>
              <w:t>Extreme outliers likely reflect data entry errors or unique loan products</w:t>
            </w:r>
          </w:p>
        </w:tc>
      </w:tr>
      <w:tr>
        <w:tc>
          <w:tcPr>
            <w:tcW w:type="dxa" w:w="1872"/>
          </w:tcPr>
          <w:p>
            <w:r>
              <w:rPr>
                <w:rFonts w:ascii="Times New Roman" w:hAnsi="Times New Roman"/>
                <w:sz w:val="20"/>
              </w:rPr>
              <w:t>Implausible income values (&lt;$1K or &gt;$5M)</w:t>
            </w:r>
          </w:p>
        </w:tc>
        <w:tc>
          <w:tcPr>
            <w:tcW w:type="dxa" w:w="1872"/>
          </w:tcPr>
          <w:p>
            <w:r>
              <w:rPr>
                <w:rFonts w:ascii="Times New Roman" w:hAnsi="Times New Roman"/>
                <w:sz w:val="20"/>
              </w:rPr>
              <w:t>applicant_income</w:t>
            </w:r>
          </w:p>
        </w:tc>
        <w:tc>
          <w:tcPr>
            <w:tcW w:type="dxa" w:w="1872"/>
          </w:tcPr>
          <w:p>
            <w:r>
              <w:rPr>
                <w:rFonts w:ascii="Times New Roman" w:hAnsi="Times New Roman"/>
                <w:sz w:val="20"/>
              </w:rPr>
              <w:t>Domain knowledge thresholds</w:t>
            </w:r>
          </w:p>
        </w:tc>
        <w:tc>
          <w:tcPr>
            <w:tcW w:type="dxa" w:w="1872"/>
          </w:tcPr>
          <w:p>
            <w:r>
              <w:rPr>
                <w:rFonts w:ascii="Times New Roman" w:hAnsi="Times New Roman"/>
                <w:sz w:val="20"/>
              </w:rPr>
              <w:t>Excluded (&lt;0.1% of remaining records)</w:t>
            </w:r>
          </w:p>
        </w:tc>
        <w:tc>
          <w:tcPr>
            <w:tcW w:type="dxa" w:w="1872"/>
          </w:tcPr>
          <w:p>
            <w:r>
              <w:rPr>
                <w:rFonts w:ascii="Times New Roman" w:hAnsi="Times New Roman"/>
                <w:sz w:val="20"/>
              </w:rPr>
              <w:t>Values outside plausible range indicate data quality issues</w:t>
            </w:r>
          </w:p>
        </w:tc>
      </w:tr>
      <w:tr>
        <w:tc>
          <w:tcPr>
            <w:tcW w:type="dxa" w:w="1872"/>
          </w:tcPr>
          <w:p>
            <w:r>
              <w:rPr>
                <w:rFonts w:ascii="Times New Roman" w:hAnsi="Times New Roman"/>
                <w:sz w:val="20"/>
              </w:rPr>
              <w:t>Missing sex or location data</w:t>
            </w:r>
          </w:p>
        </w:tc>
        <w:tc>
          <w:tcPr>
            <w:tcW w:type="dxa" w:w="1872"/>
          </w:tcPr>
          <w:p>
            <w:r>
              <w:rPr>
                <w:rFonts w:ascii="Times New Roman" w:hAnsi="Times New Roman"/>
                <w:sz w:val="20"/>
              </w:rPr>
              <w:t>applicant_sex, census_tract</w:t>
            </w:r>
          </w:p>
        </w:tc>
        <w:tc>
          <w:tcPr>
            <w:tcW w:type="dxa" w:w="1872"/>
          </w:tcPr>
          <w:p>
            <w:r>
              <w:rPr>
                <w:rFonts w:ascii="Times New Roman" w:hAnsi="Times New Roman"/>
                <w:sz w:val="20"/>
              </w:rPr>
              <w:t>Null check</w:t>
            </w:r>
          </w:p>
        </w:tc>
        <w:tc>
          <w:tcPr>
            <w:tcW w:type="dxa" w:w="1872"/>
          </w:tcPr>
          <w:p>
            <w:r>
              <w:rPr>
                <w:rFonts w:ascii="Times New Roman" w:hAnsi="Times New Roman"/>
                <w:sz w:val="20"/>
              </w:rPr>
              <w:t>Excluded (&lt;0.5% of remaining records)</w:t>
            </w:r>
          </w:p>
        </w:tc>
        <w:tc>
          <w:tcPr>
            <w:tcW w:type="dxa" w:w="1872"/>
          </w:tcPr>
          <w:p>
            <w:r>
              <w:rPr>
                <w:rFonts w:ascii="Times New Roman" w:hAnsi="Times New Roman"/>
                <w:sz w:val="20"/>
              </w:rPr>
              <w:t>Sex and location are key protected attributes for fairness analysis</w:t>
            </w:r>
          </w:p>
        </w:tc>
      </w:tr>
    </w:tbl>
    <w:p/>
    <w:p/>
    <w:p>
      <w:pPr>
        <w:ind w:firstLine="0"/>
        <w:jc w:val="center"/>
      </w:pPr>
      <w:r>
        <w:drawing>
          <wp:inline xmlns:a="http://schemas.openxmlformats.org/drawingml/2006/main" xmlns:pic="http://schemas.openxmlformats.org/drawingml/2006/picture">
            <wp:extent cx="5303520" cy="2615925"/>
            <wp:docPr id="7" name="Picture 7"/>
            <wp:cNvGraphicFramePr>
              <a:graphicFrameLocks noChangeAspect="1"/>
            </wp:cNvGraphicFramePr>
            <a:graphic>
              <a:graphicData uri="http://schemas.openxmlformats.org/drawingml/2006/picture">
                <pic:pic>
                  <pic:nvPicPr>
                    <pic:cNvPr id="0" name="fig11_data_cleaning.png"/>
                    <pic:cNvPicPr/>
                  </pic:nvPicPr>
                  <pic:blipFill>
                    <a:blip r:embed="rId15"/>
                    <a:stretch>
                      <a:fillRect/>
                    </a:stretch>
                  </pic:blipFill>
                  <pic:spPr>
                    <a:xfrm>
                      <a:off x="0" y="0"/>
                      <a:ext cx="5303520" cy="2615925"/>
                    </a:xfrm>
                    <a:prstGeom prst="rect"/>
                  </pic:spPr>
                </pic:pic>
              </a:graphicData>
            </a:graphic>
          </wp:inline>
        </w:drawing>
      </w:r>
    </w:p>
    <w:p>
      <w:pPr>
        <w:ind w:firstLine="0"/>
        <w:jc w:val="center"/>
      </w:pPr>
      <w:r>
        <w:rPr>
          <w:rFonts w:ascii="Times New Roman" w:hAnsi="Times New Roman"/>
          <w:i/>
          <w:sz w:val="20"/>
        </w:rPr>
        <w:t>Figure 11. Data Exclusion Summary for the 2024 HMDA Dataset. Bars show the percentage of records excluded for each data quality issue.</w:t>
      </w:r>
    </w:p>
    <w:p/>
    <w:p>
      <w:pPr>
        <w:pStyle w:val="Heading2"/>
        <w:spacing w:before="240" w:after="120"/>
      </w:pPr>
      <w:r>
        <w:rPr>
          <w:rFonts w:ascii="Times New Roman" w:hAnsi="Times New Roman"/>
          <w:b/>
          <w:color w:val="000000"/>
          <w:sz w:val="26"/>
        </w:rPr>
        <w:t>Feature Engineering</w:t>
      </w:r>
    </w:p>
    <w:p>
      <w:pPr>
        <w:spacing w:after="120" w:line="480" w:lineRule="auto"/>
        <w:ind w:firstLine="360"/>
        <w:jc w:val="both"/>
      </w:pPr>
      <w:r>
        <w:rPr>
          <w:rFonts w:ascii="Times New Roman" w:hAnsi="Times New Roman"/>
          <w:b w:val="0"/>
          <w:i w:val="0"/>
          <w:sz w:val="24"/>
        </w:rPr>
        <w:t>Several features were engineered from the raw HMDA variables to improve model performance and enable the fairness analysis. Table 3 provides a complete description of all features used in the models.</w:t>
      </w:r>
    </w:p>
    <w:p>
      <w:pPr>
        <w:pStyle w:val="Heading2"/>
        <w:spacing w:before="240" w:after="120"/>
      </w:pPr>
      <w:r>
        <w:rPr>
          <w:rFonts w:ascii="Times New Roman" w:hAnsi="Times New Roman"/>
          <w:b/>
          <w:color w:val="000000"/>
          <w:sz w:val="26"/>
        </w:rPr>
        <w:t>Table 3: Feature Set and Usage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E79"/>
          </w:tcPr>
          <w:p>
            <w:pPr>
              <w:jc w:val="center"/>
            </w:pPr>
            <w:r>
              <w:rPr>
                <w:rFonts w:ascii="Times New Roman" w:hAnsi="Times New Roman"/>
                <w:b/>
                <w:color w:val="FFFFFF"/>
                <w:sz w:val="20"/>
              </w:rPr>
              <w:t>Feature</w:t>
            </w:r>
          </w:p>
        </w:tc>
        <w:tc>
          <w:tcPr>
            <w:tcW w:type="dxa" w:w="1872"/>
            <w:shd w:val="clear" w:color="auto" w:fill="1F4E79"/>
          </w:tcPr>
          <w:p>
            <w:pPr>
              <w:jc w:val="center"/>
            </w:pPr>
            <w:r>
              <w:rPr>
                <w:rFonts w:ascii="Times New Roman" w:hAnsi="Times New Roman"/>
                <w:b/>
                <w:color w:val="FFFFFF"/>
                <w:sz w:val="20"/>
              </w:rPr>
              <w:t>Original/Engineered</w:t>
            </w:r>
          </w:p>
        </w:tc>
        <w:tc>
          <w:tcPr>
            <w:tcW w:type="dxa" w:w="1872"/>
            <w:shd w:val="clear" w:color="auto" w:fill="1F4E79"/>
          </w:tcPr>
          <w:p>
            <w:pPr>
              <w:jc w:val="center"/>
            </w:pPr>
            <w:r>
              <w:rPr>
                <w:rFonts w:ascii="Times New Roman" w:hAnsi="Times New Roman"/>
                <w:b/>
                <w:color w:val="FFFFFF"/>
                <w:sz w:val="20"/>
              </w:rPr>
              <w:t>Type</w:t>
            </w:r>
          </w:p>
        </w:tc>
        <w:tc>
          <w:tcPr>
            <w:tcW w:type="dxa" w:w="1872"/>
            <w:shd w:val="clear" w:color="auto" w:fill="1F4E79"/>
          </w:tcPr>
          <w:p>
            <w:pPr>
              <w:jc w:val="center"/>
            </w:pPr>
            <w:r>
              <w:rPr>
                <w:rFonts w:ascii="Times New Roman" w:hAnsi="Times New Roman"/>
                <w:b/>
                <w:color w:val="FFFFFF"/>
                <w:sz w:val="20"/>
              </w:rPr>
              <w:t>Reason for Inclusion</w:t>
            </w:r>
          </w:p>
        </w:tc>
        <w:tc>
          <w:tcPr>
            <w:tcW w:type="dxa" w:w="1872"/>
            <w:shd w:val="clear" w:color="auto" w:fill="1F4E79"/>
          </w:tcPr>
          <w:p>
            <w:pPr>
              <w:jc w:val="center"/>
            </w:pPr>
            <w:r>
              <w:rPr>
                <w:rFonts w:ascii="Times New Roman" w:hAnsi="Times New Roman"/>
                <w:b/>
                <w:color w:val="FFFFFF"/>
                <w:sz w:val="20"/>
              </w:rPr>
              <w:t>Used in Model(s)</w:t>
            </w:r>
          </w:p>
        </w:tc>
      </w:tr>
      <w:tr>
        <w:tc>
          <w:tcPr>
            <w:tcW w:type="dxa" w:w="1872"/>
          </w:tcPr>
          <w:p>
            <w:r>
              <w:rPr>
                <w:rFonts w:ascii="Times New Roman" w:hAnsi="Times New Roman"/>
                <w:sz w:val="20"/>
              </w:rPr>
              <w:t>sex_encoded</w:t>
            </w:r>
          </w:p>
        </w:tc>
        <w:tc>
          <w:tcPr>
            <w:tcW w:type="dxa" w:w="1872"/>
          </w:tcPr>
          <w:p>
            <w:r>
              <w:rPr>
                <w:rFonts w:ascii="Times New Roman" w:hAnsi="Times New Roman"/>
                <w:sz w:val="20"/>
              </w:rPr>
              <w:t>Engineered</w:t>
            </w:r>
          </w:p>
        </w:tc>
        <w:tc>
          <w:tcPr>
            <w:tcW w:type="dxa" w:w="1872"/>
          </w:tcPr>
          <w:p>
            <w:r>
              <w:rPr>
                <w:rFonts w:ascii="Times New Roman" w:hAnsi="Times New Roman"/>
                <w:sz w:val="20"/>
              </w:rPr>
              <w:t>Binary (0/1)</w:t>
            </w:r>
          </w:p>
        </w:tc>
        <w:tc>
          <w:tcPr>
            <w:tcW w:type="dxa" w:w="1872"/>
          </w:tcPr>
          <w:p>
            <w:r>
              <w:rPr>
                <w:rFonts w:ascii="Times New Roman" w:hAnsi="Times New Roman"/>
                <w:sz w:val="20"/>
              </w:rPr>
              <w:t>Primary protected attribute for fairness analysis</w:t>
            </w:r>
          </w:p>
        </w:tc>
        <w:tc>
          <w:tcPr>
            <w:tcW w:type="dxa" w:w="1872"/>
          </w:tcPr>
          <w:p>
            <w:r>
              <w:rPr>
                <w:rFonts w:ascii="Times New Roman" w:hAnsi="Times New Roman"/>
                <w:sz w:val="20"/>
              </w:rPr>
              <w:t>LR, XGB</w:t>
            </w:r>
          </w:p>
        </w:tc>
      </w:tr>
      <w:tr>
        <w:tc>
          <w:tcPr>
            <w:tcW w:type="dxa" w:w="1872"/>
          </w:tcPr>
          <w:p>
            <w:r>
              <w:rPr>
                <w:rFonts w:ascii="Times New Roman" w:hAnsi="Times New Roman"/>
                <w:sz w:val="20"/>
              </w:rPr>
              <w:t>location_encoded</w:t>
            </w:r>
          </w:p>
        </w:tc>
        <w:tc>
          <w:tcPr>
            <w:tcW w:type="dxa" w:w="1872"/>
          </w:tcPr>
          <w:p>
            <w:r>
              <w:rPr>
                <w:rFonts w:ascii="Times New Roman" w:hAnsi="Times New Roman"/>
                <w:sz w:val="20"/>
              </w:rPr>
              <w:t>Engineered</w:t>
            </w:r>
          </w:p>
        </w:tc>
        <w:tc>
          <w:tcPr>
            <w:tcW w:type="dxa" w:w="1872"/>
          </w:tcPr>
          <w:p>
            <w:r>
              <w:rPr>
                <w:rFonts w:ascii="Times New Roman" w:hAnsi="Times New Roman"/>
                <w:sz w:val="20"/>
              </w:rPr>
              <w:t>Binary (0/1)</w:t>
            </w:r>
          </w:p>
        </w:tc>
        <w:tc>
          <w:tcPr>
            <w:tcW w:type="dxa" w:w="1872"/>
          </w:tcPr>
          <w:p>
            <w:r>
              <w:rPr>
                <w:rFonts w:ascii="Times New Roman" w:hAnsi="Times New Roman"/>
                <w:sz w:val="20"/>
              </w:rPr>
              <w:t>Secondary protected attribute; rural vs. urban</w:t>
            </w:r>
          </w:p>
        </w:tc>
        <w:tc>
          <w:tcPr>
            <w:tcW w:type="dxa" w:w="1872"/>
          </w:tcPr>
          <w:p>
            <w:r>
              <w:rPr>
                <w:rFonts w:ascii="Times New Roman" w:hAnsi="Times New Roman"/>
                <w:sz w:val="20"/>
              </w:rPr>
              <w:t>LR, XGB</w:t>
            </w:r>
          </w:p>
        </w:tc>
      </w:tr>
      <w:tr>
        <w:tc>
          <w:tcPr>
            <w:tcW w:type="dxa" w:w="1872"/>
          </w:tcPr>
          <w:p>
            <w:r>
              <w:rPr>
                <w:rFonts w:ascii="Times New Roman" w:hAnsi="Times New Roman"/>
                <w:sz w:val="20"/>
              </w:rPr>
              <w:t>income</w:t>
            </w:r>
          </w:p>
        </w:tc>
        <w:tc>
          <w:tcPr>
            <w:tcW w:type="dxa" w:w="1872"/>
          </w:tcPr>
          <w:p>
            <w:r>
              <w:rPr>
                <w:rFonts w:ascii="Times New Roman" w:hAnsi="Times New Roman"/>
                <w:sz w:val="20"/>
              </w:rPr>
              <w:t>Original (log-transformed)</w:t>
            </w:r>
          </w:p>
        </w:tc>
        <w:tc>
          <w:tcPr>
            <w:tcW w:type="dxa" w:w="1872"/>
          </w:tcPr>
          <w:p>
            <w:r>
              <w:rPr>
                <w:rFonts w:ascii="Times New Roman" w:hAnsi="Times New Roman"/>
                <w:sz w:val="20"/>
              </w:rPr>
              <w:t>Continuous</w:t>
            </w:r>
          </w:p>
        </w:tc>
        <w:tc>
          <w:tcPr>
            <w:tcW w:type="dxa" w:w="1872"/>
          </w:tcPr>
          <w:p>
            <w:r>
              <w:rPr>
                <w:rFonts w:ascii="Times New Roman" w:hAnsi="Times New Roman"/>
                <w:sz w:val="20"/>
              </w:rPr>
              <w:t>Primary determinant of loan pricing</w:t>
            </w:r>
          </w:p>
        </w:tc>
        <w:tc>
          <w:tcPr>
            <w:tcW w:type="dxa" w:w="1872"/>
          </w:tcPr>
          <w:p>
            <w:r>
              <w:rPr>
                <w:rFonts w:ascii="Times New Roman" w:hAnsi="Times New Roman"/>
                <w:sz w:val="20"/>
              </w:rPr>
              <w:t>LR, XGB</w:t>
            </w:r>
          </w:p>
        </w:tc>
      </w:tr>
      <w:tr>
        <w:tc>
          <w:tcPr>
            <w:tcW w:type="dxa" w:w="1872"/>
          </w:tcPr>
          <w:p>
            <w:r>
              <w:rPr>
                <w:rFonts w:ascii="Times New Roman" w:hAnsi="Times New Roman"/>
                <w:sz w:val="20"/>
              </w:rPr>
              <w:t>dti_numeric</w:t>
            </w:r>
          </w:p>
        </w:tc>
        <w:tc>
          <w:tcPr>
            <w:tcW w:type="dxa" w:w="1872"/>
          </w:tcPr>
          <w:p>
            <w:r>
              <w:rPr>
                <w:rFonts w:ascii="Times New Roman" w:hAnsi="Times New Roman"/>
                <w:sz w:val="20"/>
              </w:rPr>
              <w:t>Engineered (string to float)</w:t>
            </w:r>
          </w:p>
        </w:tc>
        <w:tc>
          <w:tcPr>
            <w:tcW w:type="dxa" w:w="1872"/>
          </w:tcPr>
          <w:p>
            <w:r>
              <w:rPr>
                <w:rFonts w:ascii="Times New Roman" w:hAnsi="Times New Roman"/>
                <w:sz w:val="20"/>
              </w:rPr>
              <w:t>Continuous</w:t>
            </w:r>
          </w:p>
        </w:tc>
        <w:tc>
          <w:tcPr>
            <w:tcW w:type="dxa" w:w="1872"/>
          </w:tcPr>
          <w:p>
            <w:r>
              <w:rPr>
                <w:rFonts w:ascii="Times New Roman" w:hAnsi="Times New Roman"/>
                <w:sz w:val="20"/>
              </w:rPr>
              <w:t>Key underwriting criterion</w:t>
            </w:r>
          </w:p>
        </w:tc>
        <w:tc>
          <w:tcPr>
            <w:tcW w:type="dxa" w:w="1872"/>
          </w:tcPr>
          <w:p>
            <w:r>
              <w:rPr>
                <w:rFonts w:ascii="Times New Roman" w:hAnsi="Times New Roman"/>
                <w:sz w:val="20"/>
              </w:rPr>
              <w:t>LR, XGB</w:t>
            </w:r>
          </w:p>
        </w:tc>
      </w:tr>
      <w:tr>
        <w:tc>
          <w:tcPr>
            <w:tcW w:type="dxa" w:w="1872"/>
          </w:tcPr>
          <w:p>
            <w:r>
              <w:rPr>
                <w:rFonts w:ascii="Times New Roman" w:hAnsi="Times New Roman"/>
                <w:sz w:val="20"/>
              </w:rPr>
              <w:t>loan_term</w:t>
            </w:r>
          </w:p>
        </w:tc>
        <w:tc>
          <w:tcPr>
            <w:tcW w:type="dxa" w:w="1872"/>
          </w:tcPr>
          <w:p>
            <w:r>
              <w:rPr>
                <w:rFonts w:ascii="Times New Roman" w:hAnsi="Times New Roman"/>
                <w:sz w:val="20"/>
              </w:rPr>
              <w:t>Original</w:t>
            </w:r>
          </w:p>
        </w:tc>
        <w:tc>
          <w:tcPr>
            <w:tcW w:type="dxa" w:w="1872"/>
          </w:tcPr>
          <w:p>
            <w:r>
              <w:rPr>
                <w:rFonts w:ascii="Times New Roman" w:hAnsi="Times New Roman"/>
                <w:sz w:val="20"/>
              </w:rPr>
              <w:t>Continuous</w:t>
            </w:r>
          </w:p>
        </w:tc>
        <w:tc>
          <w:tcPr>
            <w:tcW w:type="dxa" w:w="1872"/>
          </w:tcPr>
          <w:p>
            <w:r>
              <w:rPr>
                <w:rFonts w:ascii="Times New Roman" w:hAnsi="Times New Roman"/>
                <w:sz w:val="20"/>
              </w:rPr>
              <w:t>Affects APR and rate spread calculation</w:t>
            </w:r>
          </w:p>
        </w:tc>
        <w:tc>
          <w:tcPr>
            <w:tcW w:type="dxa" w:w="1872"/>
          </w:tcPr>
          <w:p>
            <w:r>
              <w:rPr>
                <w:rFonts w:ascii="Times New Roman" w:hAnsi="Times New Roman"/>
                <w:sz w:val="20"/>
              </w:rPr>
              <w:t>LR, XGB</w:t>
            </w:r>
          </w:p>
        </w:tc>
      </w:tr>
      <w:tr>
        <w:tc>
          <w:tcPr>
            <w:tcW w:type="dxa" w:w="1872"/>
          </w:tcPr>
          <w:p>
            <w:r>
              <w:rPr>
                <w:rFonts w:ascii="Times New Roman" w:hAnsi="Times New Roman"/>
                <w:sz w:val="20"/>
              </w:rPr>
              <w:t>combined_ltv</w:t>
            </w:r>
          </w:p>
        </w:tc>
        <w:tc>
          <w:tcPr>
            <w:tcW w:type="dxa" w:w="1872"/>
          </w:tcPr>
          <w:p>
            <w:r>
              <w:rPr>
                <w:rFonts w:ascii="Times New Roman" w:hAnsi="Times New Roman"/>
                <w:sz w:val="20"/>
              </w:rPr>
              <w:t>Original</w:t>
            </w:r>
          </w:p>
        </w:tc>
        <w:tc>
          <w:tcPr>
            <w:tcW w:type="dxa" w:w="1872"/>
          </w:tcPr>
          <w:p>
            <w:r>
              <w:rPr>
                <w:rFonts w:ascii="Times New Roman" w:hAnsi="Times New Roman"/>
                <w:sz w:val="20"/>
              </w:rPr>
              <w:t>Continuous</w:t>
            </w:r>
          </w:p>
        </w:tc>
        <w:tc>
          <w:tcPr>
            <w:tcW w:type="dxa" w:w="1872"/>
          </w:tcPr>
          <w:p>
            <w:r>
              <w:rPr>
                <w:rFonts w:ascii="Times New Roman" w:hAnsi="Times New Roman"/>
                <w:sz w:val="20"/>
              </w:rPr>
              <w:t>Key risk indicator; higher LTV = higher risk</w:t>
            </w:r>
          </w:p>
        </w:tc>
        <w:tc>
          <w:tcPr>
            <w:tcW w:type="dxa" w:w="1872"/>
          </w:tcPr>
          <w:p>
            <w:r>
              <w:rPr>
                <w:rFonts w:ascii="Times New Roman" w:hAnsi="Times New Roman"/>
                <w:sz w:val="20"/>
              </w:rPr>
              <w:t>LR, XGB</w:t>
            </w:r>
          </w:p>
        </w:tc>
      </w:tr>
      <w:tr>
        <w:tc>
          <w:tcPr>
            <w:tcW w:type="dxa" w:w="1872"/>
          </w:tcPr>
          <w:p>
            <w:r>
              <w:rPr>
                <w:rFonts w:ascii="Times New Roman" w:hAnsi="Times New Roman"/>
                <w:sz w:val="20"/>
              </w:rPr>
              <w:t>loan_amount</w:t>
            </w:r>
          </w:p>
        </w:tc>
        <w:tc>
          <w:tcPr>
            <w:tcW w:type="dxa" w:w="1872"/>
          </w:tcPr>
          <w:p>
            <w:r>
              <w:rPr>
                <w:rFonts w:ascii="Times New Roman" w:hAnsi="Times New Roman"/>
                <w:sz w:val="20"/>
              </w:rPr>
              <w:t>Original (log-transformed)</w:t>
            </w:r>
          </w:p>
        </w:tc>
        <w:tc>
          <w:tcPr>
            <w:tcW w:type="dxa" w:w="1872"/>
          </w:tcPr>
          <w:p>
            <w:r>
              <w:rPr>
                <w:rFonts w:ascii="Times New Roman" w:hAnsi="Times New Roman"/>
                <w:sz w:val="20"/>
              </w:rPr>
              <w:t>Continuous</w:t>
            </w:r>
          </w:p>
        </w:tc>
        <w:tc>
          <w:tcPr>
            <w:tcW w:type="dxa" w:w="1872"/>
          </w:tcPr>
          <w:p>
            <w:r>
              <w:rPr>
                <w:rFonts w:ascii="Times New Roman" w:hAnsi="Times New Roman"/>
                <w:sz w:val="20"/>
              </w:rPr>
              <w:t>Loan size affects pricing</w:t>
            </w:r>
          </w:p>
        </w:tc>
        <w:tc>
          <w:tcPr>
            <w:tcW w:type="dxa" w:w="1872"/>
          </w:tcPr>
          <w:p>
            <w:r>
              <w:rPr>
                <w:rFonts w:ascii="Times New Roman" w:hAnsi="Times New Roman"/>
                <w:sz w:val="20"/>
              </w:rPr>
              <w:t>LR, XGB</w:t>
            </w:r>
          </w:p>
        </w:tc>
      </w:tr>
      <w:tr>
        <w:tc>
          <w:tcPr>
            <w:tcW w:type="dxa" w:w="1872"/>
          </w:tcPr>
          <w:p>
            <w:r>
              <w:rPr>
                <w:rFonts w:ascii="Times New Roman" w:hAnsi="Times New Roman"/>
                <w:sz w:val="20"/>
              </w:rPr>
              <w:t>sex_x_location</w:t>
            </w:r>
          </w:p>
        </w:tc>
        <w:tc>
          <w:tcPr>
            <w:tcW w:type="dxa" w:w="1872"/>
          </w:tcPr>
          <w:p>
            <w:r>
              <w:rPr>
                <w:rFonts w:ascii="Times New Roman" w:hAnsi="Times New Roman"/>
                <w:sz w:val="20"/>
              </w:rPr>
              <w:t>Engineered (interaction)</w:t>
            </w:r>
          </w:p>
        </w:tc>
        <w:tc>
          <w:tcPr>
            <w:tcW w:type="dxa" w:w="1872"/>
          </w:tcPr>
          <w:p>
            <w:r>
              <w:rPr>
                <w:rFonts w:ascii="Times New Roman" w:hAnsi="Times New Roman"/>
                <w:sz w:val="20"/>
              </w:rPr>
              <w:t>Binary (0/1)</w:t>
            </w:r>
          </w:p>
        </w:tc>
        <w:tc>
          <w:tcPr>
            <w:tcW w:type="dxa" w:w="1872"/>
          </w:tcPr>
          <w:p>
            <w:r>
              <w:rPr>
                <w:rFonts w:ascii="Times New Roman" w:hAnsi="Times New Roman"/>
                <w:sz w:val="20"/>
              </w:rPr>
              <w:t>Captures intersectional effect for RQ3, RQ5</w:t>
            </w:r>
          </w:p>
        </w:tc>
        <w:tc>
          <w:tcPr>
            <w:tcW w:type="dxa" w:w="1872"/>
          </w:tcPr>
          <w:p>
            <w:r>
              <w:rPr>
                <w:rFonts w:ascii="Times New Roman" w:hAnsi="Times New Roman"/>
                <w:sz w:val="20"/>
              </w:rPr>
              <w:t>XGB</w:t>
            </w:r>
          </w:p>
        </w:tc>
      </w:tr>
      <w:tr>
        <w:tc>
          <w:tcPr>
            <w:tcW w:type="dxa" w:w="1872"/>
          </w:tcPr>
          <w:p>
            <w:r>
              <w:rPr>
                <w:rFonts w:ascii="Times New Roman" w:hAnsi="Times New Roman"/>
                <w:sz w:val="20"/>
              </w:rPr>
              <w:t>race_ethnicity</w:t>
            </w:r>
          </w:p>
        </w:tc>
        <w:tc>
          <w:tcPr>
            <w:tcW w:type="dxa" w:w="1872"/>
          </w:tcPr>
          <w:p>
            <w:r>
              <w:rPr>
                <w:rFonts w:ascii="Times New Roman" w:hAnsi="Times New Roman"/>
                <w:sz w:val="20"/>
              </w:rPr>
              <w:t>Original</w:t>
            </w:r>
          </w:p>
        </w:tc>
        <w:tc>
          <w:tcPr>
            <w:tcW w:type="dxa" w:w="1872"/>
          </w:tcPr>
          <w:p>
            <w:r>
              <w:rPr>
                <w:rFonts w:ascii="Times New Roman" w:hAnsi="Times New Roman"/>
                <w:sz w:val="20"/>
              </w:rPr>
              <w:t>Categorical</w:t>
            </w:r>
          </w:p>
        </w:tc>
        <w:tc>
          <w:tcPr>
            <w:tcW w:type="dxa" w:w="1872"/>
          </w:tcPr>
          <w:p>
            <w:r>
              <w:rPr>
                <w:rFonts w:ascii="Times New Roman" w:hAnsi="Times New Roman"/>
                <w:sz w:val="20"/>
              </w:rPr>
              <w:t>Protected attribute for expanded fairness analysis</w:t>
            </w:r>
          </w:p>
        </w:tc>
        <w:tc>
          <w:tcPr>
            <w:tcW w:type="dxa" w:w="1872"/>
          </w:tcPr>
          <w:p>
            <w:r>
              <w:rPr>
                <w:rFonts w:ascii="Times New Roman" w:hAnsi="Times New Roman"/>
                <w:sz w:val="20"/>
              </w:rPr>
              <w:t>LR, XGB</w:t>
            </w:r>
          </w:p>
        </w:tc>
      </w:tr>
    </w:tbl>
    <w:p/>
    <w:p>
      <w:pPr>
        <w:pStyle w:val="Heading2"/>
        <w:spacing w:before="240" w:after="120"/>
      </w:pPr>
      <w:r>
        <w:rPr>
          <w:rFonts w:ascii="Times New Roman" w:hAnsi="Times New Roman"/>
          <w:b/>
          <w:color w:val="000000"/>
          <w:sz w:val="26"/>
        </w:rPr>
        <w:t>Evaluation Metrics</w:t>
      </w:r>
    </w:p>
    <w:p>
      <w:pPr>
        <w:spacing w:after="120" w:line="480" w:lineRule="auto"/>
        <w:ind w:firstLine="360"/>
        <w:jc w:val="both"/>
      </w:pPr>
      <w:r>
        <w:rPr>
          <w:rFonts w:ascii="Times New Roman" w:hAnsi="Times New Roman"/>
          <w:b w:val="0"/>
          <w:i w:val="0"/>
          <w:sz w:val="24"/>
        </w:rPr>
        <w:t>Table 4 presents all evaluation metrics used in this study, including their mathematical formulas and interpretations.</w:t>
      </w:r>
    </w:p>
    <w:p>
      <w:pPr>
        <w:pStyle w:val="Heading2"/>
        <w:spacing w:before="240" w:after="120"/>
      </w:pPr>
      <w:r>
        <w:rPr>
          <w:rFonts w:ascii="Times New Roman" w:hAnsi="Times New Roman"/>
          <w:b/>
          <w:color w:val="000000"/>
          <w:sz w:val="26"/>
        </w:rPr>
        <w:t>Table 4: Evaluation Metrics and Formulae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Pr>
          <w:p>
            <w:pPr>
              <w:jc w:val="center"/>
            </w:pPr>
            <w:r>
              <w:rPr>
                <w:rFonts w:ascii="Times New Roman" w:hAnsi="Times New Roman"/>
                <w:b/>
                <w:color w:val="FFFFFF"/>
                <w:sz w:val="20"/>
              </w:rPr>
              <w:t>Metric</w:t>
            </w:r>
          </w:p>
        </w:tc>
        <w:tc>
          <w:tcPr>
            <w:tcW w:type="dxa" w:w="2340"/>
            <w:shd w:val="clear" w:color="auto" w:fill="1F4E79"/>
          </w:tcPr>
          <w:p>
            <w:pPr>
              <w:jc w:val="center"/>
            </w:pPr>
            <w:r>
              <w:rPr>
                <w:rFonts w:ascii="Times New Roman" w:hAnsi="Times New Roman"/>
                <w:b/>
                <w:color w:val="FFFFFF"/>
                <w:sz w:val="20"/>
              </w:rPr>
              <w:t>Formula</w:t>
            </w:r>
          </w:p>
        </w:tc>
        <w:tc>
          <w:tcPr>
            <w:tcW w:type="dxa" w:w="2340"/>
            <w:shd w:val="clear" w:color="auto" w:fill="1F4E79"/>
          </w:tcPr>
          <w:p>
            <w:pPr>
              <w:jc w:val="center"/>
            </w:pPr>
            <w:r>
              <w:rPr>
                <w:rFonts w:ascii="Times New Roman" w:hAnsi="Times New Roman"/>
                <w:b/>
                <w:color w:val="FFFFFF"/>
                <w:sz w:val="20"/>
              </w:rPr>
              <w:t>Interpretation</w:t>
            </w:r>
          </w:p>
        </w:tc>
        <w:tc>
          <w:tcPr>
            <w:tcW w:type="dxa" w:w="2340"/>
            <w:shd w:val="clear" w:color="auto" w:fill="1F4E79"/>
          </w:tcPr>
          <w:p>
            <w:pPr>
              <w:jc w:val="center"/>
            </w:pPr>
            <w:r>
              <w:rPr>
                <w:rFonts w:ascii="Times New Roman" w:hAnsi="Times New Roman"/>
                <w:b/>
                <w:color w:val="FFFFFF"/>
                <w:sz w:val="20"/>
              </w:rPr>
              <w:t>Used For</w:t>
            </w:r>
          </w:p>
        </w:tc>
      </w:tr>
      <w:tr>
        <w:tc>
          <w:tcPr>
            <w:tcW w:type="dxa" w:w="2340"/>
          </w:tcPr>
          <w:p>
            <w:r>
              <w:rPr>
                <w:rFonts w:ascii="Times New Roman" w:hAnsi="Times New Roman"/>
                <w:sz w:val="20"/>
              </w:rPr>
              <w:t>RMSE</w:t>
            </w:r>
          </w:p>
        </w:tc>
        <w:tc>
          <w:tcPr>
            <w:tcW w:type="dxa" w:w="2340"/>
          </w:tcPr>
          <w:p>
            <w:r>
              <w:rPr>
                <w:rFonts w:ascii="Times New Roman" w:hAnsi="Times New Roman"/>
                <w:sz w:val="20"/>
              </w:rPr>
              <w:t>sqrt(mean((y_pred - y_true)^2))</w:t>
            </w:r>
          </w:p>
        </w:tc>
        <w:tc>
          <w:tcPr>
            <w:tcW w:type="dxa" w:w="2340"/>
          </w:tcPr>
          <w:p>
            <w:r>
              <w:rPr>
                <w:rFonts w:ascii="Times New Roman" w:hAnsi="Times New Roman"/>
                <w:sz w:val="20"/>
              </w:rPr>
              <w:t>Average prediction error in rate spread units (%).</w:t>
            </w:r>
          </w:p>
        </w:tc>
        <w:tc>
          <w:tcPr>
            <w:tcW w:type="dxa" w:w="2340"/>
          </w:tcPr>
          <w:p>
            <w:r>
              <w:rPr>
                <w:rFonts w:ascii="Times New Roman" w:hAnsi="Times New Roman"/>
                <w:sz w:val="20"/>
              </w:rPr>
              <w:t>Model accuracy comparison</w:t>
            </w:r>
          </w:p>
        </w:tc>
      </w:tr>
      <w:tr>
        <w:tc>
          <w:tcPr>
            <w:tcW w:type="dxa" w:w="2340"/>
          </w:tcPr>
          <w:p>
            <w:r>
              <w:rPr>
                <w:rFonts w:ascii="Times New Roman" w:hAnsi="Times New Roman"/>
                <w:sz w:val="20"/>
              </w:rPr>
              <w:t>R-squared (R²)</w:t>
            </w:r>
          </w:p>
        </w:tc>
        <w:tc>
          <w:tcPr>
            <w:tcW w:type="dxa" w:w="2340"/>
          </w:tcPr>
          <w:p>
            <w:r>
              <w:rPr>
                <w:rFonts w:ascii="Times New Roman" w:hAnsi="Times New Roman"/>
                <w:sz w:val="20"/>
              </w:rPr>
              <w:t>1 - SS_res / SS_tot</w:t>
            </w:r>
          </w:p>
        </w:tc>
        <w:tc>
          <w:tcPr>
            <w:tcW w:type="dxa" w:w="2340"/>
          </w:tcPr>
          <w:p>
            <w:r>
              <w:rPr>
                <w:rFonts w:ascii="Times New Roman" w:hAnsi="Times New Roman"/>
                <w:sz w:val="20"/>
              </w:rPr>
              <w:t>Proportion of variance in rate spread explained by the model.</w:t>
            </w:r>
          </w:p>
        </w:tc>
        <w:tc>
          <w:tcPr>
            <w:tcW w:type="dxa" w:w="2340"/>
          </w:tcPr>
          <w:p>
            <w:r>
              <w:rPr>
                <w:rFonts w:ascii="Times New Roman" w:hAnsi="Times New Roman"/>
                <w:sz w:val="20"/>
              </w:rPr>
              <w:t>Model fit assessment</w:t>
            </w:r>
          </w:p>
        </w:tc>
      </w:tr>
      <w:tr>
        <w:tc>
          <w:tcPr>
            <w:tcW w:type="dxa" w:w="2340"/>
          </w:tcPr>
          <w:p>
            <w:r>
              <w:rPr>
                <w:rFonts w:ascii="Times New Roman" w:hAnsi="Times New Roman"/>
                <w:sz w:val="20"/>
              </w:rPr>
              <w:t>MAE</w:t>
            </w:r>
          </w:p>
        </w:tc>
        <w:tc>
          <w:tcPr>
            <w:tcW w:type="dxa" w:w="2340"/>
          </w:tcPr>
          <w:p>
            <w:r>
              <w:rPr>
                <w:rFonts w:ascii="Times New Roman" w:hAnsi="Times New Roman"/>
                <w:sz w:val="20"/>
              </w:rPr>
              <w:t>mean(|y_pred - y_true|)</w:t>
            </w:r>
          </w:p>
        </w:tc>
        <w:tc>
          <w:tcPr>
            <w:tcW w:type="dxa" w:w="2340"/>
          </w:tcPr>
          <w:p>
            <w:r>
              <w:rPr>
                <w:rFonts w:ascii="Times New Roman" w:hAnsi="Times New Roman"/>
                <w:sz w:val="20"/>
              </w:rPr>
              <w:t>Average absolute prediction error; robust to outliers.</w:t>
            </w:r>
          </w:p>
        </w:tc>
        <w:tc>
          <w:tcPr>
            <w:tcW w:type="dxa" w:w="2340"/>
          </w:tcPr>
          <w:p>
            <w:r>
              <w:rPr>
                <w:rFonts w:ascii="Times New Roman" w:hAnsi="Times New Roman"/>
                <w:sz w:val="20"/>
              </w:rPr>
              <w:t>Model accuracy comparison</w:t>
            </w:r>
          </w:p>
        </w:tc>
      </w:tr>
      <w:tr>
        <w:tc>
          <w:tcPr>
            <w:tcW w:type="dxa" w:w="2340"/>
          </w:tcPr>
          <w:p>
            <w:r>
              <w:rPr>
                <w:rFonts w:ascii="Times New Roman" w:hAnsi="Times New Roman"/>
                <w:sz w:val="20"/>
              </w:rPr>
              <w:t>Disparate Impact (DI)</w:t>
            </w:r>
          </w:p>
        </w:tc>
        <w:tc>
          <w:tcPr>
            <w:tcW w:type="dxa" w:w="2340"/>
          </w:tcPr>
          <w:p>
            <w:r>
              <w:rPr>
                <w:rFonts w:ascii="Times New Roman" w:hAnsi="Times New Roman"/>
                <w:sz w:val="20"/>
              </w:rPr>
              <w:t>P(Y|protected) / P(Y|reference)</w:t>
            </w:r>
          </w:p>
        </w:tc>
        <w:tc>
          <w:tcPr>
            <w:tcW w:type="dxa" w:w="2340"/>
          </w:tcPr>
          <w:p>
            <w:r>
              <w:rPr>
                <w:rFonts w:ascii="Times New Roman" w:hAnsi="Times New Roman"/>
                <w:sz w:val="20"/>
              </w:rPr>
              <w:t>Ratio of adverse outcomes; DI &lt; 0.80 = significant disparity.</w:t>
            </w:r>
          </w:p>
        </w:tc>
        <w:tc>
          <w:tcPr>
            <w:tcW w:type="dxa" w:w="2340"/>
          </w:tcPr>
          <w:p>
            <w:r>
              <w:rPr>
                <w:rFonts w:ascii="Times New Roman" w:hAnsi="Times New Roman"/>
                <w:sz w:val="20"/>
              </w:rPr>
              <w:t>Fairness evaluation (RQ1, RQ2)</w:t>
            </w:r>
          </w:p>
        </w:tc>
      </w:tr>
      <w:tr>
        <w:tc>
          <w:tcPr>
            <w:tcW w:type="dxa" w:w="2340"/>
          </w:tcPr>
          <w:p>
            <w:r>
              <w:rPr>
                <w:rFonts w:ascii="Times New Roman" w:hAnsi="Times New Roman"/>
                <w:sz w:val="20"/>
              </w:rPr>
              <w:t>Cohen's d</w:t>
            </w:r>
          </w:p>
        </w:tc>
        <w:tc>
          <w:tcPr>
            <w:tcW w:type="dxa" w:w="2340"/>
          </w:tcPr>
          <w:p>
            <w:r>
              <w:rPr>
                <w:rFonts w:ascii="Times New Roman" w:hAnsi="Times New Roman"/>
                <w:sz w:val="20"/>
              </w:rPr>
              <w:t>(mean_1 - mean_2) / pooled_SD</w:t>
            </w:r>
          </w:p>
        </w:tc>
        <w:tc>
          <w:tcPr>
            <w:tcW w:type="dxa" w:w="2340"/>
          </w:tcPr>
          <w:p>
            <w:r>
              <w:rPr>
                <w:rFonts w:ascii="Times New Roman" w:hAnsi="Times New Roman"/>
                <w:sz w:val="20"/>
              </w:rPr>
              <w:t>Standardized effect size; |d| &lt; 0.2 = negligible.</w:t>
            </w:r>
          </w:p>
        </w:tc>
        <w:tc>
          <w:tcPr>
            <w:tcW w:type="dxa" w:w="2340"/>
          </w:tcPr>
          <w:p>
            <w:r>
              <w:rPr>
                <w:rFonts w:ascii="Times New Roman" w:hAnsi="Times New Roman"/>
                <w:sz w:val="20"/>
              </w:rPr>
              <w:t>Effect size for RQ1</w:t>
            </w:r>
          </w:p>
        </w:tc>
      </w:tr>
      <w:tr>
        <w:tc>
          <w:tcPr>
            <w:tcW w:type="dxa" w:w="2340"/>
          </w:tcPr>
          <w:p>
            <w:r>
              <w:rPr>
                <w:rFonts w:ascii="Times New Roman" w:hAnsi="Times New Roman"/>
                <w:sz w:val="20"/>
              </w:rPr>
              <w:t>KS Statistic</w:t>
            </w:r>
          </w:p>
        </w:tc>
        <w:tc>
          <w:tcPr>
            <w:tcW w:type="dxa" w:w="2340"/>
          </w:tcPr>
          <w:p>
            <w:r>
              <w:rPr>
                <w:rFonts w:ascii="Times New Roman" w:hAnsi="Times New Roman"/>
                <w:sz w:val="20"/>
              </w:rPr>
              <w:t>sup|F_1(x) - F_2(x)|</w:t>
            </w:r>
          </w:p>
        </w:tc>
        <w:tc>
          <w:tcPr>
            <w:tcW w:type="dxa" w:w="2340"/>
          </w:tcPr>
          <w:p>
            <w:r>
              <w:rPr>
                <w:rFonts w:ascii="Times New Roman" w:hAnsi="Times New Roman"/>
                <w:sz w:val="20"/>
              </w:rPr>
              <w:t>Maximum difference between two CDFs; tests distributional equality.</w:t>
            </w:r>
          </w:p>
        </w:tc>
        <w:tc>
          <w:tcPr>
            <w:tcW w:type="dxa" w:w="2340"/>
          </w:tcPr>
          <w:p>
            <w:r>
              <w:rPr>
                <w:rFonts w:ascii="Times New Roman" w:hAnsi="Times New Roman"/>
                <w:sz w:val="20"/>
              </w:rPr>
              <w:t>Statistical test for RQ1</w:t>
            </w:r>
          </w:p>
        </w:tc>
      </w:tr>
      <w:tr>
        <w:tc>
          <w:tcPr>
            <w:tcW w:type="dxa" w:w="2340"/>
          </w:tcPr>
          <w:p>
            <w:r>
              <w:rPr>
                <w:rFonts w:ascii="Times New Roman" w:hAnsi="Times New Roman"/>
                <w:sz w:val="20"/>
              </w:rPr>
              <w:t>TIBAI</w:t>
            </w:r>
          </w:p>
        </w:tc>
        <w:tc>
          <w:tcPr>
            <w:tcW w:type="dxa" w:w="2340"/>
          </w:tcPr>
          <w:p>
            <w:r>
              <w:rPr>
                <w:rFonts w:ascii="Times New Roman" w:hAnsi="Times New Roman"/>
                <w:sz w:val="20"/>
              </w:rPr>
              <w:t>AUC(|DI(t) - 1|, t) / T</w:t>
            </w:r>
          </w:p>
        </w:tc>
        <w:tc>
          <w:tcPr>
            <w:tcW w:type="dxa" w:w="2340"/>
          </w:tcPr>
          <w:p>
            <w:r>
              <w:rPr>
                <w:rFonts w:ascii="Times New Roman" w:hAnsi="Times New Roman"/>
                <w:sz w:val="20"/>
              </w:rPr>
              <w:t>Temporal average of absolute DI deviation; 0 = perfect fairness.</w:t>
            </w:r>
          </w:p>
        </w:tc>
        <w:tc>
          <w:tcPr>
            <w:tcW w:type="dxa" w:w="2340"/>
          </w:tcPr>
          <w:p>
            <w:r>
              <w:rPr>
                <w:rFonts w:ascii="Times New Roman" w:hAnsi="Times New Roman"/>
                <w:sz w:val="20"/>
              </w:rPr>
              <w:t>Temporal fairness (RQ6)</w:t>
            </w:r>
          </w:p>
        </w:tc>
      </w:tr>
      <w:tr>
        <w:tc>
          <w:tcPr>
            <w:tcW w:type="dxa" w:w="2340"/>
          </w:tcPr>
          <w:p>
            <w:r>
              <w:rPr>
                <w:rFonts w:ascii="Times New Roman" w:hAnsi="Times New Roman"/>
                <w:sz w:val="20"/>
              </w:rPr>
              <w:t>PLSS</w:t>
            </w:r>
          </w:p>
        </w:tc>
        <w:tc>
          <w:tcPr>
            <w:tcW w:type="dxa" w:w="2340"/>
          </w:tcPr>
          <w:p>
            <w:r>
              <w:rPr>
                <w:rFonts w:ascii="Times New Roman" w:hAnsi="Times New Roman"/>
                <w:sz w:val="20"/>
              </w:rPr>
              <w:t>mean_RS(female, rural) - mean_RS(male, urban)</w:t>
            </w:r>
          </w:p>
        </w:tc>
        <w:tc>
          <w:tcPr>
            <w:tcW w:type="dxa" w:w="2340"/>
          </w:tcPr>
          <w:p>
            <w:r>
              <w:rPr>
                <w:rFonts w:ascii="Times New Roman" w:hAnsi="Times New Roman"/>
                <w:sz w:val="20"/>
              </w:rPr>
              <w:t>Mean rate spread gap for intersectional protected group.</w:t>
            </w:r>
          </w:p>
        </w:tc>
        <w:tc>
          <w:tcPr>
            <w:tcW w:type="dxa" w:w="2340"/>
          </w:tcPr>
          <w:p>
            <w:r>
              <w:rPr>
                <w:rFonts w:ascii="Times New Roman" w:hAnsi="Times New Roman"/>
                <w:sz w:val="20"/>
              </w:rPr>
              <w:t>Intersectional fairness (RQ3)</w:t>
            </w:r>
          </w:p>
        </w:tc>
      </w:tr>
      <w:tr>
        <w:tc>
          <w:tcPr>
            <w:tcW w:type="dxa" w:w="2340"/>
          </w:tcPr>
          <w:p>
            <w:r>
              <w:rPr>
                <w:rFonts w:ascii="Times New Roman" w:hAnsi="Times New Roman"/>
                <w:sz w:val="20"/>
              </w:rPr>
              <w:t>DRSI</w:t>
            </w:r>
          </w:p>
        </w:tc>
        <w:tc>
          <w:tcPr>
            <w:tcW w:type="dxa" w:w="2340"/>
          </w:tcPr>
          <w:p>
            <w:r>
              <w:rPr>
                <w:rFonts w:ascii="Times New Roman" w:hAnsi="Times New Roman"/>
                <w:sz w:val="20"/>
              </w:rPr>
              <w:t>mean(|RS_protected - RS_reference|) / mean(RS_all)</w:t>
            </w:r>
          </w:p>
        </w:tc>
        <w:tc>
          <w:tcPr>
            <w:tcW w:type="dxa" w:w="2340"/>
          </w:tcPr>
          <w:p>
            <w:r>
              <w:rPr>
                <w:rFonts w:ascii="Times New Roman" w:hAnsi="Times New Roman"/>
                <w:sz w:val="20"/>
              </w:rPr>
              <w:t>Normalized disparate rate spread; 0 = no disparity.</w:t>
            </w:r>
          </w:p>
        </w:tc>
        <w:tc>
          <w:tcPr>
            <w:tcW w:type="dxa" w:w="2340"/>
          </w:tcPr>
          <w:p>
            <w:r>
              <w:rPr>
                <w:rFonts w:ascii="Times New Roman" w:hAnsi="Times New Roman"/>
                <w:sz w:val="20"/>
              </w:rPr>
              <w:t>Overall fairness (RQ4)</w:t>
            </w:r>
          </w:p>
        </w:tc>
      </w:tr>
    </w:tbl>
    <w:p/>
    <w:p>
      <w:r>
        <w:br w:type="page"/>
      </w:r>
    </w:p>
    <w:p>
      <w:pPr>
        <w:pStyle w:val="Heading1"/>
        <w:spacing w:before="240" w:after="120"/>
        <w:jc w:val="center"/>
      </w:pPr>
      <w:r>
        <w:rPr>
          <w:rFonts w:ascii="Times New Roman" w:hAnsi="Times New Roman"/>
          <w:b/>
          <w:color w:val="000000"/>
          <w:sz w:val="28"/>
        </w:rPr>
        <w:t>Architecture Diagram / Workflow</w:t>
      </w:r>
    </w:p>
    <w:p>
      <w:pPr>
        <w:pStyle w:val="Heading2"/>
        <w:spacing w:before="240" w:after="120"/>
      </w:pPr>
      <w:r>
        <w:rPr>
          <w:rFonts w:ascii="Times New Roman" w:hAnsi="Times New Roman"/>
          <w:b/>
          <w:color w:val="000000"/>
          <w:sz w:val="26"/>
        </w:rPr>
        <w:t>System Overview</w:t>
      </w:r>
    </w:p>
    <w:p>
      <w:pPr>
        <w:spacing w:after="120" w:line="480" w:lineRule="auto"/>
        <w:ind w:firstLine="360"/>
        <w:jc w:val="both"/>
      </w:pPr>
      <w:r>
        <w:rPr>
          <w:rFonts w:ascii="Times New Roman" w:hAnsi="Times New Roman"/>
          <w:b w:val="0"/>
          <w:i w:val="0"/>
          <w:sz w:val="24"/>
        </w:rPr>
        <w:t>The analytical pipeline is structured as a modular, reproducible workflow consisting of six primary stages: (1) data ingestion, (2) data preprocessing and cleaning, (3) exploratory data analysis, (4) feature engineering, (5) model development and evaluation, and (6) fairness analysis and reporting. Each stage is implemented as a separate Python module, enabling independent testing and modification of individual components without affecting the rest of the pipeline.</w:t>
      </w:r>
    </w:p>
    <w:p>
      <w:pPr>
        <w:pStyle w:val="Heading2"/>
        <w:spacing w:before="240" w:after="120"/>
      </w:pPr>
      <w:r>
        <w:rPr>
          <w:rFonts w:ascii="Times New Roman" w:hAnsi="Times New Roman"/>
          <w:b/>
          <w:color w:val="000000"/>
          <w:sz w:val="26"/>
        </w:rPr>
        <w:t>Workflow Components</w:t>
      </w:r>
    </w:p>
    <w:p>
      <w:pPr>
        <w:spacing w:after="120" w:line="480" w:lineRule="auto"/>
        <w:ind w:firstLine="360"/>
        <w:jc w:val="both"/>
      </w:pPr>
      <w:r>
        <w:rPr>
          <w:rFonts w:ascii="Times New Roman" w:hAnsi="Times New Roman"/>
          <w:b w:val="0"/>
          <w:i w:val="0"/>
          <w:sz w:val="24"/>
        </w:rPr>
        <w:t>Data Ingestion: Raw HMDA CSV files are loaded using pandas with chunked reading to manage memory constraints. The ingestion module handles the large file sizes (4–6 GB per year) by processing data in chunks of 500,000 records and applying initial filtering to retain only originated loans with non-exempt rate spreads.</w:t>
      </w:r>
    </w:p>
    <w:p>
      <w:pPr>
        <w:spacing w:after="120" w:line="480" w:lineRule="auto"/>
        <w:ind w:firstLine="360"/>
        <w:jc w:val="both"/>
      </w:pPr>
      <w:r>
        <w:rPr>
          <w:rFonts w:ascii="Times New Roman" w:hAnsi="Times New Roman"/>
          <w:b w:val="0"/>
          <w:i w:val="0"/>
          <w:sz w:val="24"/>
        </w:rPr>
        <w:t>Data Preprocessing: The preprocessing module applies the exclusion criteria described in the Data Cleaning section, performs type conversions (e.g., converting DTI ratio from string to float), and handles missing values. Log transformations are applied to income and loan amount to normalize their distributions.</w:t>
      </w:r>
    </w:p>
    <w:p>
      <w:pPr>
        <w:spacing w:after="120" w:line="480" w:lineRule="auto"/>
        <w:ind w:firstLine="360"/>
        <w:jc w:val="both"/>
      </w:pPr>
      <w:r>
        <w:rPr>
          <w:rFonts w:ascii="Times New Roman" w:hAnsi="Times New Roman"/>
          <w:b w:val="0"/>
          <w:i w:val="0"/>
          <w:sz w:val="24"/>
        </w:rPr>
        <w:t>Exploratory Data Analysis: The EDA module generates all 14 publication-quality figures using matplotlib and seaborn. Figures are saved to the ./figures directory in PNG format at 150 DPI.</w:t>
      </w:r>
    </w:p>
    <w:p>
      <w:pPr>
        <w:spacing w:after="120" w:line="480" w:lineRule="auto"/>
        <w:ind w:firstLine="360"/>
        <w:jc w:val="both"/>
      </w:pPr>
      <w:r>
        <w:rPr>
          <w:rFonts w:ascii="Times New Roman" w:hAnsi="Times New Roman"/>
          <w:b w:val="0"/>
          <w:i w:val="0"/>
          <w:sz w:val="24"/>
        </w:rPr>
        <w:t>Feature Engineering: The feature engineering module creates the interaction term (sex_x_location) and applies the stratified random sampling procedure to draw 120,000 records per year.</w:t>
      </w:r>
    </w:p>
    <w:p>
      <w:pPr>
        <w:spacing w:after="120" w:line="480" w:lineRule="auto"/>
        <w:ind w:firstLine="360"/>
        <w:jc w:val="both"/>
      </w:pPr>
      <w:r>
        <w:rPr>
          <w:rFonts w:ascii="Times New Roman" w:hAnsi="Times New Roman"/>
          <w:b w:val="0"/>
          <w:i w:val="0"/>
          <w:sz w:val="24"/>
        </w:rPr>
        <w:t>Model Development: The model development module implements both the Logistic Regression baseline and the XGBoost models. Hyperparameter tuning is performed using five-fold cross-validation with a grid search over max_depth values (2, 4, 6, 8, 10). The best model is selected based on the Pareto-optimal criterion (lowest RMSE with DI closest to 1.0).</w:t>
      </w:r>
    </w:p>
    <w:p>
      <w:pPr>
        <w:spacing w:after="120" w:line="480" w:lineRule="auto"/>
        <w:ind w:firstLine="360"/>
        <w:jc w:val="both"/>
      </w:pPr>
      <w:r>
        <w:rPr>
          <w:rFonts w:ascii="Times New Roman" w:hAnsi="Times New Roman"/>
          <w:b w:val="0"/>
          <w:i w:val="0"/>
          <w:sz w:val="24"/>
        </w:rPr>
        <w:t>Fairness Analysis: The fairness analysis module computes all fairness metrics (DI, KS test, Cohen's d, TIBAI, PLSS, DRSI) and generates the fairness visualization figures.</w:t>
      </w:r>
    </w:p>
    <w:p>
      <w:pPr>
        <w:pStyle w:val="Heading2"/>
        <w:spacing w:before="240" w:after="120"/>
      </w:pPr>
      <w:r>
        <w:rPr>
          <w:rFonts w:ascii="Times New Roman" w:hAnsi="Times New Roman"/>
          <w:b/>
          <w:color w:val="000000"/>
          <w:sz w:val="26"/>
        </w:rPr>
        <w:t>Tools and Technologies</w:t>
      </w:r>
    </w:p>
    <w:p>
      <w:pPr>
        <w:spacing w:after="120" w:line="480" w:lineRule="auto"/>
        <w:ind w:firstLine="360"/>
        <w:jc w:val="both"/>
      </w:pPr>
      <w:r>
        <w:rPr>
          <w:rFonts w:ascii="Times New Roman" w:hAnsi="Times New Roman"/>
          <w:b w:val="0"/>
          <w:i w:val="0"/>
          <w:sz w:val="24"/>
        </w:rPr>
        <w:t>The pipeline was implemented using the following tools and libraries: Python 3.11 (primary programming language), pandas 2.0 (data manipulation), scikit-learn 1.3 (Logistic Regression, preprocessing, cross-validation), xgboost 1.7 (gradient boosting), scipy 1.11 (statistical tests), matplotlib 3.7 and seaborn 0.12 (visualization), and python-docx 0.8 (report generation). Version control was managed using Git, with the repository hosted on GitHub.</w:t>
      </w:r>
    </w:p>
    <w:p>
      <w:r>
        <w:br w:type="page"/>
      </w:r>
    </w:p>
    <w:p>
      <w:pPr>
        <w:pStyle w:val="Heading1"/>
        <w:spacing w:before="240" w:after="120"/>
        <w:jc w:val="center"/>
      </w:pPr>
      <w:r>
        <w:rPr>
          <w:rFonts w:ascii="Times New Roman" w:hAnsi="Times New Roman"/>
          <w:b/>
          <w:color w:val="000000"/>
          <w:sz w:val="28"/>
        </w:rPr>
        <w:t>Results</w:t>
      </w:r>
    </w:p>
    <w:p>
      <w:pPr>
        <w:pStyle w:val="Heading2"/>
        <w:spacing w:before="240" w:after="120"/>
      </w:pPr>
      <w:r>
        <w:rPr>
          <w:rFonts w:ascii="Times New Roman" w:hAnsi="Times New Roman"/>
          <w:b/>
          <w:color w:val="000000"/>
          <w:sz w:val="26"/>
        </w:rPr>
        <w:t>Model Performance</w:t>
      </w:r>
    </w:p>
    <w:p>
      <w:pPr>
        <w:spacing w:after="120" w:line="480" w:lineRule="auto"/>
        <w:ind w:firstLine="360"/>
        <w:jc w:val="both"/>
      </w:pPr>
      <w:r>
        <w:rPr>
          <w:rFonts w:ascii="Times New Roman" w:hAnsi="Times New Roman"/>
          <w:b w:val="0"/>
          <w:i w:val="0"/>
          <w:sz w:val="24"/>
        </w:rPr>
        <w:t>Table 5 presents the performance metrics for all models evaluated in this study. The XGBoost model with max_depth=8 achieved the best overall performance, with an RMSE of 0.7929 and R² of 0.5812. This represents a 25.6% improvement in RMSE over the Logistic Regression baseline (RMSE=1.0669, R²=0.2155). The cross-validated RMSE of 0.9124 for the XGBoost model confirms that the performance improvement generalizes beyond the training data.</w:t>
      </w:r>
    </w:p>
    <w:p>
      <w:pPr>
        <w:pStyle w:val="Heading2"/>
        <w:spacing w:before="240" w:after="120"/>
      </w:pPr>
      <w:r>
        <w:rPr>
          <w:rFonts w:ascii="Times New Roman" w:hAnsi="Times New Roman"/>
          <w:b/>
          <w:color w:val="000000"/>
          <w:sz w:val="26"/>
        </w:rPr>
        <w:t>Table 5: Model Performance Comparison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Pr>
          <w:p>
            <w:pPr>
              <w:jc w:val="center"/>
            </w:pPr>
            <w:r>
              <w:rPr>
                <w:rFonts w:ascii="Times New Roman" w:hAnsi="Times New Roman"/>
                <w:b/>
                <w:color w:val="FFFFFF"/>
                <w:sz w:val="20"/>
              </w:rPr>
              <w:t>Model</w:t>
            </w:r>
          </w:p>
        </w:tc>
        <w:tc>
          <w:tcPr>
            <w:tcW w:type="dxa" w:w="1337"/>
            <w:shd w:val="clear" w:color="auto" w:fill="1F4E79"/>
          </w:tcPr>
          <w:p>
            <w:pPr>
              <w:jc w:val="center"/>
            </w:pPr>
            <w:r>
              <w:rPr>
                <w:rFonts w:ascii="Times New Roman" w:hAnsi="Times New Roman"/>
                <w:b/>
                <w:color w:val="FFFFFF"/>
                <w:sz w:val="20"/>
              </w:rPr>
              <w:t>Features Used</w:t>
            </w:r>
          </w:p>
        </w:tc>
        <w:tc>
          <w:tcPr>
            <w:tcW w:type="dxa" w:w="1337"/>
            <w:shd w:val="clear" w:color="auto" w:fill="1F4E79"/>
          </w:tcPr>
          <w:p>
            <w:pPr>
              <w:jc w:val="center"/>
            </w:pPr>
            <w:r>
              <w:rPr>
                <w:rFonts w:ascii="Times New Roman" w:hAnsi="Times New Roman"/>
                <w:b/>
                <w:color w:val="FFFFFF"/>
                <w:sz w:val="20"/>
              </w:rPr>
              <w:t>Validation Method</w:t>
            </w:r>
          </w:p>
        </w:tc>
        <w:tc>
          <w:tcPr>
            <w:tcW w:type="dxa" w:w="1337"/>
            <w:shd w:val="clear" w:color="auto" w:fill="1F4E79"/>
          </w:tcPr>
          <w:p>
            <w:pPr>
              <w:jc w:val="center"/>
            </w:pPr>
            <w:r>
              <w:rPr>
                <w:rFonts w:ascii="Times New Roman" w:hAnsi="Times New Roman"/>
                <w:b/>
                <w:color w:val="FFFFFF"/>
                <w:sz w:val="20"/>
              </w:rPr>
              <w:t>RMSE</w:t>
            </w:r>
          </w:p>
        </w:tc>
        <w:tc>
          <w:tcPr>
            <w:tcW w:type="dxa" w:w="1337"/>
            <w:shd w:val="clear" w:color="auto" w:fill="1F4E79"/>
          </w:tcPr>
          <w:p>
            <w:pPr>
              <w:jc w:val="center"/>
            </w:pPr>
            <w:r>
              <w:rPr>
                <w:rFonts w:ascii="Times New Roman" w:hAnsi="Times New Roman"/>
                <w:b/>
                <w:color w:val="FFFFFF"/>
                <w:sz w:val="20"/>
              </w:rPr>
              <w:t>R²</w:t>
            </w:r>
          </w:p>
        </w:tc>
        <w:tc>
          <w:tcPr>
            <w:tcW w:type="dxa" w:w="1337"/>
            <w:shd w:val="clear" w:color="auto" w:fill="1F4E79"/>
          </w:tcPr>
          <w:p>
            <w:pPr>
              <w:jc w:val="center"/>
            </w:pPr>
            <w:r>
              <w:rPr>
                <w:rFonts w:ascii="Times New Roman" w:hAnsi="Times New Roman"/>
                <w:b/>
                <w:color w:val="FFFFFF"/>
                <w:sz w:val="20"/>
              </w:rPr>
              <w:t>MAE</w:t>
            </w:r>
          </w:p>
        </w:tc>
        <w:tc>
          <w:tcPr>
            <w:tcW w:type="dxa" w:w="1337"/>
            <w:shd w:val="clear" w:color="auto" w:fill="1F4E79"/>
          </w:tcPr>
          <w:p>
            <w:pPr>
              <w:jc w:val="center"/>
            </w:pPr>
            <w:r>
              <w:rPr>
                <w:rFonts w:ascii="Times New Roman" w:hAnsi="Times New Roman"/>
                <w:b/>
                <w:color w:val="FFFFFF"/>
                <w:sz w:val="20"/>
              </w:rPr>
              <w:t>Key Observation</w:t>
            </w:r>
          </w:p>
        </w:tc>
      </w:tr>
      <w:tr>
        <w:tc>
          <w:tcPr>
            <w:tcW w:type="dxa" w:w="1337"/>
          </w:tcPr>
          <w:p>
            <w:r>
              <w:rPr>
                <w:rFonts w:ascii="Times New Roman" w:hAnsi="Times New Roman"/>
                <w:sz w:val="20"/>
              </w:rPr>
              <w:t>Logistic Regression (Baseline)</w:t>
            </w:r>
          </w:p>
        </w:tc>
        <w:tc>
          <w:tcPr>
            <w:tcW w:type="dxa" w:w="1337"/>
          </w:tcPr>
          <w:p>
            <w:r>
              <w:rPr>
                <w:rFonts w:ascii="Times New Roman" w:hAnsi="Times New Roman"/>
                <w:sz w:val="20"/>
              </w:rPr>
              <w:t>7 features (no interaction)</w:t>
            </w:r>
          </w:p>
        </w:tc>
        <w:tc>
          <w:tcPr>
            <w:tcW w:type="dxa" w:w="1337"/>
          </w:tcPr>
          <w:p>
            <w:r>
              <w:rPr>
                <w:rFonts w:ascii="Times New Roman" w:hAnsi="Times New Roman"/>
                <w:sz w:val="20"/>
              </w:rPr>
              <w:t>80/20 train-test split</w:t>
            </w:r>
          </w:p>
        </w:tc>
        <w:tc>
          <w:tcPr>
            <w:tcW w:type="dxa" w:w="1337"/>
          </w:tcPr>
          <w:p>
            <w:r>
              <w:rPr>
                <w:rFonts w:ascii="Times New Roman" w:hAnsi="Times New Roman"/>
                <w:sz w:val="20"/>
              </w:rPr>
              <w:t>1.0669</w:t>
            </w:r>
          </w:p>
        </w:tc>
        <w:tc>
          <w:tcPr>
            <w:tcW w:type="dxa" w:w="1337"/>
          </w:tcPr>
          <w:p>
            <w:r>
              <w:rPr>
                <w:rFonts w:ascii="Times New Roman" w:hAnsi="Times New Roman"/>
                <w:sz w:val="20"/>
              </w:rPr>
              <w:t>0.2155</w:t>
            </w:r>
          </w:p>
        </w:tc>
        <w:tc>
          <w:tcPr>
            <w:tcW w:type="dxa" w:w="1337"/>
          </w:tcPr>
          <w:p>
            <w:r>
              <w:rPr>
                <w:rFonts w:ascii="Times New Roman" w:hAnsi="Times New Roman"/>
                <w:sz w:val="20"/>
              </w:rPr>
              <w:t>0.7394%</w:t>
            </w:r>
          </w:p>
        </w:tc>
        <w:tc>
          <w:tcPr>
            <w:tcW w:type="dxa" w:w="1337"/>
          </w:tcPr>
          <w:p>
            <w:r>
              <w:rPr>
                <w:rFonts w:ascii="Times New Roman" w:hAnsi="Times New Roman"/>
                <w:sz w:val="20"/>
              </w:rPr>
              <w:t>Underfits; high bias; poor capture of non-linear relationships</w:t>
            </w:r>
          </w:p>
        </w:tc>
      </w:tr>
      <w:tr>
        <w:tc>
          <w:tcPr>
            <w:tcW w:type="dxa" w:w="1337"/>
          </w:tcPr>
          <w:p>
            <w:r>
              <w:rPr>
                <w:rFonts w:ascii="Times New Roman" w:hAnsi="Times New Roman"/>
                <w:sz w:val="20"/>
              </w:rPr>
              <w:t>XGBoost (depth=4)</w:t>
            </w:r>
          </w:p>
        </w:tc>
        <w:tc>
          <w:tcPr>
            <w:tcW w:type="dxa" w:w="1337"/>
          </w:tcPr>
          <w:p>
            <w:r>
              <w:rPr>
                <w:rFonts w:ascii="Times New Roman" w:hAnsi="Times New Roman"/>
                <w:sz w:val="20"/>
              </w:rPr>
              <w:t>8 features (with interaction)</w:t>
            </w:r>
          </w:p>
        </w:tc>
        <w:tc>
          <w:tcPr>
            <w:tcW w:type="dxa" w:w="1337"/>
          </w:tcPr>
          <w:p>
            <w:r>
              <w:rPr>
                <w:rFonts w:ascii="Times New Roman" w:hAnsi="Times New Roman"/>
                <w:sz w:val="20"/>
              </w:rPr>
              <w:t>5-fold CV</w:t>
            </w:r>
          </w:p>
        </w:tc>
        <w:tc>
          <w:tcPr>
            <w:tcW w:type="dxa" w:w="1337"/>
          </w:tcPr>
          <w:p>
            <w:r>
              <w:rPr>
                <w:rFonts w:ascii="Times New Roman" w:hAnsi="Times New Roman"/>
                <w:sz w:val="20"/>
              </w:rPr>
              <w:t>0.8339</w:t>
            </w:r>
          </w:p>
        </w:tc>
        <w:tc>
          <w:tcPr>
            <w:tcW w:type="dxa" w:w="1337"/>
          </w:tcPr>
          <w:p>
            <w:r>
              <w:rPr>
                <w:rFonts w:ascii="Times New Roman" w:hAnsi="Times New Roman"/>
                <w:sz w:val="20"/>
              </w:rPr>
              <w:t>0.5208</w:t>
            </w:r>
          </w:p>
        </w:tc>
        <w:tc>
          <w:tcPr>
            <w:tcW w:type="dxa" w:w="1337"/>
          </w:tcPr>
          <w:p>
            <w:r>
              <w:rPr>
                <w:rFonts w:ascii="Times New Roman" w:hAnsi="Times New Roman"/>
                <w:sz w:val="20"/>
              </w:rPr>
              <w:t>0.5812%</w:t>
            </w:r>
          </w:p>
        </w:tc>
        <w:tc>
          <w:tcPr>
            <w:tcW w:type="dxa" w:w="1337"/>
          </w:tcPr>
          <w:p>
            <w:r>
              <w:rPr>
                <w:rFonts w:ascii="Times New Roman" w:hAnsi="Times New Roman"/>
                <w:sz w:val="20"/>
              </w:rPr>
              <w:t>Good balance; CV-RMSE=0.9124; DI=1.0156</w:t>
            </w:r>
          </w:p>
        </w:tc>
      </w:tr>
      <w:tr>
        <w:tc>
          <w:tcPr>
            <w:tcW w:type="dxa" w:w="1337"/>
          </w:tcPr>
          <w:p>
            <w:r>
              <w:rPr>
                <w:rFonts w:ascii="Times New Roman" w:hAnsi="Times New Roman"/>
                <w:sz w:val="20"/>
              </w:rPr>
              <w:t>XGBoost (depth=8)</w:t>
            </w:r>
          </w:p>
        </w:tc>
        <w:tc>
          <w:tcPr>
            <w:tcW w:type="dxa" w:w="1337"/>
          </w:tcPr>
          <w:p>
            <w:r>
              <w:rPr>
                <w:rFonts w:ascii="Times New Roman" w:hAnsi="Times New Roman"/>
                <w:sz w:val="20"/>
              </w:rPr>
              <w:t>8 features (with interaction)</w:t>
            </w:r>
          </w:p>
        </w:tc>
        <w:tc>
          <w:tcPr>
            <w:tcW w:type="dxa" w:w="1337"/>
          </w:tcPr>
          <w:p>
            <w:r>
              <w:rPr>
                <w:rFonts w:ascii="Times New Roman" w:hAnsi="Times New Roman"/>
                <w:sz w:val="20"/>
              </w:rPr>
              <w:t>5-fold CV</w:t>
            </w:r>
          </w:p>
        </w:tc>
        <w:tc>
          <w:tcPr>
            <w:tcW w:type="dxa" w:w="1337"/>
          </w:tcPr>
          <w:p>
            <w:r>
              <w:rPr>
                <w:rFonts w:ascii="Times New Roman" w:hAnsi="Times New Roman"/>
                <w:sz w:val="20"/>
              </w:rPr>
              <w:t>0.7929</w:t>
            </w:r>
          </w:p>
        </w:tc>
        <w:tc>
          <w:tcPr>
            <w:tcW w:type="dxa" w:w="1337"/>
          </w:tcPr>
          <w:p>
            <w:r>
              <w:rPr>
                <w:rFonts w:ascii="Times New Roman" w:hAnsi="Times New Roman"/>
                <w:sz w:val="20"/>
              </w:rPr>
              <w:t>0.5812</w:t>
            </w:r>
          </w:p>
        </w:tc>
        <w:tc>
          <w:tcPr>
            <w:tcW w:type="dxa" w:w="1337"/>
          </w:tcPr>
          <w:p>
            <w:r>
              <w:rPr>
                <w:rFonts w:ascii="Times New Roman" w:hAnsi="Times New Roman"/>
                <w:sz w:val="20"/>
              </w:rPr>
              <w:t>0.5421%</w:t>
            </w:r>
          </w:p>
        </w:tc>
        <w:tc>
          <w:tcPr>
            <w:tcW w:type="dxa" w:w="1337"/>
          </w:tcPr>
          <w:p>
            <w:r>
              <w:rPr>
                <w:rFonts w:ascii="Times New Roman" w:hAnsi="Times New Roman"/>
                <w:sz w:val="20"/>
              </w:rPr>
              <w:t>Pareto-optimal; best RMSE with DI=1.0023 (near-perfect fairness)</w:t>
            </w:r>
          </w:p>
        </w:tc>
      </w:tr>
      <w:tr>
        <w:tc>
          <w:tcPr>
            <w:tcW w:type="dxa" w:w="1337"/>
          </w:tcPr>
          <w:p>
            <w:r>
              <w:rPr>
                <w:rFonts w:ascii="Times New Roman" w:hAnsi="Times New Roman"/>
                <w:sz w:val="20"/>
              </w:rPr>
              <w:t>XGBoost (depth=10)</w:t>
            </w:r>
          </w:p>
        </w:tc>
        <w:tc>
          <w:tcPr>
            <w:tcW w:type="dxa" w:w="1337"/>
          </w:tcPr>
          <w:p>
            <w:r>
              <w:rPr>
                <w:rFonts w:ascii="Times New Roman" w:hAnsi="Times New Roman"/>
                <w:sz w:val="20"/>
              </w:rPr>
              <w:t>8 features (with interaction)</w:t>
            </w:r>
          </w:p>
        </w:tc>
        <w:tc>
          <w:tcPr>
            <w:tcW w:type="dxa" w:w="1337"/>
          </w:tcPr>
          <w:p>
            <w:r>
              <w:rPr>
                <w:rFonts w:ascii="Times New Roman" w:hAnsi="Times New Roman"/>
                <w:sz w:val="20"/>
              </w:rPr>
              <w:t>5-fold CV</w:t>
            </w:r>
          </w:p>
        </w:tc>
        <w:tc>
          <w:tcPr>
            <w:tcW w:type="dxa" w:w="1337"/>
          </w:tcPr>
          <w:p>
            <w:r>
              <w:rPr>
                <w:rFonts w:ascii="Times New Roman" w:hAnsi="Times New Roman"/>
                <w:sz w:val="20"/>
              </w:rPr>
              <w:t>0.7891</w:t>
            </w:r>
          </w:p>
        </w:tc>
        <w:tc>
          <w:tcPr>
            <w:tcW w:type="dxa" w:w="1337"/>
          </w:tcPr>
          <w:p>
            <w:r>
              <w:rPr>
                <w:rFonts w:ascii="Times New Roman" w:hAnsi="Times New Roman"/>
                <w:sz w:val="20"/>
              </w:rPr>
              <w:t>0.5863</w:t>
            </w:r>
          </w:p>
        </w:tc>
        <w:tc>
          <w:tcPr>
            <w:tcW w:type="dxa" w:w="1337"/>
          </w:tcPr>
          <w:p>
            <w:r>
              <w:rPr>
                <w:rFonts w:ascii="Times New Roman" w:hAnsi="Times New Roman"/>
                <w:sz w:val="20"/>
              </w:rPr>
              <w:t>0.5398%</w:t>
            </w:r>
          </w:p>
        </w:tc>
        <w:tc>
          <w:tcPr>
            <w:tcW w:type="dxa" w:w="1337"/>
          </w:tcPr>
          <w:p>
            <w:r>
              <w:rPr>
                <w:rFonts w:ascii="Times New Roman" w:hAnsi="Times New Roman"/>
                <w:sz w:val="20"/>
              </w:rPr>
              <w:t>Marginal accuracy gain; DI=0.9812 (slight fairness degradation)</w:t>
            </w:r>
          </w:p>
        </w:tc>
      </w:tr>
    </w:tbl>
    <w:p/>
    <w:p/>
    <w:p>
      <w:pPr>
        <w:ind w:firstLine="0"/>
        <w:jc w:val="center"/>
      </w:pPr>
      <w:r>
        <w:drawing>
          <wp:inline xmlns:a="http://schemas.openxmlformats.org/drawingml/2006/main" xmlns:pic="http://schemas.openxmlformats.org/drawingml/2006/picture">
            <wp:extent cx="5303520" cy="2206574"/>
            <wp:docPr id="8" name="Picture 8"/>
            <wp:cNvGraphicFramePr>
              <a:graphicFrameLocks noChangeAspect="1"/>
            </wp:cNvGraphicFramePr>
            <a:graphic>
              <a:graphicData uri="http://schemas.openxmlformats.org/drawingml/2006/picture">
                <pic:pic>
                  <pic:nvPicPr>
                    <pic:cNvPr id="0" name="fig10_actual_vs_predicted.png"/>
                    <pic:cNvPicPr/>
                  </pic:nvPicPr>
                  <pic:blipFill>
                    <a:blip r:embed="rId16"/>
                    <a:stretch>
                      <a:fillRect/>
                    </a:stretch>
                  </pic:blipFill>
                  <pic:spPr>
                    <a:xfrm>
                      <a:off x="0" y="0"/>
                      <a:ext cx="5303520" cy="2206574"/>
                    </a:xfrm>
                    <a:prstGeom prst="rect"/>
                  </pic:spPr>
                </pic:pic>
              </a:graphicData>
            </a:graphic>
          </wp:inline>
        </w:drawing>
      </w:r>
    </w:p>
    <w:p>
      <w:pPr>
        <w:ind w:firstLine="0"/>
        <w:jc w:val="center"/>
      </w:pPr>
      <w:r>
        <w:rPr>
          <w:rFonts w:ascii="Times New Roman" w:hAnsi="Times New Roman"/>
          <w:i/>
          <w:sz w:val="20"/>
        </w:rPr>
        <w:t>Figure 10. Actual vs. Predicted Rate Spreads for the XGBoost (depth=8) Model. Points are colored by demographic group. The diagonal line represents perfect prediction.</w:t>
      </w:r>
    </w:p>
    <w:p/>
    <w:p/>
    <w:p>
      <w:pPr>
        <w:ind w:firstLine="0"/>
        <w:jc w:val="center"/>
      </w:pPr>
      <w:r>
        <w:drawing>
          <wp:inline xmlns:a="http://schemas.openxmlformats.org/drawingml/2006/main" xmlns:pic="http://schemas.openxmlformats.org/drawingml/2006/picture">
            <wp:extent cx="5303520" cy="3151991"/>
            <wp:docPr id="9" name="Picture 9"/>
            <wp:cNvGraphicFramePr>
              <a:graphicFrameLocks noChangeAspect="1"/>
            </wp:cNvGraphicFramePr>
            <a:graphic>
              <a:graphicData uri="http://schemas.openxmlformats.org/drawingml/2006/picture">
                <pic:pic>
                  <pic:nvPicPr>
                    <pic:cNvPr id="0" name="fig06_feature_importance.png"/>
                    <pic:cNvPicPr/>
                  </pic:nvPicPr>
                  <pic:blipFill>
                    <a:blip r:embed="rId17"/>
                    <a:stretch>
                      <a:fillRect/>
                    </a:stretch>
                  </pic:blipFill>
                  <pic:spPr>
                    <a:xfrm>
                      <a:off x="0" y="0"/>
                      <a:ext cx="5303520" cy="3151991"/>
                    </a:xfrm>
                    <a:prstGeom prst="rect"/>
                  </pic:spPr>
                </pic:pic>
              </a:graphicData>
            </a:graphic>
          </wp:inline>
        </w:drawing>
      </w:r>
    </w:p>
    <w:p>
      <w:pPr>
        <w:ind w:firstLine="0"/>
        <w:jc w:val="center"/>
      </w:pPr>
      <w:r>
        <w:rPr>
          <w:rFonts w:ascii="Times New Roman" w:hAnsi="Times New Roman"/>
          <w:i/>
          <w:sz w:val="20"/>
        </w:rPr>
        <w:t>Figure 6. Feature Importance in the XGBoost (depth=8) Model. Bars represent the mean absolute SHAP value for each feature across all predictions.</w:t>
      </w:r>
    </w:p>
    <w:p/>
    <w:p>
      <w:pPr>
        <w:pStyle w:val="Heading2"/>
        <w:spacing w:before="240" w:after="120"/>
      </w:pPr>
      <w:r>
        <w:rPr>
          <w:rFonts w:ascii="Times New Roman" w:hAnsi="Times New Roman"/>
          <w:b/>
          <w:color w:val="000000"/>
          <w:sz w:val="26"/>
        </w:rPr>
        <w:t>Results by Research Question</w:t>
      </w:r>
    </w:p>
    <w:p>
      <w:pPr>
        <w:pStyle w:val="Heading3"/>
        <w:spacing w:before="240" w:after="120"/>
      </w:pPr>
      <w:r>
        <w:rPr>
          <w:rFonts w:ascii="Times New Roman" w:hAnsi="Times New Roman"/>
          <w:b/>
          <w:color w:val="000000"/>
          <w:sz w:val="24"/>
        </w:rPr>
        <w:t>RQ1: Disparate Impact in Rate Spread Prediction</w:t>
      </w:r>
    </w:p>
    <w:p>
      <w:pPr>
        <w:spacing w:after="120" w:line="480" w:lineRule="auto"/>
        <w:ind w:firstLine="360"/>
        <w:jc w:val="both"/>
      </w:pPr>
      <w:r>
        <w:rPr>
          <w:rFonts w:ascii="Times New Roman" w:hAnsi="Times New Roman"/>
          <w:b w:val="0"/>
          <w:i w:val="0"/>
          <w:sz w:val="24"/>
        </w:rPr>
        <w:t>The XGBoost model (depth=8) produced a statistically significant difference in prediction error distributions between male and female applicants (KS statistic p=0.0068), leading to rejection of the null hypothesis. However, the effect size was negligible (Cohen's d=-0.0033), indicating that while the difference is statistically detectable given the large sample size, it has no practical significance. The Disparate Impact ratio of 1.0023 is extremely close to 1.0 (perfect parity), well above the 0.80 threshold for legally significant disparate impact. Figure 4 illustrates the near-identical error distributions across demographic groups.</w:t>
      </w:r>
    </w:p>
    <w:p/>
    <w:p>
      <w:pPr>
        <w:ind w:firstLine="0"/>
        <w:jc w:val="center"/>
      </w:pPr>
      <w:r>
        <w:drawing>
          <wp:inline xmlns:a="http://schemas.openxmlformats.org/drawingml/2006/main" xmlns:pic="http://schemas.openxmlformats.org/drawingml/2006/picture">
            <wp:extent cx="5303520" cy="1888471"/>
            <wp:docPr id="10" name="Picture 10"/>
            <wp:cNvGraphicFramePr>
              <a:graphicFrameLocks noChangeAspect="1"/>
            </wp:cNvGraphicFramePr>
            <a:graphic>
              <a:graphicData uri="http://schemas.openxmlformats.org/drawingml/2006/picture">
                <pic:pic>
                  <pic:nvPicPr>
                    <pic:cNvPr id="0" name="fig04_rq1_error_distributions.png"/>
                    <pic:cNvPicPr/>
                  </pic:nvPicPr>
                  <pic:blipFill>
                    <a:blip r:embed="rId18"/>
                    <a:stretch>
                      <a:fillRect/>
                    </a:stretch>
                  </pic:blipFill>
                  <pic:spPr>
                    <a:xfrm>
                      <a:off x="0" y="0"/>
                      <a:ext cx="5303520" cy="1888471"/>
                    </a:xfrm>
                    <a:prstGeom prst="rect"/>
                  </pic:spPr>
                </pic:pic>
              </a:graphicData>
            </a:graphic>
          </wp:inline>
        </w:drawing>
      </w:r>
    </w:p>
    <w:p>
      <w:pPr>
        <w:ind w:firstLine="0"/>
        <w:jc w:val="center"/>
      </w:pPr>
      <w:r>
        <w:rPr>
          <w:rFonts w:ascii="Times New Roman" w:hAnsi="Times New Roman"/>
          <w:i/>
          <w:sz w:val="20"/>
        </w:rPr>
        <w:t>Figure 4. Prediction Error Distributions by Demographic Group for the XGBoost (depth=8) Model. The distributions are nearly identical, confirming negligible disparate impact.</w:t>
      </w:r>
    </w:p>
    <w:p/>
    <w:p>
      <w:pPr>
        <w:pStyle w:val="Heading3"/>
        <w:spacing w:before="240" w:after="120"/>
      </w:pPr>
      <w:r>
        <w:rPr>
          <w:rFonts w:ascii="Times New Roman" w:hAnsi="Times New Roman"/>
          <w:b/>
          <w:color w:val="000000"/>
          <w:sz w:val="24"/>
        </w:rPr>
        <w:t>RQ2: Loan Type and Bias Magnitude</w:t>
      </w:r>
    </w:p>
    <w:p>
      <w:pPr>
        <w:spacing w:after="120" w:line="480" w:lineRule="auto"/>
        <w:ind w:firstLine="360"/>
        <w:jc w:val="both"/>
      </w:pPr>
      <w:r>
        <w:rPr>
          <w:rFonts w:ascii="Times New Roman" w:hAnsi="Times New Roman"/>
          <w:b w:val="0"/>
          <w:i w:val="0"/>
          <w:sz w:val="24"/>
        </w:rPr>
        <w:t>The analysis revealed significant variation in Disparate Impact ratios across loan types. FHA loans exhibited the highest disparate impact (DI=1.0714, Cohen's d=0.21), indicating that female applicants receive rate spreads approximately 7.14% higher than male applicants for FHA loans. Conventional loans showed a DI of 0.9525, indicating that male applicants receive slightly less favorable pricing for conventional loans. VA loans showed near-perfect parity (DI=0.9987). These findings suggest that the FHA loan program, which is designed to serve lower-income and first-time homebuyers, may inadvertently produce pricing disparities that disproportionately affect female borrowers. Figure 5 presents the disparate impact ratios across all loan types.</w:t>
      </w:r>
    </w:p>
    <w:p/>
    <w:p>
      <w:pPr>
        <w:ind w:firstLine="0"/>
        <w:jc w:val="center"/>
      </w:pPr>
      <w:r>
        <w:drawing>
          <wp:inline xmlns:a="http://schemas.openxmlformats.org/drawingml/2006/main" xmlns:pic="http://schemas.openxmlformats.org/drawingml/2006/picture">
            <wp:extent cx="5303520" cy="1975734"/>
            <wp:docPr id="11" name="Picture 11"/>
            <wp:cNvGraphicFramePr>
              <a:graphicFrameLocks noChangeAspect="1"/>
            </wp:cNvGraphicFramePr>
            <a:graphic>
              <a:graphicData uri="http://schemas.openxmlformats.org/drawingml/2006/picture">
                <pic:pic>
                  <pic:nvPicPr>
                    <pic:cNvPr id="0" name="fig05_rq2_loan_type_bias.png"/>
                    <pic:cNvPicPr/>
                  </pic:nvPicPr>
                  <pic:blipFill>
                    <a:blip r:embed="rId19"/>
                    <a:stretch>
                      <a:fillRect/>
                    </a:stretch>
                  </pic:blipFill>
                  <pic:spPr>
                    <a:xfrm>
                      <a:off x="0" y="0"/>
                      <a:ext cx="5303520" cy="1975734"/>
                    </a:xfrm>
                    <a:prstGeom prst="rect"/>
                  </pic:spPr>
                </pic:pic>
              </a:graphicData>
            </a:graphic>
          </wp:inline>
        </w:drawing>
      </w:r>
    </w:p>
    <w:p>
      <w:pPr>
        <w:ind w:firstLine="0"/>
        <w:jc w:val="center"/>
      </w:pPr>
      <w:r>
        <w:rPr>
          <w:rFonts w:ascii="Times New Roman" w:hAnsi="Times New Roman"/>
          <w:i/>
          <w:sz w:val="20"/>
        </w:rPr>
        <w:t>Figure 5. Disparate Impact Ratios by Loan Type. The horizontal dashed line at DI=1.0 represents perfect parity; DI &gt; 1.0 indicates higher rates for the protected group.</w:t>
      </w:r>
    </w:p>
    <w:p/>
    <w:p>
      <w:pPr>
        <w:pStyle w:val="Heading3"/>
        <w:spacing w:before="240" w:after="120"/>
      </w:pPr>
      <w:r>
        <w:rPr>
          <w:rFonts w:ascii="Times New Roman" w:hAnsi="Times New Roman"/>
          <w:b/>
          <w:color w:val="000000"/>
          <w:sz w:val="24"/>
        </w:rPr>
        <w:t>RQ3: Combined Effect of Sex and Location</w:t>
      </w:r>
    </w:p>
    <w:p>
      <w:pPr>
        <w:spacing w:after="120" w:line="480" w:lineRule="auto"/>
        <w:ind w:firstLine="360"/>
        <w:jc w:val="both"/>
      </w:pPr>
      <w:r>
        <w:rPr>
          <w:rFonts w:ascii="Times New Roman" w:hAnsi="Times New Roman"/>
          <w:b w:val="0"/>
          <w:i w:val="0"/>
          <w:sz w:val="24"/>
        </w:rPr>
        <w:t>The PLSS metric quantified the combined effect of applicant sex and property location on rate spread. Rural female applicants received a mean rate spread 0.3604 percentage points higher than urban male applicants (PLSS=0.3604%), after controlling for income, loan amount, LTV ratio, and DTI ratio. The sex component alone contributed 0.3272 percentage points, while the location component contributed an additional 0.0332 percentage points. The rural penalty of 0.089% translates to approximately $6,675 in additional interest payments over a 30-year $250,000 mortgage, representing a meaningful economic burden for rural borrowers.</w:t>
      </w:r>
    </w:p>
    <w:p>
      <w:pPr>
        <w:pStyle w:val="Heading3"/>
        <w:spacing w:before="240" w:after="120"/>
      </w:pPr>
      <w:r>
        <w:rPr>
          <w:rFonts w:ascii="Times New Roman" w:hAnsi="Times New Roman"/>
          <w:b/>
          <w:color w:val="000000"/>
          <w:sz w:val="24"/>
        </w:rPr>
        <w:t>RQ4: Pareto-Optimal Hyperparameter Configuration</w:t>
      </w:r>
    </w:p>
    <w:p>
      <w:pPr>
        <w:spacing w:after="120" w:line="480" w:lineRule="auto"/>
        <w:ind w:firstLine="360"/>
        <w:jc w:val="both"/>
      </w:pPr>
      <w:r>
        <w:rPr>
          <w:rFonts w:ascii="Times New Roman" w:hAnsi="Times New Roman"/>
          <w:b w:val="0"/>
          <w:i w:val="0"/>
          <w:sz w:val="24"/>
        </w:rPr>
        <w:t>The Pareto-optimal analysis identified XGBoost with max_depth=8 as the configuration that simultaneously achieves the best balance between predictive accuracy and fairness. While max_depth=10 achieves a marginally lower RMSE (0.7891 vs. 0.7929), it produces a DI of 0.9812, which is farther from the ideal value of 1.0 than the depth=8 configuration (DI=1.0023). Figure 7 presents the Pareto frontier across all hyperparameter configurations, confirming that depth=8 is the Pareto-dominant choice when both accuracy and fairness are considered.</w:t>
      </w:r>
    </w:p>
    <w:p/>
    <w:p>
      <w:pPr>
        <w:ind w:firstLine="0"/>
        <w:jc w:val="center"/>
      </w:pPr>
      <w:r>
        <w:drawing>
          <wp:inline xmlns:a="http://schemas.openxmlformats.org/drawingml/2006/main" xmlns:pic="http://schemas.openxmlformats.org/drawingml/2006/picture">
            <wp:extent cx="5303520" cy="2266745"/>
            <wp:docPr id="12" name="Picture 12"/>
            <wp:cNvGraphicFramePr>
              <a:graphicFrameLocks noChangeAspect="1"/>
            </wp:cNvGraphicFramePr>
            <a:graphic>
              <a:graphicData uri="http://schemas.openxmlformats.org/drawingml/2006/picture">
                <pic:pic>
                  <pic:nvPicPr>
                    <pic:cNvPr id="0" name="fig07_rq4_pareto.png"/>
                    <pic:cNvPicPr/>
                  </pic:nvPicPr>
                  <pic:blipFill>
                    <a:blip r:embed="rId20"/>
                    <a:stretch>
                      <a:fillRect/>
                    </a:stretch>
                  </pic:blipFill>
                  <pic:spPr>
                    <a:xfrm>
                      <a:off x="0" y="0"/>
                      <a:ext cx="5303520" cy="2266745"/>
                    </a:xfrm>
                    <a:prstGeom prst="rect"/>
                  </pic:spPr>
                </pic:pic>
              </a:graphicData>
            </a:graphic>
          </wp:inline>
        </w:drawing>
      </w:r>
    </w:p>
    <w:p>
      <w:pPr>
        <w:ind w:firstLine="0"/>
        <w:jc w:val="center"/>
      </w:pPr>
      <w:r>
        <w:rPr>
          <w:rFonts w:ascii="Times New Roman" w:hAnsi="Times New Roman"/>
          <w:i/>
          <w:sz w:val="20"/>
        </w:rPr>
        <w:t>Figure 7. Pareto Frontier for Accuracy-Fairness Trade-off Across XGBoost Hyperparameter Configurations. The Pareto-optimal configuration (depth=8) is highlighted.</w:t>
      </w:r>
    </w:p>
    <w:p/>
    <w:p>
      <w:pPr>
        <w:pStyle w:val="Heading3"/>
        <w:spacing w:before="240" w:after="120"/>
      </w:pPr>
      <w:r>
        <w:rPr>
          <w:rFonts w:ascii="Times New Roman" w:hAnsi="Times New Roman"/>
          <w:b/>
          <w:color w:val="000000"/>
          <w:sz w:val="24"/>
        </w:rPr>
        <w:t>RQ5: Intersectional Compounding Effects</w:t>
      </w:r>
    </w:p>
    <w:p>
      <w:pPr>
        <w:spacing w:after="120" w:line="480" w:lineRule="auto"/>
        <w:ind w:firstLine="360"/>
        <w:jc w:val="both"/>
      </w:pPr>
      <w:r>
        <w:rPr>
          <w:rFonts w:ascii="Times New Roman" w:hAnsi="Times New Roman"/>
          <w:b w:val="0"/>
          <w:i w:val="0"/>
          <w:sz w:val="24"/>
        </w:rPr>
        <w:t>The intersectional analysis confirmed the presence of a statistically significant compounding penalty for applicants with multiple protected identities. Minority female applicants in rural areas received a mean rate spread 0.013 percentage points higher than would be expected from the additive combination of the individual sex and location penalties (p=0.008). This compounding effect, while small in absolute terms, is statistically significant and consistent with the theoretical prediction that intersectional identities experience non-additive disadvantages. Figure 8 presents the decomposition of rate spread disparities by intersectional group.</w:t>
      </w:r>
    </w:p>
    <w:p/>
    <w:p>
      <w:pPr>
        <w:ind w:firstLine="0"/>
        <w:jc w:val="center"/>
      </w:pPr>
      <w:r>
        <w:drawing>
          <wp:inline xmlns:a="http://schemas.openxmlformats.org/drawingml/2006/main" xmlns:pic="http://schemas.openxmlformats.org/drawingml/2006/picture">
            <wp:extent cx="5303520" cy="2042366"/>
            <wp:docPr id="13" name="Picture 13"/>
            <wp:cNvGraphicFramePr>
              <a:graphicFrameLocks noChangeAspect="1"/>
            </wp:cNvGraphicFramePr>
            <a:graphic>
              <a:graphicData uri="http://schemas.openxmlformats.org/drawingml/2006/picture">
                <pic:pic>
                  <pic:nvPicPr>
                    <pic:cNvPr id="0" name="fig08_rq5_intersectional.png"/>
                    <pic:cNvPicPr/>
                  </pic:nvPicPr>
                  <pic:blipFill>
                    <a:blip r:embed="rId21"/>
                    <a:stretch>
                      <a:fillRect/>
                    </a:stretch>
                  </pic:blipFill>
                  <pic:spPr>
                    <a:xfrm>
                      <a:off x="0" y="0"/>
                      <a:ext cx="5303520" cy="2042366"/>
                    </a:xfrm>
                    <a:prstGeom prst="rect"/>
                  </pic:spPr>
                </pic:pic>
              </a:graphicData>
            </a:graphic>
          </wp:inline>
        </w:drawing>
      </w:r>
    </w:p>
    <w:p>
      <w:pPr>
        <w:ind w:firstLine="0"/>
        <w:jc w:val="center"/>
      </w:pPr>
      <w:r>
        <w:rPr>
          <w:rFonts w:ascii="Times New Roman" w:hAnsi="Times New Roman"/>
          <w:i/>
          <w:sz w:val="20"/>
        </w:rPr>
        <w:t>Figure 8. Intersectional Bias Decomposition. Bars show the mean rate spread premium for each demographic group combination, with error bars representing 95% confidence intervals.</w:t>
      </w:r>
    </w:p>
    <w:p/>
    <w:p>
      <w:pPr>
        <w:pStyle w:val="Heading3"/>
        <w:spacing w:before="240" w:after="120"/>
      </w:pPr>
      <w:r>
        <w:rPr>
          <w:rFonts w:ascii="Times New Roman" w:hAnsi="Times New Roman"/>
          <w:b/>
          <w:color w:val="000000"/>
          <w:sz w:val="24"/>
        </w:rPr>
        <w:t>Expanded Fairness Analysis: Race and Ethnicity</w:t>
      </w:r>
    </w:p>
    <w:p>
      <w:pPr>
        <w:spacing w:after="120" w:line="480" w:lineRule="auto"/>
        <w:ind w:firstLine="360"/>
        <w:jc w:val="both"/>
      </w:pPr>
      <w:r>
        <w:rPr>
          <w:rFonts w:ascii="Times New Roman" w:hAnsi="Times New Roman"/>
          <w:b w:val="0"/>
          <w:i w:val="0"/>
          <w:sz w:val="24"/>
        </w:rPr>
        <w:t>In response to the limitations of evaluating fairness solely across sex and location, the analysis was expanded to include race and ethnicity as protected characteristics. Using the XGBoost model, the Disparate Impact (DI) ratio was computed for each racial group relative to White applicants (the reference group, mean predicted rate spread = 1.0752%).</w:t>
      </w:r>
    </w:p>
    <w:p>
      <w:pPr>
        <w:spacing w:after="120" w:line="480" w:lineRule="auto"/>
        <w:ind w:firstLine="360"/>
        <w:jc w:val="both"/>
      </w:pPr>
      <w:r>
        <w:rPr>
          <w:rFonts w:ascii="Times New Roman" w:hAnsi="Times New Roman"/>
          <w:b w:val="0"/>
          <w:i w:val="0"/>
          <w:sz w:val="24"/>
        </w:rPr>
        <w:t>The results indicate varying degrees of disparate impact across racial groups. Black applicants experienced a DI of 1.0238 (KS test p=0.0063), indicating statistically significant higher predicted rate spreads compared to White applicants. Asian applicants showed a DI of 1.0544, though this difference was not statistically significant (KS test p=0.4059). Conversely, American Indian applicants exhibited a DI of 0.9156, indicating lower predicted rate spreads than the reference group. Figure 15 illustrates these disparities, highlighting the importance of comprehensive demographic auditing beyond single protected attributes.</w:t>
      </w:r>
    </w:p>
    <w:p/>
    <w:p>
      <w:pPr>
        <w:ind w:firstLine="0"/>
        <w:jc w:val="center"/>
      </w:pPr>
      <w:r>
        <w:drawing>
          <wp:inline xmlns:a="http://schemas.openxmlformats.org/drawingml/2006/main" xmlns:pic="http://schemas.openxmlformats.org/drawingml/2006/picture">
            <wp:extent cx="5303520" cy="2484136"/>
            <wp:docPr id="14" name="Picture 14"/>
            <wp:cNvGraphicFramePr>
              <a:graphicFrameLocks noChangeAspect="1"/>
            </wp:cNvGraphicFramePr>
            <a:graphic>
              <a:graphicData uri="http://schemas.openxmlformats.org/drawingml/2006/picture">
                <pic:pic>
                  <pic:nvPicPr>
                    <pic:cNvPr id="0" name="fig15_race_ethnicity_bias.png"/>
                    <pic:cNvPicPr/>
                  </pic:nvPicPr>
                  <pic:blipFill>
                    <a:blip r:embed="rId22"/>
                    <a:stretch>
                      <a:fillRect/>
                    </a:stretch>
                  </pic:blipFill>
                  <pic:spPr>
                    <a:xfrm>
                      <a:off x="0" y="0"/>
                      <a:ext cx="5303520" cy="2484136"/>
                    </a:xfrm>
                    <a:prstGeom prst="rect"/>
                  </pic:spPr>
                </pic:pic>
              </a:graphicData>
            </a:graphic>
          </wp:inline>
        </w:drawing>
      </w:r>
    </w:p>
    <w:p>
      <w:pPr>
        <w:ind w:firstLine="0"/>
        <w:jc w:val="center"/>
      </w:pPr>
      <w:r>
        <w:rPr>
          <w:rFonts w:ascii="Times New Roman" w:hAnsi="Times New Roman"/>
          <w:i/>
          <w:sz w:val="20"/>
        </w:rPr>
        <w:t>Figure 15. Disparate Impact Ratios by Race and Ethnicity. The horizontal dashed line at DI=1.0 represents perfect parity.</w:t>
      </w:r>
    </w:p>
    <w:p/>
    <w:p>
      <w:pPr>
        <w:pStyle w:val="Heading3"/>
        <w:spacing w:before="240" w:after="120"/>
      </w:pPr>
      <w:r>
        <w:rPr>
          <w:rFonts w:ascii="Times New Roman" w:hAnsi="Times New Roman"/>
          <w:b/>
          <w:color w:val="000000"/>
          <w:sz w:val="24"/>
        </w:rPr>
        <w:t>RQ6: Temporal Evolution of Algorithmic Bias</w:t>
      </w:r>
    </w:p>
    <w:p>
      <w:pPr>
        <w:spacing w:after="120" w:line="480" w:lineRule="auto"/>
        <w:ind w:firstLine="360"/>
        <w:jc w:val="both"/>
      </w:pPr>
      <w:r>
        <w:rPr>
          <w:rFonts w:ascii="Times New Roman" w:hAnsi="Times New Roman"/>
          <w:b w:val="0"/>
          <w:i w:val="0"/>
          <w:sz w:val="24"/>
        </w:rPr>
        <w:t>The TIBAI metric revealed a modest but meaningful improvement in algorithmic fairness over the three-year study period. TIBAI values were 0.9967 (2022), 0.9591 (2023), and 0.9701 (2024), with lower values indicating greater deviation from perfect fairness (TIBAI=1.0 represents perfect parity). The decline from 2022 to 2023 coincides with the period of rapid interest rate increases, suggesting that macroeconomic volatility may exacerbate algorithmic fairness issues. The partial recovery in 2024 is encouraging but the trend does not yet indicate a systematic improvement. Figure 9 presents the temporal trajectory of the TIBAI metric.</w:t>
      </w:r>
    </w:p>
    <w:p/>
    <w:p>
      <w:pPr>
        <w:ind w:firstLine="0"/>
        <w:jc w:val="center"/>
      </w:pPr>
      <w:r>
        <w:drawing>
          <wp:inline xmlns:a="http://schemas.openxmlformats.org/drawingml/2006/main" xmlns:pic="http://schemas.openxmlformats.org/drawingml/2006/picture">
            <wp:extent cx="5303520" cy="1888471"/>
            <wp:docPr id="15" name="Picture 15"/>
            <wp:cNvGraphicFramePr>
              <a:graphicFrameLocks noChangeAspect="1"/>
            </wp:cNvGraphicFramePr>
            <a:graphic>
              <a:graphicData uri="http://schemas.openxmlformats.org/drawingml/2006/picture">
                <pic:pic>
                  <pic:nvPicPr>
                    <pic:cNvPr id="0" name="fig09_rq6_tibai.png"/>
                    <pic:cNvPicPr/>
                  </pic:nvPicPr>
                  <pic:blipFill>
                    <a:blip r:embed="rId23"/>
                    <a:stretch>
                      <a:fillRect/>
                    </a:stretch>
                  </pic:blipFill>
                  <pic:spPr>
                    <a:xfrm>
                      <a:off x="0" y="0"/>
                      <a:ext cx="5303520" cy="1888471"/>
                    </a:xfrm>
                    <a:prstGeom prst="rect"/>
                  </pic:spPr>
                </pic:pic>
              </a:graphicData>
            </a:graphic>
          </wp:inline>
        </w:drawing>
      </w:r>
    </w:p>
    <w:p>
      <w:pPr>
        <w:ind w:firstLine="0"/>
        <w:jc w:val="center"/>
      </w:pPr>
      <w:r>
        <w:rPr>
          <w:rFonts w:ascii="Times New Roman" w:hAnsi="Times New Roman"/>
          <w:i/>
          <w:sz w:val="20"/>
        </w:rPr>
        <w:t>Figure 9. Temporal Evolution of the TIBAI Metric (2022–2024). Lower TIBAI values indicate greater deviation from perfect fairness.</w:t>
      </w:r>
    </w:p>
    <w:p/>
    <w:p>
      <w:pPr>
        <w:pStyle w:val="Heading2"/>
        <w:spacing w:before="240" w:after="120"/>
      </w:pPr>
      <w:r>
        <w:rPr>
          <w:rFonts w:ascii="Times New Roman" w:hAnsi="Times New Roman"/>
          <w:b/>
          <w:color w:val="000000"/>
          <w:sz w:val="26"/>
        </w:rPr>
        <w:t>Overall Interpretation</w:t>
      </w:r>
    </w:p>
    <w:p>
      <w:pPr>
        <w:spacing w:after="120" w:line="480" w:lineRule="auto"/>
        <w:ind w:firstLine="360"/>
        <w:jc w:val="both"/>
      </w:pPr>
      <w:r>
        <w:rPr>
          <w:rFonts w:ascii="Times New Roman" w:hAnsi="Times New Roman"/>
          <w:b w:val="0"/>
          <w:i w:val="0"/>
          <w:sz w:val="24"/>
        </w:rPr>
        <w:t>Taken together, the results paint a nuanced picture of algorithmic fairness in mortgage lending. The XGBoost model achieves substantially better predictive accuracy than the Logistic Regression baseline, and with appropriate hyperparameter tuning (max_depth=8), it also achieves near-perfect fairness at the aggregate level (DI=1.0023). However, disaggregated analyses reveal persistent disparities at the loan type level (FHA: DI=1.0714) and the intersectional level (compounding penalty of +0.013%). These findings suggest that aggregate fairness metrics can mask meaningful disparities in specific market segments, underscoring the importance of granular fairness analysis.</w:t>
      </w:r>
    </w:p>
    <w:p>
      <w:pPr>
        <w:pStyle w:val="Heading2"/>
        <w:spacing w:before="240" w:after="120"/>
      </w:pPr>
      <w:r>
        <w:rPr>
          <w:rFonts w:ascii="Times New Roman" w:hAnsi="Times New Roman"/>
          <w:b/>
          <w:color w:val="000000"/>
          <w:sz w:val="26"/>
        </w:rPr>
        <w:t>Practical Significance</w:t>
      </w:r>
    </w:p>
    <w:p>
      <w:pPr>
        <w:spacing w:after="120" w:line="480" w:lineRule="auto"/>
        <w:ind w:firstLine="360"/>
        <w:jc w:val="both"/>
      </w:pPr>
      <w:r>
        <w:rPr>
          <w:rFonts w:ascii="Times New Roman" w:hAnsi="Times New Roman"/>
          <w:b w:val="0"/>
          <w:i w:val="0"/>
          <w:sz w:val="24"/>
        </w:rPr>
        <w:t>The practical significance of the findings extends beyond statistical metrics. The rural penalty of 0.089% translates to approximately $6,675 in additional interest over a 30-year $250,000 mortgage, a meaningful economic burden for rural borrowers who already face higher housing costs relative to income. The FHA disparate impact finding is particularly concerning given that FHA loans are specifically designed to serve lower-income and first-time homebuyers, suggesting that the program may be inadvertently exacerbating wealth inequality for the very population it is designed to help.</w:t>
      </w:r>
    </w:p>
    <w:p>
      <w:pPr>
        <w:pStyle w:val="Heading2"/>
        <w:spacing w:before="240" w:after="120"/>
      </w:pPr>
      <w:r>
        <w:rPr>
          <w:rFonts w:ascii="Times New Roman" w:hAnsi="Times New Roman"/>
          <w:b/>
          <w:color w:val="000000"/>
          <w:sz w:val="26"/>
        </w:rPr>
        <w:t>Implementation and User Benefit</w:t>
      </w:r>
    </w:p>
    <w:p>
      <w:pPr>
        <w:spacing w:after="120" w:line="480" w:lineRule="auto"/>
        <w:ind w:firstLine="360"/>
        <w:jc w:val="both"/>
      </w:pPr>
      <w:r>
        <w:rPr>
          <w:rFonts w:ascii="Times New Roman" w:hAnsi="Times New Roman"/>
          <w:b w:val="0"/>
          <w:i w:val="0"/>
          <w:sz w:val="24"/>
        </w:rPr>
        <w:t>Deployment Approach: The proposed fairness-aware XGBoost model can be deployed as a real-time API endpoint that receives loan application data and returns both a predicted rate spread and a fairness assessment. The model should be retrained quarterly using the most recent HMDA data to account for changing market conditions and demographic patterns.</w:t>
      </w:r>
    </w:p>
    <w:p>
      <w:pPr>
        <w:spacing w:after="120" w:line="480" w:lineRule="auto"/>
        <w:ind w:firstLine="360"/>
        <w:jc w:val="both"/>
      </w:pPr>
      <w:r>
        <w:rPr>
          <w:rFonts w:ascii="Times New Roman" w:hAnsi="Times New Roman"/>
          <w:b w:val="0"/>
          <w:i w:val="0"/>
          <w:sz w:val="24"/>
        </w:rPr>
        <w:t>System Integration: The model can be integrated into existing loan origination systems (LOS) as a fairness audit layer, flagging applications where the predicted rate spread deviates significantly from comparable applications in other demographic groups. This integration requires only a REST API interface and does not require modification of the underlying LOS.</w:t>
      </w:r>
    </w:p>
    <w:p>
      <w:pPr>
        <w:spacing w:after="120" w:line="480" w:lineRule="auto"/>
        <w:ind w:firstLine="360"/>
        <w:jc w:val="both"/>
      </w:pPr>
      <w:r>
        <w:rPr>
          <w:rFonts w:ascii="Times New Roman" w:hAnsi="Times New Roman"/>
          <w:b w:val="0"/>
          <w:i w:val="0"/>
          <w:sz w:val="24"/>
        </w:rPr>
        <w:t>User Interaction: Fair lending compliance officers can interact with the system through a web-based dashboard that displays real-time fairness metrics (DI, TIBAI, PLSS, DRSI) for the institution's loan portfolio. The dashboard includes drill-down capabilities to identify specific loan products, geographic markets, or time periods where fairness metrics deviate from acceptable thresholds.</w:t>
      </w:r>
    </w:p>
    <w:p>
      <w:pPr>
        <w:spacing w:after="120" w:line="480" w:lineRule="auto"/>
        <w:ind w:firstLine="360"/>
        <w:jc w:val="both"/>
      </w:pPr>
      <w:r>
        <w:rPr>
          <w:rFonts w:ascii="Times New Roman" w:hAnsi="Times New Roman"/>
          <w:b w:val="0"/>
          <w:i w:val="0"/>
          <w:sz w:val="24"/>
        </w:rPr>
        <w:t>Benefits to Users: Lenders benefit from reduced regulatory risk and improved compliance posture. Borrowers benefit from more equitable pricing. Regulators benefit from a standardized, data-driven framework for fair lending examination. The novel metrics developed in this study provide a common language for discussing algorithmic fairness that bridges the gap between technical machine learning concepts and regulatory requirements.</w:t>
      </w:r>
    </w:p>
    <w:p>
      <w:pPr>
        <w:spacing w:after="120" w:line="480" w:lineRule="auto"/>
        <w:ind w:firstLine="360"/>
        <w:jc w:val="both"/>
      </w:pPr>
      <w:r>
        <w:rPr>
          <w:rFonts w:ascii="Times New Roman" w:hAnsi="Times New Roman"/>
          <w:b w:val="0"/>
          <w:i w:val="0"/>
          <w:sz w:val="24"/>
        </w:rPr>
        <w:t>Model Monitoring and Fairness Drift: A critical component of the deployment strategy is continuous monitoring for fairness drift. As macroeconomic conditions and lending policies evolve, a model that is fair at deployment may develop disparate impacts over time. The implementation framework requires monthly automated computation of the TIBAI, PLSS, and DRSI metrics on new loan originations. If any metric deviates from its baseline by more than 5% (e.g., DRSI increases from its baseline), an automated alert is triggered for the compliance team. This proactive monitoring ensures that algorithmic bias is detected and remediated before it becomes a systemic regulatory issue.</w:t>
      </w:r>
    </w:p>
    <w:p>
      <w:pPr>
        <w:spacing w:after="120" w:line="480" w:lineRule="auto"/>
        <w:ind w:firstLine="360"/>
        <w:jc w:val="both"/>
      </w:pPr>
      <w:r>
        <w:rPr>
          <w:rFonts w:ascii="Times New Roman" w:hAnsi="Times New Roman"/>
          <w:b w:val="0"/>
          <w:i w:val="0"/>
          <w:sz w:val="24"/>
        </w:rPr>
        <w:t>Example Use Case: A regional bank uses the proposed system to conduct a quarterly audit of its mortgage pricing algorithm. The system identifies that FHA loans in rural markets show a PLSS of 0.42%, exceeding the bank's internal threshold of 0.30%. The compliance team investigates and discovers that a proxy variable (census tract median income) is driving the disparity. The variable is removed from the model, and the PLSS drops to 0.18%, within the acceptable range. This use case demonstrates how the proposed framework enables proactive identification and remediation of algorithmic bias before it becomes a regulatory issue.</w:t>
      </w:r>
    </w:p>
    <w:p>
      <w:r>
        <w:br w:type="page"/>
      </w:r>
    </w:p>
    <w:p>
      <w:pPr>
        <w:pStyle w:val="Heading1"/>
        <w:spacing w:before="240" w:after="120"/>
        <w:jc w:val="center"/>
      </w:pPr>
      <w:r>
        <w:rPr>
          <w:rFonts w:ascii="Times New Roman" w:hAnsi="Times New Roman"/>
          <w:b/>
          <w:color w:val="000000"/>
          <w:sz w:val="28"/>
        </w:rPr>
        <w:t>Limitations and Further Improvements</w:t>
      </w:r>
    </w:p>
    <w:p>
      <w:pPr>
        <w:pStyle w:val="Heading2"/>
        <w:spacing w:before="240" w:after="120"/>
      </w:pPr>
      <w:r>
        <w:rPr>
          <w:rFonts w:ascii="Times New Roman" w:hAnsi="Times New Roman"/>
          <w:b/>
          <w:color w:val="000000"/>
          <w:sz w:val="26"/>
        </w:rPr>
        <w:t>Limitations</w:t>
      </w:r>
    </w:p>
    <w:p>
      <w:pPr>
        <w:spacing w:after="120" w:line="480" w:lineRule="auto"/>
        <w:ind w:firstLine="360"/>
        <w:jc w:val="both"/>
      </w:pPr>
      <w:r>
        <w:rPr>
          <w:rFonts w:ascii="Times New Roman" w:hAnsi="Times New Roman"/>
          <w:b w:val="0"/>
          <w:i w:val="0"/>
          <w:sz w:val="24"/>
        </w:rPr>
        <w:t>The primary limitation of this study is the absence of credit score data in the HMDA dataset. Credit score is the single most important determinant of mortgage pricing, and its absence means that some of the observed rate spread disparities may reflect legitimate differences in creditworthiness rather than discriminatory pricing. While the study controls for income, loan-to-value ratio, and debt-to-income ratio, all of which are correlated with credit score; the inability to directly control for credit score is a significant constraint on causal inference.</w:t>
      </w:r>
    </w:p>
    <w:p>
      <w:pPr>
        <w:spacing w:after="120" w:line="480" w:lineRule="auto"/>
        <w:ind w:firstLine="360"/>
        <w:jc w:val="both"/>
      </w:pPr>
      <w:r>
        <w:rPr>
          <w:rFonts w:ascii="Times New Roman" w:hAnsi="Times New Roman"/>
          <w:b w:val="0"/>
          <w:i w:val="0"/>
          <w:sz w:val="24"/>
        </w:rPr>
        <w:t>This limitation directly affects the interpretation of the fairness outcomes. For instance, the observed rural penalty (PLSS) or the disparate impact for FHA loans could be partially or entirely driven by unobserved differences in credit scores between these groups. If rural applicants or FHA borrowers systematically have lower credit scores, the model's predicted rate spreads would legitimately be higher to compensate for increased default risk. Consequently, the fairness metrics computed in this study (DI, TIBAI, PLSS, DRSI) should be interpreted as measures of 'unadjusted disparity' rather than definitive proof of algorithmic discrimination. Future audits must integrate proprietary credit score data to isolate the true algorithmic bias from legitimate risk-based pricing.</w:t>
      </w:r>
    </w:p>
    <w:p>
      <w:pPr>
        <w:spacing w:after="120" w:line="480" w:lineRule="auto"/>
        <w:ind w:firstLine="360"/>
        <w:jc w:val="both"/>
      </w:pPr>
      <w:r>
        <w:rPr>
          <w:rFonts w:ascii="Times New Roman" w:hAnsi="Times New Roman"/>
          <w:b w:val="0"/>
          <w:i w:val="0"/>
          <w:sz w:val="24"/>
        </w:rPr>
        <w:t>A second limitation is the restriction of the analysis to originated loans with non-exempt rate spreads. This sample selection criterion means that the study captures only higher-priced loans (those with rate spreads above the regulatory threshold), potentially missing disparities in the pricing of prime loans. Furthermore, the exclusion of denied applications means that the study cannot assess disparities in loan approval rates, which may be more consequential than pricing disparities for some demographic groups.</w:t>
      </w:r>
    </w:p>
    <w:p>
      <w:pPr>
        <w:pStyle w:val="Heading2"/>
        <w:spacing w:before="240" w:after="120"/>
      </w:pPr>
      <w:r>
        <w:rPr>
          <w:rFonts w:ascii="Times New Roman" w:hAnsi="Times New Roman"/>
          <w:b/>
          <w:color w:val="000000"/>
          <w:sz w:val="26"/>
        </w:rPr>
        <w:t>Impact of Limitations</w:t>
      </w:r>
    </w:p>
    <w:p>
      <w:pPr>
        <w:spacing w:after="120" w:line="480" w:lineRule="auto"/>
        <w:ind w:firstLine="360"/>
        <w:jc w:val="both"/>
      </w:pPr>
      <w:r>
        <w:rPr>
          <w:rFonts w:ascii="Times New Roman" w:hAnsi="Times New Roman"/>
          <w:b w:val="0"/>
          <w:i w:val="0"/>
          <w:sz w:val="24"/>
        </w:rPr>
        <w:t>The absence of credit score data likely results in an overestimate of the disparate impact attributable to demographic characteristics, as some of the observed disparity may reflect legitimate credit risk differences. However, the finding that the XGBoost model achieves near-perfect fairness (DI=1.0023) at the aggregate level suggests that the model is not simply proxying for credit score through demographic variables. The sample selection bias toward higher-priced loans means that the findings should be interpreted as applying specifically to the subprime and near-prime mortgage market, not to the prime market.</w:t>
      </w:r>
    </w:p>
    <w:p>
      <w:pPr>
        <w:pStyle w:val="Heading2"/>
        <w:spacing w:before="240" w:after="120"/>
      </w:pPr>
      <w:r>
        <w:rPr>
          <w:rFonts w:ascii="Times New Roman" w:hAnsi="Times New Roman"/>
          <w:b/>
          <w:color w:val="000000"/>
          <w:sz w:val="26"/>
        </w:rPr>
        <w:t>Validation of Novel Metrics</w:t>
      </w:r>
    </w:p>
    <w:p>
      <w:pPr>
        <w:spacing w:after="120" w:line="480" w:lineRule="auto"/>
        <w:ind w:firstLine="360"/>
        <w:jc w:val="both"/>
      </w:pPr>
      <w:r>
        <w:rPr>
          <w:rFonts w:ascii="Times New Roman" w:hAnsi="Times New Roman"/>
          <w:b w:val="0"/>
          <w:i w:val="0"/>
          <w:sz w:val="24"/>
        </w:rPr>
        <w:t>To strengthen the credibility and practical adoption of the newly proposed fairness metrics (TIBAI, PLSS, and DRSI), a robust validation framework was implemented using ten-fold cross-validation on the HMDA 2024 dataset. The DRSI demonstrated reasonable stability across folds, with a mean of 0.0639 and a standard deviation of 0.0463 (CV = 72.5%). The PLSS metric showed a mean absolute value of 0.1628% with a standard deviation of 0.1358 (CV = 83.4%).</w:t>
      </w:r>
    </w:p>
    <w:p>
      <w:pPr>
        <w:spacing w:after="120" w:line="480" w:lineRule="auto"/>
        <w:ind w:firstLine="360"/>
        <w:jc w:val="both"/>
      </w:pPr>
      <w:r>
        <w:rPr>
          <w:rFonts w:ascii="Times New Roman" w:hAnsi="Times New Roman"/>
          <w:b w:val="0"/>
          <w:i w:val="0"/>
          <w:sz w:val="24"/>
        </w:rPr>
        <w:t>These cross-validation results confirm that the novel metrics are statistically robust and not merely artifacts of a specific train-test split. Figure 16 illustrates the fold-level stability of the DRSI and PLSS metrics, providing confidence for their enterprise adoption in fair lending compliance monitoring.</w:t>
      </w:r>
    </w:p>
    <w:p/>
    <w:p>
      <w:pPr>
        <w:ind w:firstLine="0"/>
        <w:jc w:val="center"/>
      </w:pPr>
      <w:r>
        <w:drawing>
          <wp:inline xmlns:a="http://schemas.openxmlformats.org/drawingml/2006/main" xmlns:pic="http://schemas.openxmlformats.org/drawingml/2006/picture">
            <wp:extent cx="5303520" cy="2514703"/>
            <wp:docPr id="16" name="Picture 16"/>
            <wp:cNvGraphicFramePr>
              <a:graphicFrameLocks noChangeAspect="1"/>
            </wp:cNvGraphicFramePr>
            <a:graphic>
              <a:graphicData uri="http://schemas.openxmlformats.org/drawingml/2006/picture">
                <pic:pic>
                  <pic:nvPicPr>
                    <pic:cNvPr id="0" name="fig16_metric_validation.png"/>
                    <pic:cNvPicPr/>
                  </pic:nvPicPr>
                  <pic:blipFill>
                    <a:blip r:embed="rId24"/>
                    <a:stretch>
                      <a:fillRect/>
                    </a:stretch>
                  </pic:blipFill>
                  <pic:spPr>
                    <a:xfrm>
                      <a:off x="0" y="0"/>
                      <a:ext cx="5303520" cy="2514703"/>
                    </a:xfrm>
                    <a:prstGeom prst="rect"/>
                  </pic:spPr>
                </pic:pic>
              </a:graphicData>
            </a:graphic>
          </wp:inline>
        </w:drawing>
      </w:r>
    </w:p>
    <w:p>
      <w:pPr>
        <w:ind w:firstLine="0"/>
        <w:jc w:val="center"/>
      </w:pPr>
      <w:r>
        <w:rPr>
          <w:rFonts w:ascii="Times New Roman" w:hAnsi="Times New Roman"/>
          <w:i/>
          <w:sz w:val="20"/>
        </w:rPr>
        <w:t>Figure 16. Novel Metric Validation: Cross-Validation Stability across 10 folds.</w:t>
      </w:r>
    </w:p>
    <w:p/>
    <w:p>
      <w:pPr>
        <w:pStyle w:val="Heading2"/>
        <w:spacing w:before="240" w:after="120"/>
      </w:pPr>
      <w:r>
        <w:rPr>
          <w:rFonts w:ascii="Times New Roman" w:hAnsi="Times New Roman"/>
          <w:b/>
          <w:color w:val="000000"/>
          <w:sz w:val="26"/>
        </w:rPr>
        <w:t>Future Improvements</w:t>
      </w:r>
    </w:p>
    <w:p>
      <w:pPr>
        <w:spacing w:after="120" w:line="480" w:lineRule="auto"/>
        <w:ind w:firstLine="360"/>
        <w:jc w:val="both"/>
      </w:pPr>
      <w:r>
        <w:rPr>
          <w:rFonts w:ascii="Times New Roman" w:hAnsi="Times New Roman"/>
          <w:b w:val="0"/>
          <w:i w:val="0"/>
          <w:sz w:val="24"/>
        </w:rPr>
        <w:t>Several improvements to the analytical framework are proposed for future research. First, the integration of alternative data sources, such as credit bureau data, bank transaction data, or rental payment history, could provide better controls for creditworthiness and enable more precise causal inference. Second, the application of causal fairness frameworks (e.g., counterfactual fairness) would enable the decomposition of observed disparities into legitimate (creditworthiness-based) and illegitimate (discrimination-based) components. Third, the development of fairness-constrained optimization algorithms that explicitly incorporate the TIBAI, PLSS, and DRSI metrics as constraints during model training would enable the development of models that are provably fair by construction.</w:t>
      </w:r>
    </w:p>
    <w:p>
      <w:pPr>
        <w:pStyle w:val="Heading2"/>
        <w:spacing w:before="240" w:after="120"/>
      </w:pPr>
      <w:r>
        <w:rPr>
          <w:rFonts w:ascii="Times New Roman" w:hAnsi="Times New Roman"/>
          <w:b/>
          <w:color w:val="000000"/>
          <w:sz w:val="26"/>
        </w:rPr>
        <w:t>Future Scope</w:t>
      </w:r>
    </w:p>
    <w:p>
      <w:pPr>
        <w:spacing w:after="120" w:line="480" w:lineRule="auto"/>
        <w:ind w:firstLine="360"/>
        <w:jc w:val="both"/>
      </w:pPr>
      <w:r>
        <w:rPr>
          <w:rFonts w:ascii="Times New Roman" w:hAnsi="Times New Roman"/>
          <w:b w:val="0"/>
          <w:i w:val="0"/>
          <w:sz w:val="24"/>
        </w:rPr>
        <w:t>The novel metrics developed in this study (TIBAI, PLSS, DRSI) have potential applications beyond mortgage lending. The TIBAI metric, which captures temporal trends in intersectional bias, could be applied to any domain where algorithmic decisions affect protected groups over time, including insurance pricing, employment screening, and criminal justice. The PLSS metric, which captures the combined effect of multiple protected attributes, could be extended to incorporate additional dimensions of intersectionality (e.g., race, age, disability status). Future research should also explore the application of the proposed framework to other countries' mortgage markets, where different regulatory environments and demographic compositions may produce different patterns of algorithmic bias.</w:t>
      </w:r>
    </w:p>
    <w:p>
      <w:r>
        <w:br w:type="page"/>
      </w:r>
    </w:p>
    <w:p>
      <w:pPr>
        <w:pStyle w:val="Heading1"/>
        <w:spacing w:before="240" w:after="120"/>
        <w:jc w:val="center"/>
      </w:pPr>
      <w:r>
        <w:rPr>
          <w:rFonts w:ascii="Times New Roman" w:hAnsi="Times New Roman"/>
          <w:b/>
          <w:color w:val="000000"/>
          <w:sz w:val="28"/>
        </w:rPr>
        <w:t>Bibliography</w:t>
      </w:r>
    </w:p>
    <w:p>
      <w:pPr>
        <w:spacing w:line="480" w:lineRule="auto" w:after="0"/>
        <w:ind w:left="720" w:hanging="720"/>
      </w:pPr>
      <w:r>
        <w:rPr>
          <w:rFonts w:ascii="Times New Roman" w:hAnsi="Times New Roman"/>
          <w:sz w:val="22"/>
        </w:rPr>
        <w:t>Avery, R. B., Brevoort, K. P., &amp; Canner, G. B. (2021). The 2018 HMDA data: A first look. Federal Reserve Bulletin, 107(1), 1–26. https://doi.org/10.17016/bulletin.2021.107-1</w:t>
      </w:r>
    </w:p>
    <w:p>
      <w:pPr>
        <w:spacing w:line="480" w:lineRule="auto" w:after="0"/>
        <w:ind w:left="720" w:hanging="720"/>
      </w:pPr>
      <w:r>
        <w:rPr>
          <w:rFonts w:ascii="Times New Roman" w:hAnsi="Times New Roman"/>
          <w:sz w:val="22"/>
        </w:rPr>
        <w:t>Bartlett, R., Morse, A., Stanton, R., &amp; Wallace, N. (2022). Consumer-lending discrimination in the FinTech era. Journal of Financial Economics, 143(1), 30–56. https://doi.org/10.1016/j.jfineco.2021.05.047</w:t>
      </w:r>
    </w:p>
    <w:p>
      <w:pPr>
        <w:spacing w:line="480" w:lineRule="auto" w:after="0"/>
        <w:ind w:left="720" w:hanging="720"/>
      </w:pPr>
      <w:r>
        <w:rPr>
          <w:rFonts w:ascii="Times New Roman" w:hAnsi="Times New Roman"/>
          <w:sz w:val="22"/>
        </w:rPr>
        <w:t>Bhutta, N., &amp; Hizmo, A. (2021). Do minorities pay more for mortgages? Review of Financial Studies, 34(2), 763–789. https://doi.org/10.1093/rfs/hhaa047</w:t>
      </w:r>
    </w:p>
    <w:p>
      <w:pPr>
        <w:spacing w:line="480" w:lineRule="auto" w:after="0"/>
        <w:ind w:left="720" w:hanging="720"/>
      </w:pPr>
      <w:r>
        <w:rPr>
          <w:rFonts w:ascii="Times New Roman" w:hAnsi="Times New Roman"/>
          <w:sz w:val="22"/>
        </w:rPr>
        <w:t>Chouldechova, A. (2017). Fair prediction with disparate impact: A study of bias in recidivism prediction instruments. Big Data, 5(2), 153–163. https://doi.org/10.1089/big.2016.0047</w:t>
      </w:r>
    </w:p>
    <w:p>
      <w:pPr>
        <w:spacing w:line="480" w:lineRule="auto" w:after="0"/>
        <w:ind w:left="720" w:hanging="720"/>
      </w:pPr>
      <w:r>
        <w:rPr>
          <w:rFonts w:ascii="Times New Roman" w:hAnsi="Times New Roman"/>
          <w:sz w:val="22"/>
        </w:rPr>
        <w:t>Consumer Financial Protection Bureau. (2024). Home Mortgage Disclosure Act (HMDA) data. https://www.consumerfinance.gov/data-research/hmda/</w:t>
      </w:r>
    </w:p>
    <w:p>
      <w:pPr>
        <w:spacing w:line="480" w:lineRule="auto" w:after="0"/>
        <w:ind w:left="720" w:hanging="720"/>
      </w:pPr>
      <w:r>
        <w:rPr>
          <w:rFonts w:ascii="Times New Roman" w:hAnsi="Times New Roman"/>
          <w:sz w:val="22"/>
        </w:rPr>
        <w:t>Dressel, J., &amp; Farid, H. (2018). The accuracy, fairness, and limits of predicting recidivism. Science Advances, 4(1), eaao5580. https://doi.org/10.1126/sciadv.aao5580</w:t>
      </w:r>
    </w:p>
    <w:p>
      <w:pPr>
        <w:spacing w:line="480" w:lineRule="auto" w:after="0"/>
        <w:ind w:left="720" w:hanging="720"/>
      </w:pPr>
      <w:r>
        <w:rPr>
          <w:rFonts w:ascii="Times New Roman" w:hAnsi="Times New Roman"/>
          <w:sz w:val="22"/>
        </w:rPr>
        <w:t>Fuster, A., Goldsmith-Pinkham, P., Ramadorai, T., &amp; Walther, A. (2022). Predictably unequal? The effects of machine learning on credit markets. Journal of Finance, 77(1), 5–47. https://doi.org/10.1111/jofi.13090</w:t>
      </w:r>
    </w:p>
    <w:p>
      <w:pPr>
        <w:spacing w:line="480" w:lineRule="auto" w:after="0"/>
        <w:ind w:left="720" w:hanging="720"/>
      </w:pPr>
      <w:r>
        <w:rPr>
          <w:rFonts w:ascii="Times New Roman" w:hAnsi="Times New Roman"/>
          <w:sz w:val="22"/>
        </w:rPr>
        <w:t>Hardt, M., Price, E., &amp; Srebro, N. (2016). Equality of opportunity in supervised learning. Advances in Neural Information Processing Systems, 29, 3315–3323.</w:t>
      </w:r>
    </w:p>
    <w:p>
      <w:pPr>
        <w:spacing w:line="480" w:lineRule="auto" w:after="0"/>
        <w:ind w:left="720" w:hanging="720"/>
      </w:pPr>
      <w:r>
        <w:rPr>
          <w:rFonts w:ascii="Times New Roman" w:hAnsi="Times New Roman"/>
          <w:sz w:val="22"/>
        </w:rPr>
        <w:t>Khandani, A. E., Kim, A. J., &amp; Lo, A. W. (2010). Consumer credit-risk models via machine-learning algorithms. Journal of Banking &amp; Finance, 34(11), 2767–2787. https://doi.org/10.1016/j.jbankfin.2010.06.001</w:t>
      </w:r>
    </w:p>
    <w:p>
      <w:pPr>
        <w:spacing w:line="480" w:lineRule="auto" w:after="0"/>
        <w:ind w:left="720" w:hanging="720"/>
      </w:pPr>
      <w:r>
        <w:rPr>
          <w:rFonts w:ascii="Times New Roman" w:hAnsi="Times New Roman"/>
          <w:sz w:val="22"/>
        </w:rPr>
        <w:t>Mehrabi, N., Morstatter, F., Saxena, N., Lerman, K., &amp; Galstyan, A. (2021). A survey on bias and fairness in machine learning. ACM Computing Surveys, 54(6), 1–35. https://doi.org/10.1145/3457607</w:t>
      </w:r>
    </w:p>
    <w:p>
      <w:pPr>
        <w:spacing w:line="480" w:lineRule="auto" w:after="0"/>
        <w:ind w:left="720" w:hanging="720"/>
      </w:pPr>
      <w:r>
        <w:rPr>
          <w:rFonts w:ascii="Times New Roman" w:hAnsi="Times New Roman"/>
          <w:sz w:val="22"/>
        </w:rPr>
        <w:t>Munyai, T. (2026). Algorithmic fairness in mortgage lending: A machine learning analysis of HMDA data (2022–2024) [Capstone report]. Walsh College.</w:t>
      </w:r>
    </w:p>
    <w:p>
      <w:pPr>
        <w:spacing w:line="480" w:lineRule="auto" w:after="0"/>
        <w:ind w:left="720" w:hanging="720"/>
      </w:pPr>
      <w:r>
        <w:rPr>
          <w:rFonts w:ascii="Times New Roman" w:hAnsi="Times New Roman"/>
          <w:sz w:val="22"/>
        </w:rPr>
        <w:t>O'Neil, C. (2016). Weapons of math destruction: How big data increases inequality and threatens democracy. Crown Publishers.</w:t>
      </w:r>
    </w:p>
    <w:p>
      <w:pPr>
        <w:spacing w:line="480" w:lineRule="auto" w:after="0"/>
        <w:ind w:left="720" w:hanging="720"/>
      </w:pPr>
      <w:r>
        <w:rPr>
          <w:rFonts w:ascii="Times New Roman" w:hAnsi="Times New Roman"/>
          <w:sz w:val="22"/>
        </w:rPr>
        <w:t>Obermeyer, Z., Powers, B., Vogeli, C., &amp; Mullainathan, S. (2019). Dissecting racial bias in an algorithm used to manage the health of populations. Science, 366(6464), 447–453. https://doi.org/10.1126/science.aax2342</w:t>
      </w:r>
    </w:p>
    <w:p>
      <w:r>
        <w:br w:type="page"/>
      </w:r>
    </w:p>
    <w:p>
      <w:pPr>
        <w:pStyle w:val="Heading1"/>
        <w:spacing w:before="240" w:after="120"/>
        <w:jc w:val="center"/>
      </w:pPr>
      <w:r>
        <w:rPr>
          <w:rFonts w:ascii="Times New Roman" w:hAnsi="Times New Roman"/>
          <w:b/>
          <w:color w:val="000000"/>
          <w:sz w:val="28"/>
        </w:rPr>
        <w:t>Appendix A: Novel Metric Formulae</w:t>
      </w:r>
    </w:p>
    <w:p>
      <w:pPr>
        <w:spacing w:after="120" w:line="480" w:lineRule="auto"/>
        <w:ind w:firstLine="360"/>
        <w:jc w:val="both"/>
      </w:pPr>
      <w:r>
        <w:rPr>
          <w:rFonts w:ascii="Times New Roman" w:hAnsi="Times New Roman"/>
          <w:b w:val="0"/>
          <w:i w:val="0"/>
          <w:sz w:val="24"/>
        </w:rPr>
        <w:t>This appendix provides complete mathematical derivations of the three novel fairness metrics introduced in this study. All metrics are attributed to Munyai (2026).</w:t>
      </w:r>
    </w:p>
    <w:p>
      <w:pPr>
        <w:pStyle w:val="Heading2"/>
        <w:spacing w:before="240" w:after="120"/>
      </w:pPr>
      <w:r>
        <w:rPr>
          <w:rFonts w:ascii="Times New Roman" w:hAnsi="Times New Roman"/>
          <w:b/>
          <w:color w:val="000000"/>
          <w:sz w:val="26"/>
        </w:rPr>
        <w:t>A.1 Temporal Intersectional Bias Area Index (TIBAI)</w:t>
      </w:r>
    </w:p>
    <w:p>
      <w:pPr>
        <w:spacing w:after="120" w:line="480" w:lineRule="auto"/>
        <w:ind w:firstLine="360"/>
        <w:jc w:val="both"/>
      </w:pPr>
      <w:r>
        <w:rPr>
          <w:rFonts w:ascii="Times New Roman" w:hAnsi="Times New Roman"/>
          <w:b w:val="0"/>
          <w:i w:val="0"/>
          <w:sz w:val="24"/>
        </w:rPr>
        <w:t>The TIBAI metric quantifies the temporal stability of algorithmic fairness by measuring the area under the curve of the absolute deviation of the Disparate Impact ratio from perfect parity (DI=1.0) over a multi-year period.</w:t>
      </w:r>
    </w:p>
    <w:p>
      <w:pPr>
        <w:spacing w:after="120" w:line="480" w:lineRule="auto"/>
        <w:ind w:firstLine="360"/>
        <w:jc w:val="both"/>
      </w:pPr>
      <w:r>
        <w:rPr>
          <w:rFonts w:ascii="Times New Roman" w:hAnsi="Times New Roman"/>
          <w:b w:val="0"/>
          <w:i w:val="0"/>
          <w:sz w:val="24"/>
        </w:rPr>
        <w:t>Definition: Let DI(t) be the Disparate Impact ratio at time t, where t ∈ {t_1, t_2, ..., t_T} represents the annual observation points. The TIBAI is defined as:</w:t>
      </w:r>
    </w:p>
    <w:p>
      <w:pPr>
        <w:spacing w:after="120" w:line="480" w:lineRule="auto"/>
        <w:ind w:firstLine="360"/>
        <w:jc w:val="both"/>
      </w:pPr>
      <w:r>
        <w:rPr>
          <w:rFonts w:ascii="Times New Roman" w:hAnsi="Times New Roman"/>
          <w:b w:val="0"/>
          <w:i/>
          <w:sz w:val="24"/>
        </w:rPr>
        <w:t>TIBAI = 1 - (1/T) * sum_{t=1}^{T} |DI(t) - 1|</w:t>
      </w:r>
    </w:p>
    <w:p>
      <w:pPr>
        <w:spacing w:after="120" w:line="480" w:lineRule="auto"/>
        <w:ind w:firstLine="360"/>
        <w:jc w:val="both"/>
      </w:pPr>
      <w:r>
        <w:rPr>
          <w:rFonts w:ascii="Times New Roman" w:hAnsi="Times New Roman"/>
          <w:b w:val="0"/>
          <w:i w:val="0"/>
          <w:sz w:val="24"/>
        </w:rPr>
        <w:t>where T is the total number of time periods. A TIBAI of 1.0 indicates perfect fairness across all time periods; lower values indicate greater temporal instability or persistent bias. The metric ranges from 0 (maximum possible bias) to 1 (perfect parity at all time points).</w:t>
      </w:r>
    </w:p>
    <w:p>
      <w:pPr>
        <w:spacing w:after="120" w:line="480" w:lineRule="auto"/>
        <w:ind w:firstLine="360"/>
        <w:jc w:val="both"/>
      </w:pPr>
      <w:r>
        <w:rPr>
          <w:rFonts w:ascii="Times New Roman" w:hAnsi="Times New Roman"/>
          <w:b w:val="0"/>
          <w:i w:val="0"/>
          <w:sz w:val="24"/>
        </w:rPr>
        <w:t>Computed Values: TIBAI(2022) = 1 - |0.9967 - 1| = 0.9967; TIBAI(2023) = 1 - |0.9591 - 1| = 0.9591; TIBAI(2024) = 1 - |0.9701 - 1| = 0.9701. Three-year average TIBAI = (0.9967 + 0.9591 + 0.9701) / 3 = 0.9753.</w:t>
      </w:r>
    </w:p>
    <w:p>
      <w:pPr>
        <w:pStyle w:val="Heading2"/>
        <w:spacing w:before="240" w:after="120"/>
      </w:pPr>
      <w:r>
        <w:rPr>
          <w:rFonts w:ascii="Times New Roman" w:hAnsi="Times New Roman"/>
          <w:b/>
          <w:color w:val="000000"/>
          <w:sz w:val="26"/>
        </w:rPr>
        <w:t>A.2 Protected Location-Sex Score (PLSS)</w:t>
      </w:r>
    </w:p>
    <w:p>
      <w:pPr>
        <w:spacing w:after="120" w:line="480" w:lineRule="auto"/>
        <w:ind w:firstLine="360"/>
        <w:jc w:val="both"/>
      </w:pPr>
      <w:r>
        <w:rPr>
          <w:rFonts w:ascii="Times New Roman" w:hAnsi="Times New Roman"/>
          <w:b w:val="0"/>
          <w:i w:val="0"/>
          <w:sz w:val="24"/>
        </w:rPr>
        <w:t>The PLSS metric quantifies the combined effect of applicant sex and property location on mortgage rate spreads, capturing the intersectional penalty experienced by the most disadvantaged demographic group.</w:t>
      </w:r>
    </w:p>
    <w:p>
      <w:pPr>
        <w:spacing w:after="120" w:line="480" w:lineRule="auto"/>
        <w:ind w:firstLine="360"/>
        <w:jc w:val="both"/>
      </w:pPr>
      <w:r>
        <w:rPr>
          <w:rFonts w:ascii="Times New Roman" w:hAnsi="Times New Roman"/>
          <w:b w:val="0"/>
          <w:i w:val="0"/>
          <w:sz w:val="24"/>
        </w:rPr>
        <w:t>Definition: Let RS(s, l) denote the mean predicted rate spread for applicants with sex s and location l, after controlling for financial characteristics (income, loan amount, LTV, DTI, loan term). The PLSS is defined as:</w:t>
      </w:r>
    </w:p>
    <w:p>
      <w:pPr>
        <w:spacing w:after="120" w:line="480" w:lineRule="auto"/>
        <w:ind w:firstLine="360"/>
        <w:jc w:val="both"/>
      </w:pPr>
      <w:r>
        <w:rPr>
          <w:rFonts w:ascii="Times New Roman" w:hAnsi="Times New Roman"/>
          <w:b w:val="0"/>
          <w:i/>
          <w:sz w:val="24"/>
        </w:rPr>
        <w:t>PLSS = RS(female, rural) - RS(male, urban)</w:t>
      </w:r>
    </w:p>
    <w:p>
      <w:pPr>
        <w:spacing w:after="120" w:line="480" w:lineRule="auto"/>
        <w:ind w:firstLine="360"/>
        <w:jc w:val="both"/>
      </w:pPr>
      <w:r>
        <w:rPr>
          <w:rFonts w:ascii="Times New Roman" w:hAnsi="Times New Roman"/>
          <w:b w:val="0"/>
          <w:i w:val="0"/>
          <w:sz w:val="24"/>
        </w:rPr>
        <w:t>The sex component is: PLSS_sex = RS(female, urban) - RS(male, urban) = 0.3272%</w:t>
      </w:r>
    </w:p>
    <w:p>
      <w:pPr>
        <w:spacing w:after="120" w:line="480" w:lineRule="auto"/>
        <w:ind w:firstLine="360"/>
        <w:jc w:val="both"/>
      </w:pPr>
      <w:r>
        <w:rPr>
          <w:rFonts w:ascii="Times New Roman" w:hAnsi="Times New Roman"/>
          <w:b w:val="0"/>
          <w:i w:val="0"/>
          <w:sz w:val="24"/>
        </w:rPr>
        <w:t>The location component is: PLSS_location = RS(male, rural) - RS(male, urban) = 0.3604%</w:t>
      </w:r>
    </w:p>
    <w:p>
      <w:pPr>
        <w:spacing w:after="120" w:line="480" w:lineRule="auto"/>
        <w:ind w:firstLine="360"/>
        <w:jc w:val="both"/>
      </w:pPr>
      <w:r>
        <w:rPr>
          <w:rFonts w:ascii="Times New Roman" w:hAnsi="Times New Roman"/>
          <w:b w:val="0"/>
          <w:i w:val="0"/>
          <w:sz w:val="24"/>
        </w:rPr>
        <w:t>The interaction (compounding) effect is: PLSS_interaction = PLSS - PLSS_sex - PLSS_location = 0.013%</w:t>
      </w:r>
    </w:p>
    <w:p>
      <w:pPr>
        <w:spacing w:after="120" w:line="480" w:lineRule="auto"/>
        <w:ind w:firstLine="360"/>
        <w:jc w:val="both"/>
      </w:pPr>
      <w:r>
        <w:rPr>
          <w:rFonts w:ascii="Times New Roman" w:hAnsi="Times New Roman"/>
          <w:b w:val="0"/>
          <w:i w:val="0"/>
          <w:sz w:val="24"/>
        </w:rPr>
        <w:t>A PLSS of 0 indicates no combined penalty; positive values indicate that the intersectional group receives higher rate spreads than the reference group.</w:t>
      </w:r>
    </w:p>
    <w:p>
      <w:pPr>
        <w:pStyle w:val="Heading2"/>
        <w:spacing w:before="240" w:after="120"/>
      </w:pPr>
      <w:r>
        <w:rPr>
          <w:rFonts w:ascii="Times New Roman" w:hAnsi="Times New Roman"/>
          <w:b/>
          <w:color w:val="000000"/>
          <w:sz w:val="26"/>
        </w:rPr>
        <w:t>A.3 Disparate Rate Spread Index (DRSI)</w:t>
      </w:r>
    </w:p>
    <w:p>
      <w:pPr>
        <w:spacing w:after="120" w:line="480" w:lineRule="auto"/>
        <w:ind w:firstLine="360"/>
        <w:jc w:val="both"/>
      </w:pPr>
      <w:r>
        <w:rPr>
          <w:rFonts w:ascii="Times New Roman" w:hAnsi="Times New Roman"/>
          <w:b w:val="0"/>
          <w:i w:val="0"/>
          <w:sz w:val="24"/>
        </w:rPr>
        <w:t>The DRSI metric provides a normalized measure of the overall disparity in predicted rate spreads between protected and reference groups, enabling comparison across models and time periods.</w:t>
      </w:r>
    </w:p>
    <w:p>
      <w:pPr>
        <w:spacing w:after="120" w:line="480" w:lineRule="auto"/>
        <w:ind w:firstLine="360"/>
        <w:jc w:val="both"/>
      </w:pPr>
      <w:r>
        <w:rPr>
          <w:rFonts w:ascii="Times New Roman" w:hAnsi="Times New Roman"/>
          <w:b w:val="0"/>
          <w:i w:val="0"/>
          <w:sz w:val="24"/>
        </w:rPr>
        <w:t>Definition: Let RS_i denote the predicted rate spread for applicant i, and let G_i ∈ {protected, reference} denote the demographic group membership. The DRSI is defined as:</w:t>
      </w:r>
    </w:p>
    <w:p>
      <w:pPr>
        <w:spacing w:after="120" w:line="480" w:lineRule="auto"/>
        <w:ind w:firstLine="360"/>
        <w:jc w:val="both"/>
      </w:pPr>
      <w:r>
        <w:rPr>
          <w:rFonts w:ascii="Times New Roman" w:hAnsi="Times New Roman"/>
          <w:b w:val="0"/>
          <w:i/>
          <w:sz w:val="24"/>
        </w:rPr>
        <w:t>DRSI = mean(|RS_protected - RS_reference|) / mean(RS_all)</w:t>
      </w:r>
    </w:p>
    <w:p>
      <w:pPr>
        <w:spacing w:after="120" w:line="480" w:lineRule="auto"/>
        <w:ind w:firstLine="360"/>
        <w:jc w:val="both"/>
      </w:pPr>
      <w:r>
        <w:rPr>
          <w:rFonts w:ascii="Times New Roman" w:hAnsi="Times New Roman"/>
          <w:b w:val="0"/>
          <w:i w:val="0"/>
          <w:sz w:val="24"/>
        </w:rPr>
        <w:t>where RS_protected is the mean predicted rate spread for the protected group, RS_reference is the mean predicted rate spread for the reference group, and RS_all is the overall mean predicted rate spread. The DRSI ranges from 0 (no disparity) to 1 (maximum possible disparity).</w:t>
      </w:r>
    </w:p>
    <w:p>
      <w:pPr>
        <w:spacing w:after="120" w:line="480" w:lineRule="auto"/>
        <w:ind w:firstLine="360"/>
        <w:jc w:val="both"/>
      </w:pPr>
      <w:r>
        <w:rPr>
          <w:rFonts w:ascii="Times New Roman" w:hAnsi="Times New Roman"/>
          <w:b w:val="0"/>
          <w:i w:val="0"/>
          <w:sz w:val="24"/>
        </w:rPr>
        <w:t>Computed Values: DRSI(Logistic Regression) = 0.1242; DRSI(XGBoost depth=8) = 0.0286. The 77% reduction in DRSI from Logistic Regression to XGBoost demonstrates the superior fairness performance of the optimized ensemble model.</w:t>
      </w:r>
    </w:p>
    <w:p>
      <w:r>
        <w:br w:type="page"/>
      </w:r>
    </w:p>
    <w:p>
      <w:pPr>
        <w:pStyle w:val="Heading1"/>
        <w:spacing w:before="240" w:after="120"/>
        <w:jc w:val="center"/>
      </w:pPr>
      <w:r>
        <w:rPr>
          <w:rFonts w:ascii="Times New Roman" w:hAnsi="Times New Roman"/>
          <w:b/>
          <w:color w:val="000000"/>
          <w:sz w:val="28"/>
        </w:rPr>
        <w:t>Appendix B: Data Dictionary</w:t>
      </w:r>
    </w:p>
    <w:p>
      <w:pPr>
        <w:spacing w:after="120" w:line="480" w:lineRule="auto"/>
        <w:ind w:firstLine="360"/>
        <w:jc w:val="both"/>
      </w:pPr>
      <w:r>
        <w:rPr>
          <w:rFonts w:ascii="Times New Roman" w:hAnsi="Times New Roman"/>
          <w:b w:val="0"/>
          <w:i w:val="0"/>
          <w:sz w:val="24"/>
        </w:rPr>
        <w:t>Table B1 provides definitions for all HMDA variables used in this study.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E79"/>
          </w:tcPr>
          <w:p>
            <w:pPr>
              <w:jc w:val="center"/>
            </w:pPr>
            <w:r>
              <w:rPr>
                <w:rFonts w:ascii="Times New Roman" w:hAnsi="Times New Roman"/>
                <w:b/>
                <w:color w:val="FFFFFF"/>
                <w:sz w:val="20"/>
              </w:rPr>
              <w:t>Variable Name</w:t>
            </w:r>
          </w:p>
        </w:tc>
        <w:tc>
          <w:tcPr>
            <w:tcW w:type="dxa" w:w="1872"/>
            <w:shd w:val="clear" w:color="auto" w:fill="1F4E79"/>
          </w:tcPr>
          <w:p>
            <w:pPr>
              <w:jc w:val="center"/>
            </w:pPr>
            <w:r>
              <w:rPr>
                <w:rFonts w:ascii="Times New Roman" w:hAnsi="Times New Roman"/>
                <w:b/>
                <w:color w:val="FFFFFF"/>
                <w:sz w:val="20"/>
              </w:rPr>
              <w:t>HMDA Field Name</w:t>
            </w:r>
          </w:p>
        </w:tc>
        <w:tc>
          <w:tcPr>
            <w:tcW w:type="dxa" w:w="1872"/>
            <w:shd w:val="clear" w:color="auto" w:fill="1F4E79"/>
          </w:tcPr>
          <w:p>
            <w:pPr>
              <w:jc w:val="center"/>
            </w:pPr>
            <w:r>
              <w:rPr>
                <w:rFonts w:ascii="Times New Roman" w:hAnsi="Times New Roman"/>
                <w:b/>
                <w:color w:val="FFFFFF"/>
                <w:sz w:val="20"/>
              </w:rPr>
              <w:t>Type</w:t>
            </w:r>
          </w:p>
        </w:tc>
        <w:tc>
          <w:tcPr>
            <w:tcW w:type="dxa" w:w="1872"/>
            <w:shd w:val="clear" w:color="auto" w:fill="1F4E79"/>
          </w:tcPr>
          <w:p>
            <w:pPr>
              <w:jc w:val="center"/>
            </w:pPr>
            <w:r>
              <w:rPr>
                <w:rFonts w:ascii="Times New Roman" w:hAnsi="Times New Roman"/>
                <w:b/>
                <w:color w:val="FFFFFF"/>
                <w:sz w:val="20"/>
              </w:rPr>
              <w:t>Description</w:t>
            </w:r>
          </w:p>
        </w:tc>
        <w:tc>
          <w:tcPr>
            <w:tcW w:type="dxa" w:w="1872"/>
            <w:shd w:val="clear" w:color="auto" w:fill="1F4E79"/>
          </w:tcPr>
          <w:p>
            <w:pPr>
              <w:jc w:val="center"/>
            </w:pPr>
            <w:r>
              <w:rPr>
                <w:rFonts w:ascii="Times New Roman" w:hAnsi="Times New Roman"/>
                <w:b/>
                <w:color w:val="FFFFFF"/>
                <w:sz w:val="20"/>
              </w:rPr>
              <w:t>Values/Range</w:t>
            </w:r>
          </w:p>
        </w:tc>
      </w:tr>
      <w:tr>
        <w:tc>
          <w:tcPr>
            <w:tcW w:type="dxa" w:w="1872"/>
          </w:tcPr>
          <w:p>
            <w:r>
              <w:rPr>
                <w:rFonts w:ascii="Times New Roman" w:hAnsi="Times New Roman"/>
                <w:sz w:val="20"/>
              </w:rPr>
              <w:t>rate_spread</w:t>
            </w:r>
          </w:p>
        </w:tc>
        <w:tc>
          <w:tcPr>
            <w:tcW w:type="dxa" w:w="1872"/>
          </w:tcPr>
          <w:p>
            <w:r>
              <w:rPr>
                <w:rFonts w:ascii="Times New Roman" w:hAnsi="Times New Roman"/>
                <w:sz w:val="20"/>
              </w:rPr>
              <w:t>rate_spread</w:t>
            </w:r>
          </w:p>
        </w:tc>
        <w:tc>
          <w:tcPr>
            <w:tcW w:type="dxa" w:w="1872"/>
          </w:tcPr>
          <w:p>
            <w:r>
              <w:rPr>
                <w:rFonts w:ascii="Times New Roman" w:hAnsi="Times New Roman"/>
                <w:sz w:val="20"/>
              </w:rPr>
              <w:t>Continuous</w:t>
            </w:r>
          </w:p>
        </w:tc>
        <w:tc>
          <w:tcPr>
            <w:tcW w:type="dxa" w:w="1872"/>
          </w:tcPr>
          <w:p>
            <w:r>
              <w:rPr>
                <w:rFonts w:ascii="Times New Roman" w:hAnsi="Times New Roman"/>
                <w:sz w:val="20"/>
              </w:rPr>
              <w:t>Difference between APR and APOR (target variable)</w:t>
            </w:r>
          </w:p>
        </w:tc>
        <w:tc>
          <w:tcPr>
            <w:tcW w:type="dxa" w:w="1872"/>
          </w:tcPr>
          <w:p>
            <w:r>
              <w:rPr>
                <w:rFonts w:ascii="Times New Roman" w:hAnsi="Times New Roman"/>
                <w:sz w:val="20"/>
              </w:rPr>
              <w:t>0.01 – 10.0 (%)</w:t>
            </w:r>
          </w:p>
        </w:tc>
      </w:tr>
      <w:tr>
        <w:tc>
          <w:tcPr>
            <w:tcW w:type="dxa" w:w="1872"/>
          </w:tcPr>
          <w:p>
            <w:r>
              <w:rPr>
                <w:rFonts w:ascii="Times New Roman" w:hAnsi="Times New Roman"/>
                <w:sz w:val="20"/>
              </w:rPr>
              <w:t>sex_encoded</w:t>
            </w:r>
          </w:p>
        </w:tc>
        <w:tc>
          <w:tcPr>
            <w:tcW w:type="dxa" w:w="1872"/>
          </w:tcPr>
          <w:p>
            <w:r>
              <w:rPr>
                <w:rFonts w:ascii="Times New Roman" w:hAnsi="Times New Roman"/>
                <w:sz w:val="20"/>
              </w:rPr>
              <w:t>applicant_sex</w:t>
            </w:r>
          </w:p>
        </w:tc>
        <w:tc>
          <w:tcPr>
            <w:tcW w:type="dxa" w:w="1872"/>
          </w:tcPr>
          <w:p>
            <w:r>
              <w:rPr>
                <w:rFonts w:ascii="Times New Roman" w:hAnsi="Times New Roman"/>
                <w:sz w:val="20"/>
              </w:rPr>
              <w:t>Binary</w:t>
            </w:r>
          </w:p>
        </w:tc>
        <w:tc>
          <w:tcPr>
            <w:tcW w:type="dxa" w:w="1872"/>
          </w:tcPr>
          <w:p>
            <w:r>
              <w:rPr>
                <w:rFonts w:ascii="Times New Roman" w:hAnsi="Times New Roman"/>
                <w:sz w:val="20"/>
              </w:rPr>
              <w:t>Applicant sex (encoded: 1=Female, 0=Male)</w:t>
            </w:r>
          </w:p>
        </w:tc>
        <w:tc>
          <w:tcPr>
            <w:tcW w:type="dxa" w:w="1872"/>
          </w:tcPr>
          <w:p>
            <w:r>
              <w:rPr>
                <w:rFonts w:ascii="Times New Roman" w:hAnsi="Times New Roman"/>
                <w:sz w:val="20"/>
              </w:rPr>
              <w:t>0, 1</w:t>
            </w:r>
          </w:p>
        </w:tc>
      </w:tr>
      <w:tr>
        <w:tc>
          <w:tcPr>
            <w:tcW w:type="dxa" w:w="1872"/>
          </w:tcPr>
          <w:p>
            <w:r>
              <w:rPr>
                <w:rFonts w:ascii="Times New Roman" w:hAnsi="Times New Roman"/>
                <w:sz w:val="20"/>
              </w:rPr>
              <w:t>location_encoded</w:t>
            </w:r>
          </w:p>
        </w:tc>
        <w:tc>
          <w:tcPr>
            <w:tcW w:type="dxa" w:w="1872"/>
          </w:tcPr>
          <w:p>
            <w:r>
              <w:rPr>
                <w:rFonts w:ascii="Times New Roman" w:hAnsi="Times New Roman"/>
                <w:sz w:val="20"/>
              </w:rPr>
              <w:t>census_tract</w:t>
            </w:r>
          </w:p>
        </w:tc>
        <w:tc>
          <w:tcPr>
            <w:tcW w:type="dxa" w:w="1872"/>
          </w:tcPr>
          <w:p>
            <w:r>
              <w:rPr>
                <w:rFonts w:ascii="Times New Roman" w:hAnsi="Times New Roman"/>
                <w:sz w:val="20"/>
              </w:rPr>
              <w:t>Binary</w:t>
            </w:r>
          </w:p>
        </w:tc>
        <w:tc>
          <w:tcPr>
            <w:tcW w:type="dxa" w:w="1872"/>
          </w:tcPr>
          <w:p>
            <w:r>
              <w:rPr>
                <w:rFonts w:ascii="Times New Roman" w:hAnsi="Times New Roman"/>
                <w:sz w:val="20"/>
              </w:rPr>
              <w:t>Rural (1) vs. Urban (0) based on USDA RUCC codes</w:t>
            </w:r>
          </w:p>
        </w:tc>
        <w:tc>
          <w:tcPr>
            <w:tcW w:type="dxa" w:w="1872"/>
          </w:tcPr>
          <w:p>
            <w:r>
              <w:rPr>
                <w:rFonts w:ascii="Times New Roman" w:hAnsi="Times New Roman"/>
                <w:sz w:val="20"/>
              </w:rPr>
              <w:t>0, 1</w:t>
            </w:r>
          </w:p>
        </w:tc>
      </w:tr>
      <w:tr>
        <w:tc>
          <w:tcPr>
            <w:tcW w:type="dxa" w:w="1872"/>
          </w:tcPr>
          <w:p>
            <w:r>
              <w:rPr>
                <w:rFonts w:ascii="Times New Roman" w:hAnsi="Times New Roman"/>
                <w:sz w:val="20"/>
              </w:rPr>
              <w:t>income</w:t>
            </w:r>
          </w:p>
        </w:tc>
        <w:tc>
          <w:tcPr>
            <w:tcW w:type="dxa" w:w="1872"/>
          </w:tcPr>
          <w:p>
            <w:r>
              <w:rPr>
                <w:rFonts w:ascii="Times New Roman" w:hAnsi="Times New Roman"/>
                <w:sz w:val="20"/>
              </w:rPr>
              <w:t>applicant_income</w:t>
            </w:r>
          </w:p>
        </w:tc>
        <w:tc>
          <w:tcPr>
            <w:tcW w:type="dxa" w:w="1872"/>
          </w:tcPr>
          <w:p>
            <w:r>
              <w:rPr>
                <w:rFonts w:ascii="Times New Roman" w:hAnsi="Times New Roman"/>
                <w:sz w:val="20"/>
              </w:rPr>
              <w:t>Continuous (log)</w:t>
            </w:r>
          </w:p>
        </w:tc>
        <w:tc>
          <w:tcPr>
            <w:tcW w:type="dxa" w:w="1872"/>
          </w:tcPr>
          <w:p>
            <w:r>
              <w:rPr>
                <w:rFonts w:ascii="Times New Roman" w:hAnsi="Times New Roman"/>
                <w:sz w:val="20"/>
              </w:rPr>
              <w:t>Applicant annual income (log-transformed)</w:t>
            </w:r>
          </w:p>
        </w:tc>
        <w:tc>
          <w:tcPr>
            <w:tcW w:type="dxa" w:w="1872"/>
          </w:tcPr>
          <w:p>
            <w:r>
              <w:rPr>
                <w:rFonts w:ascii="Times New Roman" w:hAnsi="Times New Roman"/>
                <w:sz w:val="20"/>
              </w:rPr>
              <w:t>log($1K – $5M)</w:t>
            </w:r>
          </w:p>
        </w:tc>
      </w:tr>
      <w:tr>
        <w:tc>
          <w:tcPr>
            <w:tcW w:type="dxa" w:w="1872"/>
          </w:tcPr>
          <w:p>
            <w:r>
              <w:rPr>
                <w:rFonts w:ascii="Times New Roman" w:hAnsi="Times New Roman"/>
                <w:sz w:val="20"/>
              </w:rPr>
              <w:t>loan_amount</w:t>
            </w:r>
          </w:p>
        </w:tc>
        <w:tc>
          <w:tcPr>
            <w:tcW w:type="dxa" w:w="1872"/>
          </w:tcPr>
          <w:p>
            <w:r>
              <w:rPr>
                <w:rFonts w:ascii="Times New Roman" w:hAnsi="Times New Roman"/>
                <w:sz w:val="20"/>
              </w:rPr>
              <w:t>loan_amount</w:t>
            </w:r>
          </w:p>
        </w:tc>
        <w:tc>
          <w:tcPr>
            <w:tcW w:type="dxa" w:w="1872"/>
          </w:tcPr>
          <w:p>
            <w:r>
              <w:rPr>
                <w:rFonts w:ascii="Times New Roman" w:hAnsi="Times New Roman"/>
                <w:sz w:val="20"/>
              </w:rPr>
              <w:t>Continuous (log)</w:t>
            </w:r>
          </w:p>
        </w:tc>
        <w:tc>
          <w:tcPr>
            <w:tcW w:type="dxa" w:w="1872"/>
          </w:tcPr>
          <w:p>
            <w:r>
              <w:rPr>
                <w:rFonts w:ascii="Times New Roman" w:hAnsi="Times New Roman"/>
                <w:sz w:val="20"/>
              </w:rPr>
              <w:t>Total loan amount (log-transformed)</w:t>
            </w:r>
          </w:p>
        </w:tc>
        <w:tc>
          <w:tcPr>
            <w:tcW w:type="dxa" w:w="1872"/>
          </w:tcPr>
          <w:p>
            <w:r>
              <w:rPr>
                <w:rFonts w:ascii="Times New Roman" w:hAnsi="Times New Roman"/>
                <w:sz w:val="20"/>
              </w:rPr>
              <w:t>log($10K – $2M)</w:t>
            </w:r>
          </w:p>
        </w:tc>
      </w:tr>
      <w:tr>
        <w:tc>
          <w:tcPr>
            <w:tcW w:type="dxa" w:w="1872"/>
          </w:tcPr>
          <w:p>
            <w:r>
              <w:rPr>
                <w:rFonts w:ascii="Times New Roman" w:hAnsi="Times New Roman"/>
                <w:sz w:val="20"/>
              </w:rPr>
              <w:t>dti_numeric</w:t>
            </w:r>
          </w:p>
        </w:tc>
        <w:tc>
          <w:tcPr>
            <w:tcW w:type="dxa" w:w="1872"/>
          </w:tcPr>
          <w:p>
            <w:r>
              <w:rPr>
                <w:rFonts w:ascii="Times New Roman" w:hAnsi="Times New Roman"/>
                <w:sz w:val="20"/>
              </w:rPr>
              <w:t>debt_to_income_ratio</w:t>
            </w:r>
          </w:p>
        </w:tc>
        <w:tc>
          <w:tcPr>
            <w:tcW w:type="dxa" w:w="1872"/>
          </w:tcPr>
          <w:p>
            <w:r>
              <w:rPr>
                <w:rFonts w:ascii="Times New Roman" w:hAnsi="Times New Roman"/>
                <w:sz w:val="20"/>
              </w:rPr>
              <w:t>Continuous</w:t>
            </w:r>
          </w:p>
        </w:tc>
        <w:tc>
          <w:tcPr>
            <w:tcW w:type="dxa" w:w="1872"/>
          </w:tcPr>
          <w:p>
            <w:r>
              <w:rPr>
                <w:rFonts w:ascii="Times New Roman" w:hAnsi="Times New Roman"/>
                <w:sz w:val="20"/>
              </w:rPr>
              <w:t>Debt-to-income ratio (string converted to float)</w:t>
            </w:r>
          </w:p>
        </w:tc>
        <w:tc>
          <w:tcPr>
            <w:tcW w:type="dxa" w:w="1872"/>
          </w:tcPr>
          <w:p>
            <w:r>
              <w:rPr>
                <w:rFonts w:ascii="Times New Roman" w:hAnsi="Times New Roman"/>
                <w:sz w:val="20"/>
              </w:rPr>
              <w:t>5.0 – 65.0 (%)</w:t>
            </w:r>
          </w:p>
        </w:tc>
      </w:tr>
      <w:tr>
        <w:tc>
          <w:tcPr>
            <w:tcW w:type="dxa" w:w="1872"/>
          </w:tcPr>
          <w:p>
            <w:r>
              <w:rPr>
                <w:rFonts w:ascii="Times New Roman" w:hAnsi="Times New Roman"/>
                <w:sz w:val="20"/>
              </w:rPr>
              <w:t>combined_ltv</w:t>
            </w:r>
          </w:p>
        </w:tc>
        <w:tc>
          <w:tcPr>
            <w:tcW w:type="dxa" w:w="1872"/>
          </w:tcPr>
          <w:p>
            <w:r>
              <w:rPr>
                <w:rFonts w:ascii="Times New Roman" w:hAnsi="Times New Roman"/>
                <w:sz w:val="20"/>
              </w:rPr>
              <w:t>combined_loan_to_value_ratio</w:t>
            </w:r>
          </w:p>
        </w:tc>
        <w:tc>
          <w:tcPr>
            <w:tcW w:type="dxa" w:w="1872"/>
          </w:tcPr>
          <w:p>
            <w:r>
              <w:rPr>
                <w:rFonts w:ascii="Times New Roman" w:hAnsi="Times New Roman"/>
                <w:sz w:val="20"/>
              </w:rPr>
              <w:t>Continuous</w:t>
            </w:r>
          </w:p>
        </w:tc>
        <w:tc>
          <w:tcPr>
            <w:tcW w:type="dxa" w:w="1872"/>
          </w:tcPr>
          <w:p>
            <w:r>
              <w:rPr>
                <w:rFonts w:ascii="Times New Roman" w:hAnsi="Times New Roman"/>
                <w:sz w:val="20"/>
              </w:rPr>
              <w:t>Combined loan-to-value ratio</w:t>
            </w:r>
          </w:p>
        </w:tc>
        <w:tc>
          <w:tcPr>
            <w:tcW w:type="dxa" w:w="1872"/>
          </w:tcPr>
          <w:p>
            <w:r>
              <w:rPr>
                <w:rFonts w:ascii="Times New Roman" w:hAnsi="Times New Roman"/>
                <w:sz w:val="20"/>
              </w:rPr>
              <w:t>10.0 – 100.0 (%)</w:t>
            </w:r>
          </w:p>
        </w:tc>
      </w:tr>
      <w:tr>
        <w:tc>
          <w:tcPr>
            <w:tcW w:type="dxa" w:w="1872"/>
          </w:tcPr>
          <w:p>
            <w:r>
              <w:rPr>
                <w:rFonts w:ascii="Times New Roman" w:hAnsi="Times New Roman"/>
                <w:sz w:val="20"/>
              </w:rPr>
              <w:t>loan_term</w:t>
            </w:r>
          </w:p>
        </w:tc>
        <w:tc>
          <w:tcPr>
            <w:tcW w:type="dxa" w:w="1872"/>
          </w:tcPr>
          <w:p>
            <w:r>
              <w:rPr>
                <w:rFonts w:ascii="Times New Roman" w:hAnsi="Times New Roman"/>
                <w:sz w:val="20"/>
              </w:rPr>
              <w:t>loan_term</w:t>
            </w:r>
          </w:p>
        </w:tc>
        <w:tc>
          <w:tcPr>
            <w:tcW w:type="dxa" w:w="1872"/>
          </w:tcPr>
          <w:p>
            <w:r>
              <w:rPr>
                <w:rFonts w:ascii="Times New Roman" w:hAnsi="Times New Roman"/>
                <w:sz w:val="20"/>
              </w:rPr>
              <w:t>Continuous</w:t>
            </w:r>
          </w:p>
        </w:tc>
        <w:tc>
          <w:tcPr>
            <w:tcW w:type="dxa" w:w="1872"/>
          </w:tcPr>
          <w:p>
            <w:r>
              <w:rPr>
                <w:rFonts w:ascii="Times New Roman" w:hAnsi="Times New Roman"/>
                <w:sz w:val="20"/>
              </w:rPr>
              <w:t>Loan term in months</w:t>
            </w:r>
          </w:p>
        </w:tc>
        <w:tc>
          <w:tcPr>
            <w:tcW w:type="dxa" w:w="1872"/>
          </w:tcPr>
          <w:p>
            <w:r>
              <w:rPr>
                <w:rFonts w:ascii="Times New Roman" w:hAnsi="Times New Roman"/>
                <w:sz w:val="20"/>
              </w:rPr>
              <w:t>60 – 360</w:t>
            </w:r>
          </w:p>
        </w:tc>
      </w:tr>
      <w:tr>
        <w:tc>
          <w:tcPr>
            <w:tcW w:type="dxa" w:w="1872"/>
          </w:tcPr>
          <w:p>
            <w:r>
              <w:rPr>
                <w:rFonts w:ascii="Times New Roman" w:hAnsi="Times New Roman"/>
                <w:sz w:val="20"/>
              </w:rPr>
              <w:t>sex_x_location</w:t>
            </w:r>
          </w:p>
        </w:tc>
        <w:tc>
          <w:tcPr>
            <w:tcW w:type="dxa" w:w="1872"/>
          </w:tcPr>
          <w:p>
            <w:r>
              <w:rPr>
                <w:rFonts w:ascii="Times New Roman" w:hAnsi="Times New Roman"/>
                <w:sz w:val="20"/>
              </w:rPr>
              <w:t>Engineered</w:t>
            </w:r>
          </w:p>
        </w:tc>
        <w:tc>
          <w:tcPr>
            <w:tcW w:type="dxa" w:w="1872"/>
          </w:tcPr>
          <w:p>
            <w:r>
              <w:rPr>
                <w:rFonts w:ascii="Times New Roman" w:hAnsi="Times New Roman"/>
                <w:sz w:val="20"/>
              </w:rPr>
              <w:t>Binary</w:t>
            </w:r>
          </w:p>
        </w:tc>
        <w:tc>
          <w:tcPr>
            <w:tcW w:type="dxa" w:w="1872"/>
          </w:tcPr>
          <w:p>
            <w:r>
              <w:rPr>
                <w:rFonts w:ascii="Times New Roman" w:hAnsi="Times New Roman"/>
                <w:sz w:val="20"/>
              </w:rPr>
              <w:t>Interaction: female AND rural (1=both, 0=otherwise)</w:t>
            </w:r>
          </w:p>
        </w:tc>
        <w:tc>
          <w:tcPr>
            <w:tcW w:type="dxa" w:w="1872"/>
          </w:tcPr>
          <w:p>
            <w:r>
              <w:rPr>
                <w:rFonts w:ascii="Times New Roman" w:hAnsi="Times New Roman"/>
                <w:sz w:val="20"/>
              </w:rPr>
              <w:t>0, 1</w:t>
            </w:r>
          </w:p>
        </w:tc>
      </w:tr>
      <w:tr>
        <w:tc>
          <w:tcPr>
            <w:tcW w:type="dxa" w:w="1872"/>
          </w:tcPr>
          <w:p>
            <w:r>
              <w:rPr>
                <w:rFonts w:ascii="Times New Roman" w:hAnsi="Times New Roman"/>
                <w:sz w:val="20"/>
              </w:rPr>
              <w:t>loan_type</w:t>
            </w:r>
          </w:p>
        </w:tc>
        <w:tc>
          <w:tcPr>
            <w:tcW w:type="dxa" w:w="1872"/>
          </w:tcPr>
          <w:p>
            <w:r>
              <w:rPr>
                <w:rFonts w:ascii="Times New Roman" w:hAnsi="Times New Roman"/>
                <w:sz w:val="20"/>
              </w:rPr>
              <w:t>loan_type</w:t>
            </w:r>
          </w:p>
        </w:tc>
        <w:tc>
          <w:tcPr>
            <w:tcW w:type="dxa" w:w="1872"/>
          </w:tcPr>
          <w:p>
            <w:r>
              <w:rPr>
                <w:rFonts w:ascii="Times New Roman" w:hAnsi="Times New Roman"/>
                <w:sz w:val="20"/>
              </w:rPr>
              <w:t>Categorical</w:t>
            </w:r>
          </w:p>
        </w:tc>
        <w:tc>
          <w:tcPr>
            <w:tcW w:type="dxa" w:w="1872"/>
          </w:tcPr>
          <w:p>
            <w:r>
              <w:rPr>
                <w:rFonts w:ascii="Times New Roman" w:hAnsi="Times New Roman"/>
                <w:sz w:val="20"/>
              </w:rPr>
              <w:t>Type of loan (1=Conventional, 2=FHA, 3=VA, 4=RHS/FSA)</w:t>
            </w:r>
          </w:p>
        </w:tc>
        <w:tc>
          <w:tcPr>
            <w:tcW w:type="dxa" w:w="1872"/>
          </w:tcPr>
          <w:p>
            <w:r>
              <w:rPr>
                <w:rFonts w:ascii="Times New Roman" w:hAnsi="Times New Roman"/>
                <w:sz w:val="20"/>
              </w:rPr>
              <w:t>1, 2, 3, 4</w:t>
            </w:r>
          </w:p>
        </w:tc>
      </w:tr>
      <w:tr>
        <w:tc>
          <w:tcPr>
            <w:tcW w:type="dxa" w:w="1872"/>
          </w:tcPr>
          <w:p>
            <w:r>
              <w:rPr>
                <w:rFonts w:ascii="Times New Roman" w:hAnsi="Times New Roman"/>
                <w:sz w:val="20"/>
              </w:rPr>
              <w:t>action_taken</w:t>
            </w:r>
          </w:p>
        </w:tc>
        <w:tc>
          <w:tcPr>
            <w:tcW w:type="dxa" w:w="1872"/>
          </w:tcPr>
          <w:p>
            <w:r>
              <w:rPr>
                <w:rFonts w:ascii="Times New Roman" w:hAnsi="Times New Roman"/>
                <w:sz w:val="20"/>
              </w:rPr>
              <w:t>action_taken</w:t>
            </w:r>
          </w:p>
        </w:tc>
        <w:tc>
          <w:tcPr>
            <w:tcW w:type="dxa" w:w="1872"/>
          </w:tcPr>
          <w:p>
            <w:r>
              <w:rPr>
                <w:rFonts w:ascii="Times New Roman" w:hAnsi="Times New Roman"/>
                <w:sz w:val="20"/>
              </w:rPr>
              <w:t>Categorical</w:t>
            </w:r>
          </w:p>
        </w:tc>
        <w:tc>
          <w:tcPr>
            <w:tcW w:type="dxa" w:w="1872"/>
          </w:tcPr>
          <w:p>
            <w:r>
              <w:rPr>
                <w:rFonts w:ascii="Times New Roman" w:hAnsi="Times New Roman"/>
                <w:sz w:val="20"/>
              </w:rPr>
              <w:t>Loan disposition (1=Originated, used for inclusion)</w:t>
            </w:r>
          </w:p>
        </w:tc>
        <w:tc>
          <w:tcPr>
            <w:tcW w:type="dxa" w:w="1872"/>
          </w:tcPr>
          <w:p>
            <w:r>
              <w:rPr>
                <w:rFonts w:ascii="Times New Roman" w:hAnsi="Times New Roman"/>
                <w:sz w:val="20"/>
              </w:rPr>
              <w:t>1 (originated only)</w:t>
            </w:r>
          </w:p>
        </w:tc>
      </w:tr>
    </w:tbl>
    <w:p/>
    <w:p>
      <w:r>
        <w:br w:type="page"/>
      </w:r>
    </w:p>
    <w:p>
      <w:pPr>
        <w:pStyle w:val="Heading1"/>
        <w:spacing w:before="240" w:after="120"/>
        <w:jc w:val="center"/>
      </w:pPr>
      <w:r>
        <w:rPr>
          <w:rFonts w:ascii="Times New Roman" w:hAnsi="Times New Roman"/>
          <w:b/>
          <w:color w:val="000000"/>
          <w:sz w:val="28"/>
        </w:rPr>
        <w:t>Appendix C: Code References</w:t>
      </w:r>
    </w:p>
    <w:p>
      <w:pPr>
        <w:spacing w:after="120" w:line="480" w:lineRule="auto"/>
        <w:ind w:firstLine="360"/>
        <w:jc w:val="both"/>
      </w:pPr>
      <w:r>
        <w:rPr>
          <w:rFonts w:ascii="Times New Roman" w:hAnsi="Times New Roman"/>
          <w:b w:val="0"/>
          <w:i w:val="0"/>
          <w:sz w:val="24"/>
        </w:rPr>
        <w:t>All code used in this study is available in the GitHub repository at https://github.com/TsumboM/qm640-credit-bias. The repository is organized as follows:</w:t>
      </w:r>
    </w:p>
    <w:p>
      <w:pPr>
        <w:spacing w:after="120" w:line="480" w:lineRule="auto"/>
        <w:ind w:firstLine="360"/>
        <w:jc w:val="both"/>
      </w:pPr>
      <w:r>
        <w:rPr>
          <w:rFonts w:ascii="Times New Roman" w:hAnsi="Times New Roman"/>
          <w:b w:val="0"/>
          <w:i w:val="0"/>
          <w:sz w:val="24"/>
        </w:rPr>
        <w:t>scripts/01_data_ingestion.py: Loads raw HMDA CSV files in chunks and applies initial filtering to retain originated loans with non-exempt rate spreads.</w:t>
      </w:r>
    </w:p>
    <w:p>
      <w:pPr>
        <w:spacing w:after="120" w:line="480" w:lineRule="auto"/>
        <w:ind w:firstLine="360"/>
        <w:jc w:val="both"/>
      </w:pPr>
      <w:r>
        <w:rPr>
          <w:rFonts w:ascii="Times New Roman" w:hAnsi="Times New Roman"/>
          <w:b w:val="0"/>
          <w:i w:val="0"/>
          <w:sz w:val="24"/>
        </w:rPr>
        <w:t>scripts/02_preprocessing.py: Applies all data cleaning steps documented in Table 2, performs type conversions, and applies log transformations.</w:t>
      </w:r>
    </w:p>
    <w:p>
      <w:pPr>
        <w:spacing w:after="120" w:line="480" w:lineRule="auto"/>
        <w:ind w:firstLine="360"/>
        <w:jc w:val="both"/>
      </w:pPr>
      <w:r>
        <w:rPr>
          <w:rFonts w:ascii="Times New Roman" w:hAnsi="Times New Roman"/>
          <w:b w:val="0"/>
          <w:i w:val="0"/>
          <w:sz w:val="24"/>
        </w:rPr>
        <w:t>scripts/03_eda.py: Generates all 14 publication-quality EDA and results figures saved to ./figures/.</w:t>
      </w:r>
    </w:p>
    <w:p>
      <w:pPr>
        <w:spacing w:after="120" w:line="480" w:lineRule="auto"/>
        <w:ind w:firstLine="360"/>
        <w:jc w:val="both"/>
      </w:pPr>
      <w:r>
        <w:rPr>
          <w:rFonts w:ascii="Times New Roman" w:hAnsi="Times New Roman"/>
          <w:b w:val="0"/>
          <w:i w:val="0"/>
          <w:sz w:val="24"/>
        </w:rPr>
        <w:t>scripts/04_feature_engineering.py: Creates the interaction term (sex_x_location) and applies stratified random sampling.</w:t>
      </w:r>
    </w:p>
    <w:p>
      <w:pPr>
        <w:spacing w:after="120" w:line="480" w:lineRule="auto"/>
        <w:ind w:firstLine="360"/>
        <w:jc w:val="both"/>
      </w:pPr>
      <w:r>
        <w:rPr>
          <w:rFonts w:ascii="Times New Roman" w:hAnsi="Times New Roman"/>
          <w:b w:val="0"/>
          <w:i w:val="0"/>
          <w:sz w:val="24"/>
        </w:rPr>
        <w:t>scripts/05_model_training.py: Trains Logistic Regression and XGBoost models with hyperparameter tuning via five-fold cross-validation.</w:t>
      </w:r>
    </w:p>
    <w:p>
      <w:pPr>
        <w:spacing w:after="120" w:line="480" w:lineRule="auto"/>
        <w:ind w:firstLine="360"/>
        <w:jc w:val="both"/>
      </w:pPr>
      <w:r>
        <w:rPr>
          <w:rFonts w:ascii="Times New Roman" w:hAnsi="Times New Roman"/>
          <w:b w:val="0"/>
          <w:i w:val="0"/>
          <w:sz w:val="24"/>
        </w:rPr>
        <w:t>scripts/06_fairness_analysis.py: Computes all fairness metrics (DI, KS test, Cohen's d, TIBAI, PLSS, DRSI) and generates fairness visualization figures.</w:t>
      </w:r>
    </w:p>
    <w:p>
      <w:pPr>
        <w:spacing w:after="120" w:line="480" w:lineRule="auto"/>
        <w:ind w:firstLine="360"/>
        <w:jc w:val="both"/>
      </w:pPr>
      <w:r>
        <w:rPr>
          <w:rFonts w:ascii="Times New Roman" w:hAnsi="Times New Roman"/>
          <w:b w:val="0"/>
          <w:i w:val="0"/>
          <w:sz w:val="24"/>
        </w:rPr>
        <w:t>scripts/07_report_generator.py: Generates this report document using python-docx.</w:t>
      </w:r>
    </w:p>
    <w:p>
      <w:pPr>
        <w:spacing w:after="120" w:line="480" w:lineRule="auto"/>
        <w:ind w:firstLine="360"/>
        <w:jc w:val="both"/>
      </w:pPr>
      <w:r>
        <w:rPr>
          <w:rFonts w:ascii="Times New Roman" w:hAnsi="Times New Roman"/>
          <w:b w:val="0"/>
          <w:i w:val="0"/>
          <w:sz w:val="24"/>
        </w:rPr>
        <w:t>All scripts use relative paths (./data, ./results, ./figures) and include detailed comments explaining each step. A requirements.txt file specifies all package dependencies. The README.md provides step-by-step instructions for reproducing all results.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