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75628915" wp14:editId="6031D866">
            <wp:simplePos x="0" y="0"/>
            <wp:positionH relativeFrom="column">
              <wp:posOffset>-874395</wp:posOffset>
            </wp:positionH>
            <wp:positionV relativeFrom="paragraph">
              <wp:posOffset>-661779</wp:posOffset>
            </wp:positionV>
            <wp:extent cx="1261241" cy="1261241"/>
            <wp:effectExtent l="0" t="0" r="0" b="0"/>
            <wp:wrapNone/>
            <wp:docPr id="20" name="Imagen 20" descr="Resultado de imagen para utpueb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tpuebl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41" cy="126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AE3">
        <w:rPr>
          <w:rFonts w:ascii="Calisto MT" w:eastAsia="azukifontB" w:hAnsi="Calisto MT" w:cs="Arial"/>
          <w:sz w:val="28"/>
          <w:szCs w:val="28"/>
        </w:rPr>
        <w:t>Universidad Tecnológica de Puebla</w:t>
      </w: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Administración de la Función Informática</w:t>
      </w: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Integrantes:</w:t>
      </w:r>
    </w:p>
    <w:p w:rsidR="00B85202" w:rsidRPr="009A4AE3" w:rsidRDefault="00B85202" w:rsidP="00B85202">
      <w:pPr>
        <w:pStyle w:val="Prrafodelista"/>
        <w:numPr>
          <w:ilvl w:val="0"/>
          <w:numId w:val="2"/>
        </w:num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Garrido Hernández Jorge</w:t>
      </w:r>
    </w:p>
    <w:p w:rsidR="00B85202" w:rsidRPr="009A4AE3" w:rsidRDefault="009A4AE3" w:rsidP="00B85202">
      <w:pPr>
        <w:pStyle w:val="Prrafodelista"/>
        <w:numPr>
          <w:ilvl w:val="0"/>
          <w:numId w:val="2"/>
        </w:num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Hernández</w:t>
      </w:r>
      <w:r w:rsidR="00B85202" w:rsidRPr="009A4AE3">
        <w:rPr>
          <w:rFonts w:ascii="Calisto MT" w:eastAsia="azukifontB" w:hAnsi="Calisto MT" w:cs="Arial"/>
          <w:sz w:val="28"/>
          <w:szCs w:val="28"/>
        </w:rPr>
        <w:t xml:space="preserve"> Vargas Luis Edgar</w:t>
      </w:r>
    </w:p>
    <w:p w:rsidR="00B85202" w:rsidRPr="009A4AE3" w:rsidRDefault="00B85202" w:rsidP="00B85202">
      <w:pPr>
        <w:pStyle w:val="Prrafodelista"/>
        <w:numPr>
          <w:ilvl w:val="0"/>
          <w:numId w:val="2"/>
        </w:num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Rosales Zayas Víctor Manuel</w:t>
      </w:r>
    </w:p>
    <w:p w:rsidR="00B85202" w:rsidRPr="009A4AE3" w:rsidRDefault="00B85202" w:rsidP="00B85202">
      <w:pPr>
        <w:pStyle w:val="Prrafodelista"/>
        <w:numPr>
          <w:ilvl w:val="0"/>
          <w:numId w:val="2"/>
        </w:num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 xml:space="preserve">Schiaffini Corona </w:t>
      </w:r>
      <w:r w:rsidR="009A4AE3" w:rsidRPr="009A4AE3">
        <w:rPr>
          <w:rFonts w:ascii="Calisto MT" w:eastAsia="azukifontB" w:hAnsi="Calisto MT" w:cs="Arial"/>
          <w:sz w:val="28"/>
          <w:szCs w:val="28"/>
        </w:rPr>
        <w:t>José</w:t>
      </w:r>
      <w:r w:rsidRPr="009A4AE3">
        <w:rPr>
          <w:rFonts w:ascii="Calisto MT" w:eastAsia="azukifontB" w:hAnsi="Calisto MT" w:cs="Arial"/>
          <w:sz w:val="28"/>
          <w:szCs w:val="28"/>
        </w:rPr>
        <w:t xml:space="preserve"> Gilberto</w:t>
      </w: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9A4AE3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>
        <w:rPr>
          <w:rFonts w:ascii="Calisto MT" w:eastAsia="azukifontB" w:hAnsi="Calisto MT" w:cs="Arial"/>
          <w:sz w:val="28"/>
          <w:szCs w:val="28"/>
        </w:rPr>
        <w:t>Producto 4</w:t>
      </w: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Po</w:t>
      </w:r>
      <w:r w:rsidR="00A535F7">
        <w:rPr>
          <w:rFonts w:ascii="Calisto MT" w:eastAsia="azukifontB" w:hAnsi="Calisto MT" w:cs="Arial"/>
          <w:sz w:val="28"/>
          <w:szCs w:val="28"/>
        </w:rPr>
        <w:t>líticas de Uso y</w:t>
      </w:r>
      <w:r w:rsidR="00A535F7">
        <w:rPr>
          <w:rFonts w:ascii="Calisto MT" w:eastAsia="azukifontB" w:hAnsi="Calisto MT" w:cs="Arial"/>
          <w:sz w:val="28"/>
          <w:szCs w:val="28"/>
          <w:u w:val="single"/>
        </w:rPr>
        <w:t xml:space="preserve"> </w:t>
      </w:r>
      <w:r w:rsidR="009A4AE3">
        <w:rPr>
          <w:rFonts w:ascii="Calisto MT" w:eastAsia="azukifontB" w:hAnsi="Calisto MT" w:cs="Arial"/>
          <w:sz w:val="28"/>
          <w:szCs w:val="28"/>
        </w:rPr>
        <w:t xml:space="preserve"> Propiedad</w:t>
      </w: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3° Cuatrimestre</w:t>
      </w: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Mayo – Agosto</w:t>
      </w: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B85202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</w:p>
    <w:p w:rsidR="009A4AE3" w:rsidRDefault="009A4AE3" w:rsidP="009A4AE3">
      <w:pPr>
        <w:spacing w:after="0"/>
        <w:rPr>
          <w:rFonts w:ascii="Calisto MT" w:eastAsia="azukifontB" w:hAnsi="Calisto MT" w:cs="Arial"/>
          <w:sz w:val="28"/>
          <w:szCs w:val="28"/>
        </w:rPr>
      </w:pPr>
    </w:p>
    <w:p w:rsidR="00B85202" w:rsidRPr="009A4AE3" w:rsidRDefault="00B85202" w:rsidP="009A4AE3">
      <w:pPr>
        <w:spacing w:after="0"/>
        <w:jc w:val="center"/>
        <w:rPr>
          <w:rFonts w:ascii="Calisto MT" w:eastAsia="azukifontB" w:hAnsi="Calisto MT" w:cs="Arial"/>
          <w:sz w:val="28"/>
          <w:szCs w:val="28"/>
        </w:rPr>
      </w:pPr>
      <w:r w:rsidRPr="009A4AE3">
        <w:rPr>
          <w:rFonts w:ascii="Calisto MT" w:eastAsia="azukifontB" w:hAnsi="Calisto MT" w:cs="Arial"/>
          <w:sz w:val="28"/>
          <w:szCs w:val="28"/>
        </w:rPr>
        <w:t>Profesor: Guillermo García Pimentel</w:t>
      </w:r>
    </w:p>
    <w:p w:rsidR="00B85202" w:rsidRPr="009A4AE3" w:rsidRDefault="00B85202">
      <w:pPr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</w:p>
    <w:p w:rsidR="00B85202" w:rsidRPr="009A4AE3" w:rsidRDefault="00B85202">
      <w:pPr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</w:p>
    <w:p w:rsidR="00B85202" w:rsidRPr="009A4AE3" w:rsidRDefault="00B85202">
      <w:pPr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pacing w:line="276" w:lineRule="auto"/>
        <w:jc w:val="both"/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  <w:t>Concesión  de licencias</w:t>
      </w:r>
    </w:p>
    <w:p w:rsidR="00CA7E62" w:rsidRPr="009A4AE3" w:rsidRDefault="00A661E5" w:rsidP="00A535F7">
      <w:pPr>
        <w:spacing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Para iniciar un nuevo negocio, o ampliar uno ya existente, adquirir una determinada tecnología o mejorar la calidad de los productos, su posición en el mercado, la concesión de licencias sobre derechos de propiedad intelectual podría es un instrumento eficaz para alcanzar dichos objetivos empresariales.</w:t>
      </w:r>
    </w:p>
    <w:p w:rsidR="00A661E5" w:rsidRPr="009A4AE3" w:rsidRDefault="00A661E5" w:rsidP="00A535F7">
      <w:pPr>
        <w:spacing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Un licenciamiento  es una asociación entre un titular de derechos de propiedad intelectual  y otra persona que recibe la autorización de utilizar dichos derechos  a cambio de un pago previamente establecido y convenido.</w:t>
      </w:r>
    </w:p>
    <w:p w:rsidR="00A661E5" w:rsidRPr="009A4AE3" w:rsidRDefault="00A661E5" w:rsidP="00A535F7">
      <w:pPr>
        <w:spacing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Hay varios tipos de acuerdos de licencias</w:t>
      </w:r>
      <w:r w:rsidR="00264D57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pero de manera general existen tres tipos de licencias:</w:t>
      </w:r>
    </w:p>
    <w:p w:rsidR="00264D57" w:rsidRPr="009A4AE3" w:rsidRDefault="00264D57" w:rsidP="00A535F7">
      <w:pPr>
        <w:numPr>
          <w:ilvl w:val="0"/>
          <w:numId w:val="1"/>
        </w:numPr>
        <w:shd w:val="clear" w:color="auto" w:fill="FAFAFA"/>
        <w:spacing w:after="0" w:line="276" w:lineRule="auto"/>
        <w:ind w:left="240"/>
        <w:jc w:val="both"/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</w:pPr>
      <w:r w:rsidRPr="009A4AE3"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  <w:t>Acuerdos de licencia tecnológica</w:t>
      </w:r>
    </w:p>
    <w:p w:rsidR="00264D57" w:rsidRPr="009A4AE3" w:rsidRDefault="00264D57" w:rsidP="00A535F7">
      <w:pPr>
        <w:numPr>
          <w:ilvl w:val="0"/>
          <w:numId w:val="1"/>
        </w:numPr>
        <w:shd w:val="clear" w:color="auto" w:fill="FAFAFA"/>
        <w:spacing w:after="0" w:line="276" w:lineRule="auto"/>
        <w:ind w:left="240"/>
        <w:jc w:val="both"/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</w:pPr>
      <w:r w:rsidRPr="009A4AE3"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  <w:t>Acuerdos de licencia y acuerdos de franquicia sobre marcas</w:t>
      </w:r>
    </w:p>
    <w:p w:rsidR="00264D57" w:rsidRPr="009A4AE3" w:rsidRDefault="00264D57" w:rsidP="00A535F7">
      <w:pPr>
        <w:numPr>
          <w:ilvl w:val="0"/>
          <w:numId w:val="1"/>
        </w:numPr>
        <w:shd w:val="clear" w:color="auto" w:fill="FAFAFA"/>
        <w:spacing w:after="0" w:line="276" w:lineRule="auto"/>
        <w:ind w:left="240"/>
        <w:jc w:val="both"/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</w:pPr>
      <w:r w:rsidRPr="009A4AE3"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  <w:t xml:space="preserve">Acuerdos de licencia sobre derecho de autor </w:t>
      </w:r>
    </w:p>
    <w:p w:rsidR="00264D57" w:rsidRPr="009A4AE3" w:rsidRDefault="00264D57" w:rsidP="00A535F7">
      <w:pPr>
        <w:shd w:val="clear" w:color="auto" w:fill="FAFAFA"/>
        <w:spacing w:after="0" w:line="276" w:lineRule="auto"/>
        <w:jc w:val="both"/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</w:pPr>
    </w:p>
    <w:p w:rsidR="00264D57" w:rsidRPr="009A4AE3" w:rsidRDefault="00264D57" w:rsidP="00A535F7">
      <w:pPr>
        <w:shd w:val="clear" w:color="auto" w:fill="FAFAFA"/>
        <w:spacing w:after="0" w:line="276" w:lineRule="auto"/>
        <w:jc w:val="both"/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</w:pPr>
      <w:r w:rsidRPr="009A4AE3"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  <w:t>Estos tres acuerdos pueden formar parte de un mismo acuerdo.</w:t>
      </w:r>
    </w:p>
    <w:p w:rsidR="00264D57" w:rsidRPr="009A4AE3" w:rsidRDefault="00264D57" w:rsidP="00A535F7">
      <w:pPr>
        <w:shd w:val="clear" w:color="auto" w:fill="FAFAFA"/>
        <w:spacing w:after="0" w:line="276" w:lineRule="auto"/>
        <w:jc w:val="both"/>
        <w:rPr>
          <w:rFonts w:ascii="Calisto MT" w:eastAsia="Times New Roman" w:hAnsi="Calisto MT" w:cs="Arial"/>
          <w:color w:val="3B3B3B"/>
          <w:sz w:val="28"/>
          <w:szCs w:val="28"/>
          <w:lang w:eastAsia="es-MX"/>
        </w:rPr>
      </w:pPr>
    </w:p>
    <w:p w:rsidR="00264D57" w:rsidRPr="009A4AE3" w:rsidRDefault="00264D57" w:rsidP="00A535F7">
      <w:pPr>
        <w:shd w:val="clear" w:color="auto" w:fill="FAFAFA"/>
        <w:spacing w:after="0" w:line="276" w:lineRule="auto"/>
        <w:jc w:val="both"/>
        <w:rPr>
          <w:rStyle w:val="apple-converted-space"/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Todos estos mecanismos, ya sea por separado o conjuntamente, le darán una gran variedad de posibilidades para hacer negocios en su propio país o en el extranjero.</w:t>
      </w:r>
      <w:r w:rsidRPr="009A4AE3">
        <w:rPr>
          <w:rStyle w:val="apple-converted-space"/>
          <w:rFonts w:ascii="Calisto MT" w:hAnsi="Calisto MT" w:cs="Arial"/>
          <w:color w:val="3B3B3B"/>
          <w:sz w:val="28"/>
          <w:szCs w:val="28"/>
          <w:shd w:val="clear" w:color="auto" w:fill="FAFAFA"/>
        </w:rPr>
        <w:t> </w:t>
      </w:r>
    </w:p>
    <w:p w:rsidR="00264D57" w:rsidRPr="009A4AE3" w:rsidRDefault="00264D57" w:rsidP="00A535F7">
      <w:pPr>
        <w:shd w:val="clear" w:color="auto" w:fill="FAFAFA"/>
        <w:spacing w:after="0" w:line="276" w:lineRule="auto"/>
        <w:jc w:val="both"/>
        <w:rPr>
          <w:rStyle w:val="apple-converted-space"/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264D57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Alguien licenciatario, </w:t>
      </w:r>
      <w:r w:rsidR="00264D57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puede fabricar, vender, importar, exportar, distribuir y comercializar distintos productos y servicios; operaciones que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no le estarían permitidas sin la licencia.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  <w:t>Derecho de Autor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Capítulo I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Reglas Generales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Artículo 11.- El derecho de autor es el reconocimiento que hace el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Estado en favor de todo creador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de obras literarias y artísticas previstas en el artículo 13 de esta Le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y, en virtud del cual otorga su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protección para que el autor goce de prerrogativas y privilegios exclus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ivos de carácter personal y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patrimonial. Los primeros integran el llamado derecho moral y los segundos, el patrimonial.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12.- Autor es la persona física que ha creado una obra literaria y artística.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13.- Los derechos de autor a que se refiere esta Ley se rec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onocen respecto de las obras de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las siguientes ramas: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I. Literaria;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II. Musical, con o sin letra;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III. Dramática;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IV. Danza;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V. Pictórica o de dibujo;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VI. Escultórica y de carácter plástico;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VII. Caricatura e historieta; 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LEY FEDERAL DEL DERECHO DE AUTOR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CÁMARA DE DIPUTADOS DEL H. CONGRESO DE LA UNIÓN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Secretaría General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Secretaría de Servicios Parlamentarios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Dirección General de Servicios de Documentación, Información y Análisis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Última Reforma DOF 27-01-2012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4 de 48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VIII. Arquitectónica;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IX. Cinematográfica y demás obras audiovisuales;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X. Programas de radio y televisión;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XI. Programas de cómputo;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XII. Fotográfica;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XIII. Obras de arte aplicado que incluyen el diseño gráfico o textil, y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XIV. De compilación, integrada por las colecciones de obras, ta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les como las enciclopedias, las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antologías, y de obras u otros elementos como las bas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es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lastRenderedPageBreak/>
        <w:t xml:space="preserve">de datos, siempre que dichas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colecciones, por su selección o la disposición de su conten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ido o materias, constituyan una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creación intelectual.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Las demás obras que por analogía puedan considerarse obras literarias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o artísticas se incluirán en la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rama que les sea más afín a su naturaleza.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14.- No son objeto de la protección como derecho de autor a que se refiere esta Ley: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I. Las ideas en sí mismas, las fórmulas, soluciones, conceptos,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métodos, sistemas, principios,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descubrimientos, procesos e invenciones de cualquier tipo;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II. El aprovechamiento industrial o comercial de las ideas contenidas en las obras;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III. Los esquemas, planes o reglas para realizar actos mentales, juegos o negocios;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IV. Las letras, los dígitos o los colores aislados, a menos que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su estilización sea tal que las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conviertan en dibujos originales;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V. Los nombres y títulos o frases aislados;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VI. Los simples formatos o formularios en blanco para ser llenados con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cualquier tipo de información,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así como sus instructivos;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VII. Las reproducciones o imitaciones, sin autorización, de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escudos, banderas o emblemas de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cualquier país, estado, municipio o división política equivalente,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ni las denominaciones, siglas,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símbolos o emblemas de organizaciones internacionales guber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namentales, no gubernamentales,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o de cualquier otra organización reconocida oficialmente, así como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la designación verbal de los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mismos;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VIII. Los textos legislativos, reglamentarios, administrativos o judici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ales, así como sus traducciones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oficiales. En caso de ser publicados, deberán apegarse al texto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oficial y no conferirán derecho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exclusivo de edición;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Sin embargo, serán objeto de protección las concordanc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ias, interpretaciones, estudios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comparativos, anotaciones, comentarios y demás trabajos simil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ares que entrañen, por parte de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su autor, la creación de una obra original; 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LEY FEDERAL DEL DERECHO DE AUTOR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CÁMARA DE DIPUTADOS DEL H. CONGRESO DE LA UNIÓN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Secretaría General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lastRenderedPageBreak/>
        <w:t>Secretaría de Servicios Parlamentarios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Dirección General de Servicios de Documentación, Información y Análisis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Última Reforma DOF 27-01-2012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5 de 48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IX. El contenido informativo de las noticias, pero sí su forma de expresión, y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X. La información de uso común tal como los refranes, dichos, leye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ndas, hechos, calendarios y las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escalas métricas.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15.- Las obras literarias y artísticas publicadas en periódicos o revistas o transmitidas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por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radio, televisión u otros medios de difusión no pierden por ese hecho la protección legal.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16.- La obra podrá hacerse del conocimiento público median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te los actos que se describen a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continuación: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I. Divulgación: El acto de hacer accesible una obra literaria y a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rtística por cualquier medio al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público, por primera vez, con lo cual deja de ser inédita;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II. Publicación: La reproducción de la obra en forma tangible y su p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uesta a disposición del público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mediante ejemplares, o su almacenamiento permanente o provi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sional por medios electrónicos,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que permitan al público leerla o conocerla visual, táctil o auditivamente;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III. Comunicación pública: Acto mediante el cual la obra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se pone al alcance general, por cualquier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medio o procedimiento que la difunda y que no consista en la distribución de ejemplares;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IV. Ejecución o representación pública: Presentación de una obra, p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or cualquier medio, a oyentes o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espectadores sin restringirla a un grupo privado o círculo familiar.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No se considera pública la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ejecución o representación que se hace de la obra dentro d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el círculo de una escuela o una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institución de asistencia pública o privada, siempre y cuando no se realice con fines de lucro;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lastRenderedPageBreak/>
        <w:t>V. Distribución al público: Puesta a disposición del público del origi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nal o copia de la obra mediante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venta, arrendamiento y, en general, cualquier otra forma, y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VI. Reproducción: La realización de uno o varios ejemplares de un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a obra, de un fonograma o de un </w:t>
      </w:r>
      <w:proofErr w:type="spellStart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videograma</w:t>
      </w:r>
      <w:proofErr w:type="spellEnd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, en cualquier forma tangible, incluyendo cualqu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ier almacenamiento permanente o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temporal por medios electrónicos, aunque se trate de la realiz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ación bidimensional de una obra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tridimensional o viceversa.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17.- Las obras protegidas por esta Ley que se publiquen, deberán ostentar la expresión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“Derechos Reservados”, o su abreviatura “D. R.”, seguida del símbolo ©;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el nombre completo y dirección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del titular del derecho de autor y el año de la primera publicación. Esta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s menciones deberán aparecer en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sitio visible. La omisión de estos requisitos no implica la pérdida de los de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rechos de autor, pero sujeta al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licenciatario o editor responsable a las sanciones establecidas en la Ley.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Capítulo II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De los Derechos Morales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18.- El autor es el único, primigenio y perpetuo titular de lo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s derechos morales sobre las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obras de su creación.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19.- El derecho moral se considera unido al autor y e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s inalienable, imprescriptible,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irrenunciable e inembargable.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20.- Corresponde el ejercicio del derecho moral, al propio creador de la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obra y a sus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herederos. En ausencia de éstos, o bien en caso de obras del dominio público, anónimas o de las 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LEY FEDERAL DEL DERECHO DE AUTOR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CÁMARA DE DIPUTADOS DEL H. CONGRESO DE LA UNIÓN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Secretaría General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Secretaría de Servicios Parlamentarios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Dirección General de Servicios de Documentación, Información y Análisis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Última Reforma DOF 27-01-2012</w:t>
      </w:r>
    </w:p>
    <w:p w:rsidR="00D922BC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lastRenderedPageBreak/>
        <w:t xml:space="preserve">6 de 48 </w:t>
      </w:r>
      <w:r w:rsidR="00D922BC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protegidas por el Título VII de la presente Ley, el Estado los ejercerá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conforme al artículo siguiente, </w:t>
      </w:r>
      <w:r w:rsidR="00D922BC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siempre y cuando se trate de obras de interés para el patrimonio cultural nacional.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21.- Los titulares de los derechos morales podrán en todo tiempo: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I. Determinar si su obra ha de ser divulgada y en qué forma, o la de mantenerla inédita;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II. Exigir el reconocimiento de su calidad de autor respecto de la obra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por él creada y la de disponer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que su divulgación se efectúe como obra anónima o seudónima;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III. Exigir respeto a la obra, oponiéndose a cualquier deformación, mu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tilación u otra modificación de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ella, así como a toda acción o atentado a la misma que cause de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mérito de ella o perjuicio a la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reputación de su autor;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IV. Modificar su obra;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V. Retirar su obra del comercio, y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VI. Oponerse a que se le atribuya al autor una obra que no es de s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u creación. Cualquier persona a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quien se pretenda atribuir una obra que no sea de su creación pod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rá ejercer la facultad a que se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refiere esta fracción.</w:t>
      </w:r>
    </w:p>
    <w:p w:rsidR="00646FC9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Los herederos sólo podrán ejercer las facultades establecidas en las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fracciones I, II, III y 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VI del </w:t>
      </w:r>
      <w:r w:rsidR="00D922BC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presente artículo y el Estado, en su caso, sólo podrá hacerlo resp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ecto de las establecidas en las </w:t>
      </w:r>
      <w:r w:rsidR="00D922BC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fracciones III y VI del presente artículo.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Artículo 22.- Salvo pacto en contrario entre los coautores, el director o 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realizador de la obra, tiene el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ejercicio de los derechos morales sobre la obra audiovisual en su con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junto, sin perjuicio de los que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correspondan a los demás coautores en relación con sus respectivas cont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ribuciones, ni de los que puede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ejercer el productor de conformidad con la presente Ley y de lo establecido por su artículo 99.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Artículo 23.- Salvo pacto en contrario, se entiende que los au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tores que aporten obras para su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utilización en anuncios publicitarios o de propaganda, han autorizado</w:t>
      </w:r>
      <w:r w:rsidR="00646FC9"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 la omisión del crédito autoral 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durante la utilización o explotación de las mismas, sin que esto implique renuncia a los derechos morales.</w:t>
      </w:r>
    </w:p>
    <w:p w:rsidR="00646FC9" w:rsidRPr="009A4AE3" w:rsidRDefault="00646FC9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646FC9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  <w:t>D</w:t>
      </w:r>
      <w:r w:rsidR="00646FC9" w:rsidRPr="009A4AE3"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  <w:t>isposiciones legales referentes a la propiedad y uso de s</w:t>
      </w:r>
      <w:r w:rsidRPr="009A4AE3"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  <w:t>oftware</w:t>
      </w:r>
    </w:p>
    <w:p w:rsidR="00D922BC" w:rsidRPr="009A4AE3" w:rsidRDefault="00D922BC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¿Qué es el uso legal del software?</w:t>
      </w: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Es el que tiene  una licencia de uso emitida por las productoras de software. La licencia de uso especifica las condiciones (quién y cómo) bajo las cuales se puede utilizar el software.</w:t>
      </w: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  <w:t>Propiedad del Software</w:t>
      </w: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 Software de dominio público.</w:t>
      </w: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  <w:lang w:val="en-US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</w:t>
      </w: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  <w:lang w:val="en-US"/>
        </w:rPr>
        <w:t xml:space="preserve"> Software </w:t>
      </w:r>
      <w:proofErr w:type="spellStart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  <w:lang w:val="en-US"/>
        </w:rPr>
        <w:t>libre</w:t>
      </w:r>
      <w:proofErr w:type="spellEnd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  <w:lang w:val="en-US"/>
        </w:rPr>
        <w:t xml:space="preserve"> o "free software“.</w:t>
      </w: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 Fuente abierta u Open </w:t>
      </w:r>
      <w:proofErr w:type="spellStart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Source</w:t>
      </w:r>
      <w:proofErr w:type="spellEnd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.</w:t>
      </w: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 Software propietario o bajo copyright.</w:t>
      </w:r>
    </w:p>
    <w:p w:rsidR="00B47131" w:rsidRPr="009A4AE3" w:rsidRDefault="00B47131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  <w:t>Medios legales de acceso al software propietario.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 Adquiriendo la “Propiedad Intelectual</w:t>
      </w:r>
      <w:bookmarkStart w:id="0" w:name="_GoBack"/>
      <w:bookmarkEnd w:id="0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”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– Acceso al Código Fuente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 Mediante Licencias (en sus distintas formas)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 xml:space="preserve">– La licencia es un contrato a través del cual el titular de los derechos sobre un software original otorga al </w:t>
      </w:r>
      <w:proofErr w:type="spellStart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co</w:t>
      </w:r>
      <w:proofErr w:type="spellEnd"/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-contratante el derecho de uso del mismo por un tiempo determinado y a su vez, establece las reglas según las cuales éste (el software) deberá ser utilizado.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– Sin acceso al código fuente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– La propiedad intelectual corresponde al licenciatario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Contablemente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 Propiedad Intelectual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lastRenderedPageBreak/>
        <w:t>– Es un activo intangible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– Amortizable por obsolescencia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 Licencias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– Es un activo intangible</w:t>
      </w:r>
    </w:p>
    <w:p w:rsidR="001F1405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– Amortizable por la duración de la licencia</w:t>
      </w:r>
    </w:p>
    <w:p w:rsidR="00B47131" w:rsidRPr="009A4AE3" w:rsidRDefault="001F1405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color w:val="3B3B3B"/>
          <w:sz w:val="28"/>
          <w:szCs w:val="28"/>
          <w:shd w:val="clear" w:color="auto" w:fill="FAFAFA"/>
        </w:rPr>
        <w:t>– Excepcionalmente, si la licencia se renueva anualmente o en periodos menores se considerará como gasto (similar a un alquiler)</w:t>
      </w:r>
    </w:p>
    <w:p w:rsidR="00B85202" w:rsidRPr="009A4AE3" w:rsidRDefault="00B85202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color w:val="3B3B3B"/>
          <w:sz w:val="28"/>
          <w:szCs w:val="28"/>
          <w:shd w:val="clear" w:color="auto" w:fill="FAFAFA"/>
        </w:rPr>
      </w:pPr>
    </w:p>
    <w:p w:rsidR="00B85202" w:rsidRPr="009A4AE3" w:rsidRDefault="00B85202" w:rsidP="00A535F7">
      <w:pPr>
        <w:pStyle w:val="Default"/>
        <w:spacing w:line="276" w:lineRule="auto"/>
        <w:jc w:val="both"/>
        <w:rPr>
          <w:rFonts w:ascii="Calisto MT" w:hAnsi="Calisto MT"/>
          <w:sz w:val="28"/>
          <w:szCs w:val="28"/>
        </w:rPr>
      </w:pPr>
    </w:p>
    <w:p w:rsidR="00B85202" w:rsidRPr="009A4AE3" w:rsidRDefault="00CE65AF" w:rsidP="00A535F7">
      <w:pPr>
        <w:shd w:val="clear" w:color="auto" w:fill="FAFAFA"/>
        <w:spacing w:after="0" w:line="276" w:lineRule="auto"/>
        <w:jc w:val="both"/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</w:pPr>
      <w:r w:rsidRPr="009A4AE3">
        <w:rPr>
          <w:rFonts w:ascii="Calisto MT" w:hAnsi="Calisto MT" w:cs="Arial"/>
          <w:b/>
          <w:color w:val="3B3B3B"/>
          <w:sz w:val="28"/>
          <w:szCs w:val="28"/>
          <w:shd w:val="clear" w:color="auto" w:fill="FAFAFA"/>
        </w:rPr>
        <w:t>Disposiciones legales que aplican a la propiedad y uso del software realizado al proyecto integrador.</w:t>
      </w:r>
    </w:p>
    <w:tbl>
      <w:tblPr>
        <w:tblpPr w:leftFromText="141" w:rightFromText="141" w:vertAnchor="text" w:horzAnchor="margin" w:tblpY="721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6"/>
      </w:tblGrid>
      <w:tr w:rsidR="00B85202" w:rsidRPr="009A4AE3" w:rsidTr="00B85202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5346" w:type="dxa"/>
          </w:tcPr>
          <w:p w:rsidR="00CE65AF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>La información y los términos de licencia de Microsoft SQL Server proporcionan los términos y condiciones legales para el uso del software Microsoft SQL Server.</w:t>
            </w:r>
          </w:p>
          <w:p w:rsidR="00CE65AF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</w:p>
          <w:p w:rsidR="00CE65AF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>Microsoft SQL Server incluye otros programas de Microsoft que se enumeran a continuación. Estos programas cuentan con licencia según los términos y condiciones asociados a ellos. Solo puede usar estos programas junto con el software cuya licencia se otorga aquí. Si no acepta los términos de licencia asociados a un programa, no puede usar dicho programa.</w:t>
            </w:r>
          </w:p>
          <w:p w:rsidR="00CE65AF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</w:p>
          <w:p w:rsidR="00CE65AF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>Nota: A continuación encontrará los siguientes contratos de licencia para el usuario final y los términos aplicables a esta versión:</w:t>
            </w:r>
          </w:p>
          <w:p w:rsidR="00CE65AF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>Licencia de evaluación de Microsoft SQL Server 2016 para esta versión</w:t>
            </w:r>
          </w:p>
          <w:p w:rsidR="00CE65AF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lastRenderedPageBreak/>
              <w:t>Licencias de otros programas de Microsoft: el software SQL Server 2016 también contiene otros programas de Microsoft, cada uno de los cuales cuenta con licencia según los términos y condiciones de la licencia del programa correspondiente.</w:t>
            </w:r>
          </w:p>
          <w:p w:rsidR="00CE65AF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 xml:space="preserve">Complementos de Microsoft Visual Studio 2015, </w:t>
            </w:r>
            <w:proofErr w:type="spellStart"/>
            <w:r w:rsidRPr="009A4AE3">
              <w:rPr>
                <w:rFonts w:ascii="Calisto MT" w:hAnsi="Calisto MT"/>
                <w:sz w:val="28"/>
                <w:szCs w:val="28"/>
              </w:rPr>
              <w:t>Shells</w:t>
            </w:r>
            <w:proofErr w:type="spellEnd"/>
            <w:r w:rsidRPr="009A4AE3">
              <w:rPr>
                <w:rFonts w:ascii="Calisto MT" w:hAnsi="Calisto MT"/>
                <w:sz w:val="28"/>
                <w:szCs w:val="28"/>
              </w:rPr>
              <w:t xml:space="preserve"> de Visual Studio y C++ </w:t>
            </w:r>
            <w:proofErr w:type="spellStart"/>
            <w:r w:rsidRPr="009A4AE3">
              <w:rPr>
                <w:rFonts w:ascii="Calisto MT" w:hAnsi="Calisto MT"/>
                <w:sz w:val="28"/>
                <w:szCs w:val="28"/>
              </w:rPr>
              <w:t>Redistrubutable</w:t>
            </w:r>
            <w:proofErr w:type="spellEnd"/>
          </w:p>
          <w:p w:rsidR="00B85202" w:rsidRPr="009A4AE3" w:rsidRDefault="00CE65AF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>Microsoft .NET Framework</w:t>
            </w:r>
          </w:p>
          <w:p w:rsidR="009A4AE3" w:rsidRPr="009A4AE3" w:rsidRDefault="009A4AE3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</w:p>
          <w:p w:rsidR="009A4AE3" w:rsidRPr="009A4AE3" w:rsidRDefault="009A4AE3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>Licenciamiento de usuarios</w:t>
            </w:r>
          </w:p>
          <w:p w:rsidR="009A4AE3" w:rsidRPr="009A4AE3" w:rsidRDefault="009A4AE3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>Visual Studio Professional cuenta con licencias por usuario. Cada usuario con licencia puede instalar y usar el software en cualquier cantidad de dispositivos para diseñar, desarrollar, probar y hacer demostraciones de sus programas. El software incluido en la licencia es la versión actual de Visual Studio Professional 2017, más los derechos de cambiar a versiones anteriores de Visual Studio Professional que se ejecuten en forma simultánea, a las que pueda tener acceso de alguna otra forma.</w:t>
            </w:r>
          </w:p>
          <w:p w:rsidR="009A4AE3" w:rsidRPr="009A4AE3" w:rsidRDefault="009A4AE3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</w:p>
          <w:p w:rsidR="009A4AE3" w:rsidRPr="009A4AE3" w:rsidRDefault="009A4AE3" w:rsidP="00A535F7">
            <w:pPr>
              <w:pStyle w:val="Default"/>
              <w:spacing w:line="276" w:lineRule="auto"/>
              <w:jc w:val="both"/>
              <w:rPr>
                <w:rFonts w:ascii="Calisto MT" w:hAnsi="Calisto MT"/>
                <w:sz w:val="28"/>
                <w:szCs w:val="28"/>
              </w:rPr>
            </w:pPr>
            <w:r w:rsidRPr="009A4AE3">
              <w:rPr>
                <w:rFonts w:ascii="Calisto MT" w:hAnsi="Calisto MT"/>
                <w:sz w:val="28"/>
                <w:szCs w:val="28"/>
              </w:rPr>
              <w:t xml:space="preserve">Si eres un desarrollador individual que trabaja en un entorno de aprendizaje de salón de clases, para investigación académica o colaboras en proyectos de fuente abierta, tal vez califiques para una versión gratuita de Visual Studio, conocida como Visual Studio </w:t>
            </w:r>
            <w:proofErr w:type="spellStart"/>
            <w:r w:rsidRPr="009A4AE3">
              <w:rPr>
                <w:rFonts w:ascii="Calisto MT" w:hAnsi="Calisto MT"/>
                <w:sz w:val="28"/>
                <w:szCs w:val="28"/>
              </w:rPr>
              <w:t>Community</w:t>
            </w:r>
            <w:proofErr w:type="spellEnd"/>
            <w:r w:rsidRPr="009A4AE3">
              <w:rPr>
                <w:rFonts w:ascii="Calisto MT" w:hAnsi="Calisto MT"/>
                <w:sz w:val="28"/>
                <w:szCs w:val="28"/>
              </w:rPr>
              <w:t xml:space="preserve">. Visual Studio </w:t>
            </w:r>
            <w:proofErr w:type="spellStart"/>
            <w:r w:rsidRPr="009A4AE3">
              <w:rPr>
                <w:rFonts w:ascii="Calisto MT" w:hAnsi="Calisto MT"/>
                <w:sz w:val="28"/>
                <w:szCs w:val="28"/>
              </w:rPr>
              <w:t>Community</w:t>
            </w:r>
            <w:proofErr w:type="spellEnd"/>
            <w:r w:rsidRPr="009A4AE3">
              <w:rPr>
                <w:rFonts w:ascii="Calisto MT" w:hAnsi="Calisto MT"/>
                <w:sz w:val="28"/>
                <w:szCs w:val="28"/>
              </w:rPr>
              <w:t xml:space="preserve"> 2017 incluye toda la excelente funcionalidad de Visual Studio </w:t>
            </w:r>
            <w:r w:rsidRPr="009A4AE3">
              <w:rPr>
                <w:rFonts w:ascii="Calisto MT" w:hAnsi="Calisto MT"/>
                <w:sz w:val="28"/>
                <w:szCs w:val="28"/>
              </w:rPr>
              <w:lastRenderedPageBreak/>
              <w:t>Professional 2017, diseñada y optimizada para desarrolladores individuales, estudiantes, colaboradores de fuente abierta y equipos pequeños.</w:t>
            </w:r>
          </w:p>
        </w:tc>
      </w:tr>
    </w:tbl>
    <w:p w:rsidR="00CE65AF" w:rsidRDefault="00CE65AF" w:rsidP="00264D57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color w:val="3B3B3B"/>
          <w:sz w:val="24"/>
          <w:szCs w:val="24"/>
          <w:lang w:eastAsia="es-MX"/>
        </w:rPr>
      </w:pPr>
    </w:p>
    <w:p w:rsidR="00CE65AF" w:rsidRDefault="00CE65AF" w:rsidP="00264D57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color w:val="3B3B3B"/>
          <w:sz w:val="24"/>
          <w:szCs w:val="24"/>
          <w:lang w:eastAsia="es-MX"/>
        </w:rPr>
      </w:pPr>
    </w:p>
    <w:p w:rsidR="00CE65AF" w:rsidRDefault="00CE65AF" w:rsidP="00264D57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color w:val="3B3B3B"/>
          <w:sz w:val="24"/>
          <w:szCs w:val="24"/>
          <w:lang w:eastAsia="es-MX"/>
        </w:rPr>
      </w:pPr>
    </w:p>
    <w:p w:rsidR="00CE65AF" w:rsidRPr="00B85202" w:rsidRDefault="00CE65AF" w:rsidP="00264D57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color w:val="3B3B3B"/>
          <w:sz w:val="24"/>
          <w:szCs w:val="24"/>
          <w:lang w:eastAsia="es-MX"/>
        </w:rPr>
      </w:pPr>
    </w:p>
    <w:sectPr w:rsidR="00CE65AF" w:rsidRPr="00B8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zukifontB">
    <w:altName w:val="MS Mincho"/>
    <w:charset w:val="80"/>
    <w:family w:val="modern"/>
    <w:pitch w:val="fixed"/>
    <w:sig w:usb0="00000000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5pt;height:375pt" o:bullet="t">
        <v:imagedata r:id="rId1" o:title="Miku Chibi Celular Render"/>
      </v:shape>
    </w:pict>
  </w:numPicBullet>
  <w:abstractNum w:abstractNumId="0" w15:restartNumberingAfterBreak="0">
    <w:nsid w:val="1A5A2749"/>
    <w:multiLevelType w:val="hybridMultilevel"/>
    <w:tmpl w:val="8A266364"/>
    <w:lvl w:ilvl="0" w:tplc="10D649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55448"/>
    <w:multiLevelType w:val="multilevel"/>
    <w:tmpl w:val="238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E5"/>
    <w:rsid w:val="001F1405"/>
    <w:rsid w:val="00264D57"/>
    <w:rsid w:val="00646FC9"/>
    <w:rsid w:val="009A4AE3"/>
    <w:rsid w:val="00A535F7"/>
    <w:rsid w:val="00A661E5"/>
    <w:rsid w:val="00B47131"/>
    <w:rsid w:val="00B85202"/>
    <w:rsid w:val="00CA7E62"/>
    <w:rsid w:val="00CE65AF"/>
    <w:rsid w:val="00D9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E915E-6746-4F8B-AC5C-BC9B828B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64D57"/>
  </w:style>
  <w:style w:type="paragraph" w:customStyle="1" w:styleId="Default">
    <w:name w:val="Default"/>
    <w:rsid w:val="00B852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852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2110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2017-06-13T05:21:00Z</dcterms:created>
  <dcterms:modified xsi:type="dcterms:W3CDTF">2017-06-13T19:24:00Z</dcterms:modified>
</cp:coreProperties>
</file>