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/>
          <w:sz w:val="32"/>
        </w:rPr>
        <w:t>Пояснение по объёму работ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к файлу «Коммерческие факторы для сайта» и к Приложению № 1 к договору № 50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Заказчику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от исполнителя по договору № 50</w:t>
      </w:r>
    </w:p>
    <w:p>
      <w:pPr>
        <w:spacing w:after="24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16 октября 2026 г.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Направляю пояснение, чтобы разделить три разных списка. Файл Excel — это разбор коммерческих факторов у конкурирующих клиник и рекомендации «сделать так же». Он не является приложением к договору и не расширяет смету.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Объём работ зафиксирован в Приложении № 1 к договору № 50 и в смете на 102 000 рублей. В приложении прямо сказано: новые типы страниц и новый функционал, которых нет в приложении, оплачиваются отдельно. Дополнительные тексты сверх согласованного наполнения — 150 рублей за страницу, если текст даёт заказчик, и 250 рублей, если текст готовим мы. Продвижение, закупка ссылок и позиции в поиске в стоимость не входят.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F3A5F"/>
          <w:sz w:val="28"/>
        </w:rPr>
        <w:t>1. Что из файла Excel уже есть на сайте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Ниже только те пункты Excel, которые закрыты работами из сметы или уже стоят на сайте. Это не обещание повторить оформление конкурентов один в один.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Пункт из Excel</w:t>
            </w:r>
          </w:p>
        </w:tc>
        <w:tc>
          <w:tcPr>
            <w:tcW w:type="dxa" w:w="4986"/>
            <w:shd w:fill="1F3A5F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Как это сделано у нас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Меню в футере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футере есть разделы клиники: о нас, врачи, лицензии, галерея, отзывы, статьи, цены, полезные ссылки и карта сайта. Отдельно выведены программы.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Контакты в футере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футере указаны телефон выбранного города, адрес и номер лицензии. Полная карточка контактов — на странице «Контакты».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Копирайт и год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Внизу сайта стоит знак ©, год и наименование клиники.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Ссылка на карту сайта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HTML-карта сайта сделана и стоит в футере. Для поисковых систем отдельно отдаётся sitemap.xml.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Отзывы на сайте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главной есть блок отзывов и отдельная страница «Отзывы». Это страница из сметы.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Описание услуг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Услуги собраны на типовом шаблоне: описание, цена, состав, вопросы и ответы. В смете заложено 102 такие страницы, на сайте их больше — дополнительные адреса идут на том же шаблоне, как разрешает приложение.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Фотографии клиники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Страница «Галерея» из сметы показывает условия клиники.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Категории услуг на главной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главной услуги выведены карточками со списком цен и кнопкой перехода.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Текст после отправки формы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 формы написано, что произойдёт после отправки: перезвоним. После заявки открывается окно «Спасибо за заявку».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FAQ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Блок частых вопросов есть на типовой странице услуги и раскрывается по нажатию.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Юридические документы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Сделаны политика обработки персональных данных, согласие, условия и страница реквизитов. Ссылки стоят внизу сайта.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Лицензии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Есть отдельная страница «Лицензии», номер лицензии выводится и в футере.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 клинике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«О нас» есть в структуре и в меню.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Статьи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Раздел «Статьи» и шаблон статьи сделаны. Опубликованы три материала, которые были в проекте: детокс, анонимность и помощь близкому.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Микроразметка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страницах стоит базовая разметка Schema.org: клиника, хлебные крошки, вопросы и ответы, страница услуги или статьи. Это пункт технического SEO из сметы, а не полный набор типов, который Excel выписал у конкурентов.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Телефон 8-800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Телефон берётся из карточки города. Сейчас в настройках указан 8 800 100-12-12. Если у клиники другой номер, пришлите его — подставим в уже готовое поле. Подключение номера у оператора связи в разработку сайта не входит.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Times New Roman"/>
          <w:b/>
          <w:color w:val="1F3A5F"/>
          <w:sz w:val="28"/>
        </w:rPr>
        <w:t>2. Что мы делать не будем: этого нет в смете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Рекомендации ниже взяты из Excel как примеры чужих сайтов. Отдельной строкой в смете их нет. Повторять их в рамках договора № 50 я не буду. Если какой-то пункт нужен клинике, его можно оценить отдельно.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3A5F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Рекомендация из Excel</w:t>
            </w:r>
          </w:p>
        </w:tc>
        <w:tc>
          <w:tcPr>
            <w:tcW w:type="dxa" w:w="4986"/>
            <w:shd w:fill="1F3A5F" w:val="clear"/>
          </w:tcPr>
          <w:p>
            <w:pPr>
              <w:spacing w:after="40" w:before="40"/>
            </w:pPr>
            <w:r>
              <w:rPr>
                <w:color w:val="FFFFFF"/>
              </w:rPr>
            </w:r>
            <w:r>
              <w:rPr>
                <w:rFonts w:ascii="Times New Roman" w:hAnsi="Times New Roman" w:eastAsia="Times New Roman"/>
                <w:b/>
                <w:color w:val="FFFFFF"/>
                <w:sz w:val="22"/>
              </w:rPr>
              <w:t>Почему это не входит в договор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Четыре колонки футера как у «Премиум Наркологии» или «Первого шага»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есть страницы подвала, а не витрина из десятков ссылок на все услуги. Длинный каталог в подвале — отдельная вёрстка.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ВКонтакте и Одноклассники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нет блока социальных сетей. Сейчас в футере стоят мессенджеры, которые заданы для города.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Ключевая фраза в строке копирайта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Excel предлагает дописать в копирайт поисковую фразу. Это не пункт сметы и для сниппета не требуется: заголовок страницы задаётся отдельно.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Увеличение фотографий на весь экран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Страница галереи и страница лицензий в смете есть. Отдельный просмотр с лупой, как fancybox у конкурентов, в смету не входит.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Звёзды, дата и карусель отзывов на каждой услуге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Страница отзывов входит в смету. Рейтинг 5 звёзд, средняя оценка 4,9 и отзыв именно к одной услуге — нет. Ставить оценку, которой нет в реальных отзывах, нельзя.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Форма «Оставить отзыв» со звёздами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две формы: обратная связь и запись. Форма публичного отзыва со звёздами — новый функционал.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Калькулятор подбора капельницы как у «Дельта Клиник»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 главной уже есть калькулятор стоимости. Доводить его до пошагового подбора состава капельницы, как в Excel, в смету не входит.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Блок площадок Яндекс, Google, ПроДокторов, СберЗдоровье с чужими рейтингами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нет виджета внешних рейтингов. Цифры можно поставить только если клиника передаст реальные ссылки и оценки.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Иконки Visa, Mastercard, МИР и блок беспроцентной рассрочки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нет платёжного модуля. Заявка «на рассрочку» может уйти в общую форму. Условия кредита, иконки карт и зачёркнутые цены — отдельная работа.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Скидки «старая / новая цена» и проценты на карточках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Прайс в смете есть. Механика акций и перечёркнутых цен не описана и не оценивалась.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Онлайн-чат Bitrix24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нет чата. Заявка уходит формой и письмом.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Видеообзоры, видеоотзывы и ролики экспертов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Съёмка и размещение видео в смету не входят. На сайте есть текст, фотографии и схема помощи.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Кейсы и «истории клиентов» сверх галереи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Галерея входит в смету. Серия историй с фото пациентов и кнопкой «читать далее», как у конкурентов, — дополнительный контент.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Полный набор микроразметки из Excel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 смете — предусмотренная техническая разметка. Список Product, Brand, AggregateRating, Physician и остальных типов с сайта конкурента копировать не будем. Рейтинг в разметке без настоящих оценок ставить нельзя.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Раздувание FAQ до 9–19 вопросов на каждой услуге и переписывание всех услуг «как у конкурента»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Блок FAQ в шаблоне есть. Новые уникальные тексты сверх наполнения оплачиваются по приложению: 150 или 250 рублей за страницу.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Блок автора и рецензента как у 21rehab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Карточки врачей в смете есть. Отдельный блок E-E-A-T на каждой статье в смету не входит.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Почтовый индекс, ИНН и ОГРН отдельным блоком в футере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Страницы «Контакты» и «Реквизиты» в смете есть. Если пришлёте индекс, ИНН и ОГРН, внесём их на эти страницы. Верстать под них новый футер не будем.</w:t>
            </w:r>
          </w:p>
        </w:tc>
      </w:tr>
      <w:tr>
        <w:tc>
          <w:tcPr>
            <w:tcW w:type="dxa" w:w="4986"/>
            <w:shd w:fill="F4F7FB" w:val="clear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Регулярное SEO, ссылки и позиции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Приложение прямо исключает продвижение, закупку ссылок и обещание мест в выдаче.</w:t>
            </w:r>
          </w:p>
        </w:tc>
      </w:tr>
    </w:tbl>
    <w:p>
      <w:pPr>
        <w:spacing w:before="280" w:after="120"/>
      </w:pPr>
      <w:r>
        <w:rPr>
          <w:rFonts w:ascii="Times New Roman" w:hAnsi="Times New Roman" w:eastAsia="Times New Roman"/>
          <w:b/>
          <w:color w:val="1F3A5F"/>
          <w:sz w:val="28"/>
        </w:rPr>
        <w:t>3. Что сделано по смете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Ниже работы из Приложения № 1 и таблицы сметы. Это тот объём, который мы делали.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Сайт на WordPress с адаптивной вёрсткой: компьютер, планшет и телефон.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Главная страница и меню.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Шаблон посадочной страницы под города: адрес вида /город/..., телефон, адрес и лицензия меняются вместе с городом.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Раздел «О клинике»: страница раздела, лицензии, юридическая информация и реквизиты, методы помощи, врачи, карточка специалиста, цены, контакты.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Типовая страница услуги. Опубликовано 120 услуг и 5 программ вывода из запоя на этом шаблоне. В смете было 102 страницы услуг; приложение разрешает дополнительные адреса на уже готовом шаблоне.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Раздел «Статьи» и типовая страница статьи. Опубликованы три статьи из материалов проекта.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Страницы из подвала: отзывы, галерея, полезные ссылки, карта сайта. Эти ссылки добавлены в футер.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Формы обратной связи и записи. После отправки форма очищается, показывается окно благодарности, письмо уходит на адрес из настроек. Тестовая отправка проходит.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Технические страницы: 404, уведомление о cookie, политика обработки персональных данных, согласие, условия.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Настройка WordPress: типы записей услуг, программ и врачей, редактирование страниц из админки.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Базовая и техническая SEO-настройка в пределах структуры: человекопонятные адреса, свои Title и Description у страниц, услуг, статей и врачей, редиректы со старых адресов, robots.txt, sitemap.xml, базовая микроразметка Schema.org.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Руководство администратора в PDF: как править города, страницы, услуги, статьи, врачей, заявки и поля Title / Description. Файл передаётся вместе с этим пояснением.</w:t>
      </w:r>
    </w:p>
    <w:p>
      <w:pPr>
        <w:pStyle w:val="ListBullet"/>
        <w:spacing w:after="80" w:line="276" w:lineRule="auto"/>
      </w:pPr>
      <w:r>
        <w:rPr>
          <w:rFonts w:ascii="Times New Roman" w:hAnsi="Times New Roman" w:eastAsia="Times New Roman"/>
          <w:b w:val="0"/>
          <w:sz w:val="24"/>
        </w:rPr>
        <w:t>Покупка и базовая настройка сервера, публикация сайта и SSL — в рамках запуска на согласованном адресе.</w:t>
      </w:r>
    </w:p>
    <w:p>
      <w:pPr>
        <w:spacing w:after="160" w:before="160" w:line="276" w:lineRule="auto"/>
      </w:pPr>
      <w:r>
        <w:rPr>
          <w:rFonts w:ascii="Times New Roman" w:hAnsi="Times New Roman" w:eastAsia="Times New Roman"/>
          <w:b w:val="0"/>
          <w:sz w:val="24"/>
        </w:rPr>
        <w:t>Отдельно по Яндекс Метрике. Строка в смете есть, код подключения на сайте готов. Номер счётчика в материалах проекта не был: без номера из вашего кабинета metrika.yandex.ru подключать чужой счётчик нельзя. Пришлите номер — вставлю его в настройки, и счётчик начнёт собираться на всех страницах.</w:t>
      </w:r>
    </w:p>
    <w:p>
      <w:pPr>
        <w:spacing w:after="160" w:before="80" w:line="276" w:lineRule="auto"/>
      </w:pPr>
      <w:r>
        <w:rPr>
          <w:rFonts w:ascii="Times New Roman" w:hAnsi="Times New Roman" w:eastAsia="Times New Roman"/>
          <w:b w:val="0"/>
          <w:sz w:val="24"/>
        </w:rPr>
        <w:t>Письма с заявок настроены и тестовое письмо отправляется. Если письма должны приходить на почту клиники, а не на адрес, который сейчас указан в настройках, пришлите этот ящик — заменю получателя.</w:t>
      </w:r>
    </w:p>
    <w:p>
      <w:pPr>
        <w:spacing w:before="280" w:after="120"/>
      </w:pPr>
      <w:r>
        <w:rPr>
          <w:rFonts w:ascii="Times New Roman" w:hAnsi="Times New Roman" w:eastAsia="Times New Roman"/>
          <w:b/>
          <w:color w:val="1F3A5F"/>
          <w:sz w:val="28"/>
        </w:rPr>
        <w:t>Что нужно от заказчика, чтобы закрыть оставшиеся пункты сметы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Номер счётчика Яндекс Метрики.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Почтовый ящик клиники для заявок, если текущий адрес получателя нужно сменить.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Тексты новых статей, если раздел нужно пополнить. Готовый текст — 150 рублей за страницу, подготовка текста с нашей стороны — 250 рублей, как в приложении.</w:t>
      </w:r>
    </w:p>
    <w:p>
      <w:pPr>
        <w:spacing w:after="160" w:before="0" w:line="276" w:lineRule="auto"/>
      </w:pPr>
      <w:r>
        <w:rPr>
          <w:rFonts w:ascii="Times New Roman" w:hAnsi="Times New Roman" w:eastAsia="Times New Roman"/>
          <w:b w:val="0"/>
          <w:sz w:val="24"/>
        </w:rPr>
        <w:t>Индекс, ИНН и ОГРН, если их нужно внести на страницы «Контакты» и «Реквизиты».</w:t>
      </w:r>
    </w:p>
    <w:p>
      <w:pPr>
        <w:spacing w:after="160" w:before="160" w:line="276" w:lineRule="auto"/>
      </w:pPr>
      <w:r>
        <w:rPr>
          <w:rFonts w:ascii="Times New Roman" w:hAnsi="Times New Roman" w:eastAsia="Times New Roman"/>
          <w:b w:val="0"/>
          <w:sz w:val="24"/>
        </w:rPr>
        <w:t>Прошу считать пункты из раздела 2 не входящими в договор № 50. По разделу 1 и разделу 3 работы соответствуют смете. Пункты из Excel, которых нет в смете, могу оценить отдельно после вашего решения, какие из них клинике действительно нужны.</w:t>
      </w:r>
    </w:p>
    <w:p>
      <w:pPr>
        <w:spacing w:after="40" w:before="280" w:line="276" w:lineRule="auto"/>
      </w:pPr>
      <w:r>
        <w:rPr>
          <w:rFonts w:ascii="Times New Roman" w:hAnsi="Times New Roman" w:eastAsia="Times New Roman"/>
          <w:b w:val="0"/>
          <w:sz w:val="24"/>
        </w:rPr>
        <w:t>С уважением,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/>
          <w:sz w:val="24"/>
        </w:rPr>
        <w:t>Гнеденков С. Д.</w:t>
      </w:r>
    </w:p>
    <w:p>
      <w:pPr>
        <w:spacing w:after="0" w:before="0" w:line="276" w:lineRule="auto"/>
      </w:pPr>
      <w:r>
        <w:rPr>
          <w:rFonts w:ascii="Times New Roman" w:hAnsi="Times New Roman" w:eastAsia="Times New Roman"/>
          <w:b w:val="0"/>
          <w:sz w:val="22"/>
        </w:rPr>
        <w:t>Исполнитель по договору № 50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