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1361</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248</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295</w:t>
      </w:r>
    </w:p>
    <w:p>
      <w:pPr>
        <w:spacing w:after="0" w:before="0" w:line="240" w:lineRule="auto"/>
      </w:pPr>
      <w:r>
        <w:rPr>
          <w:rFonts w:ascii="Consolas" w:hAnsi="Consolas" w:eastAsia="Consolas"/>
          <w:sz w:val="13"/>
        </w:rPr>
        <w:t>│   ├── NativeSqlControl.cs  1903</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2539</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497</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1732</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1986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3651</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579</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660</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832</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1236</w:t>
      </w:r>
    </w:p>
    <w:p>
      <w:pPr>
        <w:spacing w:after="0" w:before="0" w:line="240" w:lineRule="auto"/>
      </w:pPr>
      <w:r>
        <w:rPr>
          <w:rFonts w:ascii="Consolas" w:hAnsi="Consolas" w:eastAsia="Consolas"/>
          <w:sz w:val="13"/>
        </w:rPr>
        <w:t>│   ├── FileParseCache.cs  403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511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332</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373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746</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1504</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1577</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202</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1098</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141</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195</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806</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988</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2691</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