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1415</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368</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140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50</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163</w:t>
      </w:r>
    </w:p>
    <w:p>
      <w:pPr>
        <w:spacing w:after="0" w:before="0" w:line="240" w:lineRule="auto"/>
      </w:pPr>
      <w:r>
        <w:rPr>
          <w:rFonts w:ascii="Consolas" w:hAnsi="Consolas" w:eastAsia="Consolas"/>
          <w:sz w:val="13"/>
        </w:rPr>
        <w:t>│   ├── NativeWeeklyMailControl.cs  366</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1565</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1896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833</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116</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305</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187</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3500</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373</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509</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164</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262</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449</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811</w:t>
      </w:r>
    </w:p>
    <w:p>
      <w:pPr>
        <w:spacing w:after="0" w:before="0" w:line="240" w:lineRule="auto"/>
      </w:pPr>
      <w:r>
        <w:rPr>
          <w:rFonts w:ascii="Consolas" w:hAnsi="Consolas" w:eastAsia="Consolas"/>
          <w:sz w:val="13"/>
        </w:rPr>
        <w:t>│   ├── WeeklyMailStore.cs  48</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324</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250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210</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70</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444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113</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237</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353</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34</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21</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99</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(MainForm.RequireLicense).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Services/TableDataService.cs, DataScriptService.cs; Forms/ListEditorForm.cs, RowDetailForm.cs, GotoColumnForm.cs; Web/Shell/tablebar.html, tablestruct.html</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