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1415</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199</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214</w:t>
      </w:r>
    </w:p>
    <w:p>
      <w:pPr>
        <w:spacing w:after="0" w:before="0" w:line="240" w:lineRule="auto"/>
      </w:pPr>
      <w:r>
        <w:rPr>
          <w:rFonts w:ascii="Consolas" w:hAnsi="Consolas" w:eastAsia="Consolas"/>
          <w:sz w:val="13"/>
        </w:rPr>
        <w:t>│   ├── MonacoPreviewControl.Native.cs  101</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368</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140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254</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366</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1210</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1657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1983</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116</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305</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187</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3607</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541</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164</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262</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144</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WeeklyMailStore.cs  48</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191</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390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210</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70</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fsgreq.html  714</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113</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1516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595</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170</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353</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205</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Web/Shell/tablebar.html, tablestruct.html, partitioncheck.html; MainForm.WireTableMenu</w:t>
            </w:r>
          </w:p>
        </w:tc>
        <w:tc>
          <w:tcPr>
            <w:tcW w:type="dxa" w:w="3855"/>
          </w:tcPr>
          <w:p>
            <w:pPr>
              <w:spacing w:after="20"/>
            </w:pPr>
            <w:r/>
            <w:r>
              <w:rPr>
                <w:b w:val="0"/>
                <w:sz w:val="16"/>
              </w:rPr>
              <w:t>Sửa dữ liệu kiểu Excel;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key bản quyền.</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