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Zim-TTECH COP24 Q4 DATIM File Narrative</w:t>
      </w:r>
    </w:p>
    <w:p>
      <w:pPr>
        <w:pStyle w:val="Heading1"/>
      </w:pPr>
      <w:r>
        <w:t>Number of facilities reporting</w:t>
      </w:r>
    </w:p>
    <w:p>
      <w:r>
        <w:t>In COP24 Q4, a total of {{total_active_facilities}} facilities were active on the full IMPILO E-HR system. Raw data files were available from {{raw_data_sites}} sites, of which {{collected_manually}} were collected manually, {{pushed_via_pipeline}} were pushed via the data pipeline and {{mobile_backups}} were complete backups obtained via the mobile backup.</w:t>
      </w:r>
    </w:p>
    <w:p>
      <w:r>
        <w:t>For the period under review, data from {{ehr_facilities_analyzed}} facilities ({{ehr_facilities_analyzed_pct}}%) were successfully analysed.</w:t>
      </w:r>
    </w:p>
    <w:p>
      <w:r>
        <w:t>{{figure1}}</w:t>
      </w:r>
    </w:p>
    <w:p>
      <w:pPr>
        <w:pStyle w:val="Caption"/>
      </w:pPr>
      <w:r>
        <w:t>Figure 1: Summary of COP24 Q4 IMPILO E-HR data flow cascade.</w:t>
      </w:r>
    </w:p>
    <w:p>
      <w:pPr>
        <w:pStyle w:val="Heading1"/>
      </w:pPr>
      <w:r>
        <w:t>Number of indicators reported</w:t>
      </w:r>
    </w:p>
    <w:p>
      <w:r>
        <w:t>Table 1 below shows the number of facilities reporting each indicator through IMPILO E-HR in COP24 Q4.</w:t>
      </w:r>
    </w:p>
    <w:p>
      <w:r>
        <w:t>{{table1_indicators}}</w:t>
      </w:r>
    </w:p>
    <w:p>
      <w:pPr>
        <w:pStyle w:val="Caption"/>
      </w:pPr>
      <w:r>
        <w:t>Table 1: Indicators reported through IMPILO E-HR in COP24</w:t>
      </w:r>
    </w:p>
    <w:p>
      <w:pPr>
        <w:pStyle w:val="Heading1"/>
      </w:pPr>
      <w:r>
        <w:t>Data Quality Metrics</w:t>
      </w:r>
    </w:p>
    <w:p>
      <w:r>
        <w:t>Data Completeness</w:t>
      </w:r>
    </w:p>
    <w:p>
      <w:r>
        <w:t>In COP24 Q4 TX_CURR, TX_ML, TX_TB, HTS_TST/POS and PMTCT_STAT had the highest proportion of facilities reporting ({{prop_tx_curr}}%, {{prop_tx_ml}}%, {{prop_tx_tb}}%, {{prop_hts_tst}}%, {{prop_pmtct_stat}}%) as shown in Figure 2.</w:t>
      </w:r>
    </w:p>
    <w:p>
      <w:r>
        <w:t>{{figure2}}</w:t>
      </w:r>
    </w:p>
    <w:p>
      <w:pPr>
        <w:pStyle w:val="Caption"/>
      </w:pPr>
      <w:r>
        <w:t>Figure 2: Proportion of sites reporting individual indicators in IMPILO E-HR COP24 Q4.</w:t>
      </w:r>
    </w:p>
    <w:p>
      <w:r>
        <w:t>Reporting Consistency</w:t>
      </w:r>
    </w:p>
    <w:p>
      <w:r>
        <w:t>{{figure3}}</w:t>
      </w:r>
    </w:p>
    <w:p>
      <w:pPr>
        <w:pStyle w:val="Caption"/>
      </w:pPr>
      <w:r>
        <w:t>Figure 3: Trends in sites successfully reporting, COP22 – COP24 Q4</w:t>
      </w:r>
    </w:p>
    <w:p>
      <w:pPr>
        <w:pStyle w:val="Heading1"/>
      </w:pPr>
      <w:r>
        <w:t>Challenges</w:t>
      </w:r>
    </w:p>
    <w:p>
      <w:r>
        <w:t>• Database collection</w:t>
      </w:r>
    </w:p>
    <w:p>
      <w:r>
        <w:t>{{challenge_database_collection}}</w:t>
      </w:r>
    </w:p>
    <w:p>
      <w:r>
        <w:t>• Data extraction</w:t>
      </w:r>
    </w:p>
    <w:p>
      <w:r>
        <w:t>{{challenge_data_extraction}}</w:t>
      </w:r>
    </w:p>
    <w:p>
      <w:pPr>
        <w:pStyle w:val="Heading1"/>
      </w:pPr>
      <w:r>
        <w:t>Remedial Actions Taken and Recommendations</w:t>
      </w:r>
    </w:p>
    <w:p>
      <w:r>
        <w:t>• Database collection and extraction challenges</w:t>
      </w:r>
    </w:p>
    <w:p>
      <w:r>
        <w:t>• {{remedial_point_1}}</w:t>
      </w:r>
    </w:p>
    <w:p>
      <w:r>
        <w:t>• {{remedial_point_2}}</w:t>
      </w:r>
    </w:p>
    <w:p>
      <w:r>
        <w:t>• {{remedial_point_3}}</w:t>
      </w:r>
    </w:p>
    <w:p>
      <w:pPr>
        <w:pStyle w:val="Heading1"/>
      </w:pPr>
      <w:r>
        <w:t>Optimized Sites Data Concordance Analysis</w:t>
      </w:r>
    </w:p>
    <w:p>
      <w:r>
        <w:t>{{table2_concordance_facility}}</w:t>
      </w:r>
    </w:p>
    <w:p>
      <w:pPr>
        <w:pStyle w:val="Caption"/>
      </w:pPr>
      <w:r>
        <w:t>Table 2: MRF/E-HR Data Concordance Analysis for Optimized sites</w:t>
      </w:r>
    </w:p>
    <w:p>
      <w:pPr>
        <w:pStyle w:val="Heading1"/>
      </w:pPr>
      <w:r>
        <w:t>Overall Data Concordance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MRF/DHIS2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E-HR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Concordance</w:t>
            </w:r>
          </w:p>
        </w:tc>
      </w:tr>
      <w:tr>
        <w:tc>
          <w:tcPr>
            <w:tcW w:type="dxa" w:w="2160"/>
          </w:tcPr>
          <w:p>
            <w:r>
              <w:t>HTS_TST</w:t>
            </w:r>
          </w:p>
        </w:tc>
        <w:tc>
          <w:tcPr>
            <w:tcW w:type="dxa" w:w="2160"/>
          </w:tcPr>
          <w:p>
            <w:r>
              <w:t>{{overall_hts_tst_mrf}}</w:t>
            </w:r>
          </w:p>
        </w:tc>
        <w:tc>
          <w:tcPr>
            <w:tcW w:type="dxa" w:w="2160"/>
          </w:tcPr>
          <w:p>
            <w:r>
              <w:t>{{overall_hts_tst_ehr}}</w:t>
            </w:r>
          </w:p>
        </w:tc>
        <w:tc>
          <w:tcPr>
            <w:tcW w:type="dxa" w:w="2160"/>
          </w:tcPr>
          <w:p>
            <w:r>
              <w:t>{{overall_hts_tst_conc}}%</w:t>
            </w:r>
          </w:p>
        </w:tc>
      </w:tr>
      <w:tr>
        <w:tc>
          <w:tcPr>
            <w:tcW w:type="dxa" w:w="2160"/>
          </w:tcPr>
          <w:p>
            <w:r>
              <w:t>HTS_POS</w:t>
            </w:r>
          </w:p>
        </w:tc>
        <w:tc>
          <w:tcPr>
            <w:tcW w:type="dxa" w:w="2160"/>
          </w:tcPr>
          <w:p>
            <w:r>
              <w:t>{{overall_hts_pos_mrf}}</w:t>
            </w:r>
          </w:p>
        </w:tc>
        <w:tc>
          <w:tcPr>
            <w:tcW w:type="dxa" w:w="2160"/>
          </w:tcPr>
          <w:p>
            <w:r>
              <w:t>{{overall_hts_pos_ehr}}</w:t>
            </w:r>
          </w:p>
        </w:tc>
        <w:tc>
          <w:tcPr>
            <w:tcW w:type="dxa" w:w="2160"/>
          </w:tcPr>
          <w:p>
            <w:r>
              <w:t>{{overall_hts_pos_conc}}%</w:t>
            </w:r>
          </w:p>
        </w:tc>
      </w:tr>
      <w:tr>
        <w:tc>
          <w:tcPr>
            <w:tcW w:type="dxa" w:w="2160"/>
          </w:tcPr>
          <w:p>
            <w:r>
              <w:t>TX_NEW</w:t>
            </w:r>
          </w:p>
        </w:tc>
        <w:tc>
          <w:tcPr>
            <w:tcW w:type="dxa" w:w="2160"/>
          </w:tcPr>
          <w:p>
            <w:r>
              <w:t>{{overall_tx_new_mrf}}</w:t>
            </w:r>
          </w:p>
        </w:tc>
        <w:tc>
          <w:tcPr>
            <w:tcW w:type="dxa" w:w="2160"/>
          </w:tcPr>
          <w:p>
            <w:r>
              <w:t>{{overall_tx_new_ehr}}</w:t>
            </w:r>
          </w:p>
        </w:tc>
        <w:tc>
          <w:tcPr>
            <w:tcW w:type="dxa" w:w="2160"/>
          </w:tcPr>
          <w:p>
            <w:r>
              <w:t>{{overall_tx_new_conc}}%</w:t>
            </w:r>
          </w:p>
        </w:tc>
      </w:tr>
      <w:tr>
        <w:tc>
          <w:tcPr>
            <w:tcW w:type="dxa" w:w="2160"/>
          </w:tcPr>
          <w:p>
            <w:r>
              <w:t>TX_CURR</w:t>
            </w:r>
          </w:p>
        </w:tc>
        <w:tc>
          <w:tcPr>
            <w:tcW w:type="dxa" w:w="2160"/>
          </w:tcPr>
          <w:p>
            <w:r>
              <w:t>{{overall_tx_curr_mrf}}</w:t>
            </w:r>
          </w:p>
        </w:tc>
        <w:tc>
          <w:tcPr>
            <w:tcW w:type="dxa" w:w="2160"/>
          </w:tcPr>
          <w:p>
            <w:r>
              <w:t>{{overall_tx_curr_ehr}}</w:t>
            </w:r>
          </w:p>
        </w:tc>
        <w:tc>
          <w:tcPr>
            <w:tcW w:type="dxa" w:w="2160"/>
          </w:tcPr>
          <w:p>
            <w:r>
              <w:t>{{overall_tx_curr_conc}}%</w:t>
            </w:r>
          </w:p>
        </w:tc>
      </w:tr>
    </w:tbl>
    <w:p>
      <w:pPr>
        <w:pStyle w:val="Heading1"/>
      </w:pPr>
      <w:r>
        <w:t>TX_CURR Concordance Analysis for Harare and Bulawayo</w:t>
      </w:r>
    </w:p>
    <w:p>
      <w:r>
        <w:t>{{figure4}}</w:t>
      </w:r>
    </w:p>
    <w:p>
      <w:pPr>
        <w:pStyle w:val="Caption"/>
      </w:pPr>
      <w:r>
        <w:t>Figure 4: Concordance analysis for Harare and Bulawayo sites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