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Scientific Overclaim Editor Project Guide</w:t>
      </w:r>
    </w:p>
    <w:p>
      <w:r>
        <w:t>Scientific Overclaim Editor | CS544 Project 8 | Version 2.1 | October 15 2026</w:t>
      </w:r>
    </w:p>
    <w:p>
      <w:r>
        <w:t>This shared package supports data preparation, system development, evaluation, presentations and the final report. This document explains what is available, the decision for every example, why each choice was made, and how evidence and data limits shape the next steps.</w:t>
      </w:r>
    </w:p>
    <w:p>
      <w:pPr>
        <w:pStyle w:val="Heading2"/>
      </w:pPr>
      <w:r>
        <w:t>Data and evaluation decisions</w:t>
      </w:r>
    </w:p>
    <w:p>
      <w:r>
        <w:t>1. Complete eight AI-reviewed working references, with exact evidence and reasons. No independent human review is claimed.</w:t>
      </w:r>
    </w:p>
    <w:p>
      <w:r>
        <w:t>2. Adopt a concrete 44-candidate training-only pool. Only 22 original training labels are exaggerates, so the earlier 30-overclaim starting target cannot be drawn from that stratum.</w:t>
      </w:r>
    </w:p>
    <w:p>
      <w:r>
        <w:t>3. Require support from the actual supplied source. Abstain on unverifiable scientific quantities or materially conflicting results. Report scope-only repairs separately from causal editing.</w:t>
      </w:r>
    </w:p>
    <w:p>
      <w:pPr>
        <w:pStyle w:val="Heading2"/>
      </w:pPr>
      <w:r>
        <w:t>Project status</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2880"/>
          </w:tcPr>
          <w:p>
            <w:pPr>
              <w:spacing w:after="80"/>
            </w:pPr>
            <w:r>
              <w:rPr>
                <w:b/>
                <w:sz w:val="19"/>
              </w:rPr>
              <w:t>Item</w:t>
            </w:r>
          </w:p>
        </w:tc>
        <w:tc>
          <w:tcPr>
            <w:tcW w:type="dxa" w:w="7200"/>
          </w:tcPr>
          <w:p>
            <w:pPr>
              <w:spacing w:after="80"/>
            </w:pPr>
            <w:r>
              <w:rPr>
                <w:b/>
                <w:sz w:val="19"/>
              </w:rPr>
              <w:t>State</w:t>
            </w:r>
          </w:p>
        </w:tc>
      </w:tr>
      <w:tr>
        <w:trPr>
          <w:cantSplit/>
        </w:trPr>
        <w:tc>
          <w:tcPr>
            <w:tcW w:type="dxa" w:w="2880"/>
          </w:tcPr>
          <w:p>
            <w:pPr>
              <w:spacing w:after="80"/>
            </w:pPr>
            <w:r>
              <w:rPr>
                <w:sz w:val="19"/>
              </w:rPr>
              <w:t>Original paired data</w:t>
            </w:r>
          </w:p>
        </w:tc>
        <w:tc>
          <w:tcPr>
            <w:tcW w:type="dxa" w:w="7200"/>
          </w:tcPr>
          <w:p>
            <w:pPr>
              <w:spacing w:after="80"/>
            </w:pPr>
            <w:r>
              <w:rPr>
                <w:sz w:val="19"/>
              </w:rPr>
              <w:t>100 train and 563 reserved test pairs, unchanged</w:t>
            </w:r>
          </w:p>
        </w:tc>
      </w:tr>
      <w:tr>
        <w:trPr>
          <w:cantSplit/>
        </w:trPr>
        <w:tc>
          <w:tcPr>
            <w:tcW w:type="dxa" w:w="2880"/>
          </w:tcPr>
          <w:p>
            <w:pPr>
              <w:spacing w:after="80"/>
            </w:pPr>
            <w:r>
              <w:rPr>
                <w:sz w:val="19"/>
              </w:rPr>
              <w:t>Calibration inputs</w:t>
            </w:r>
          </w:p>
        </w:tc>
        <w:tc>
          <w:tcPr>
            <w:tcW w:type="dxa" w:w="7200"/>
          </w:tcPr>
          <w:p>
            <w:pPr>
              <w:spacing w:after="80"/>
            </w:pPr>
            <w:r>
              <w:rPr>
                <w:sz w:val="19"/>
              </w:rPr>
              <w:t>8 full abstracts with matching PMID and DOI records</w:t>
            </w:r>
          </w:p>
        </w:tc>
      </w:tr>
      <w:tr>
        <w:trPr>
          <w:cantSplit/>
        </w:trPr>
        <w:tc>
          <w:tcPr>
            <w:tcW w:type="dxa" w:w="2880"/>
          </w:tcPr>
          <w:p>
            <w:pPr>
              <w:spacing w:after="80"/>
            </w:pPr>
            <w:r>
              <w:rPr>
                <w:sz w:val="19"/>
              </w:rPr>
              <w:t>Working decisions</w:t>
            </w:r>
          </w:p>
        </w:tc>
        <w:tc>
          <w:tcPr>
            <w:tcW w:type="dxa" w:w="7200"/>
          </w:tcPr>
          <w:p>
            <w:pPr>
              <w:spacing w:after="80"/>
            </w:pPr>
            <w:r>
              <w:rPr>
                <w:sz w:val="19"/>
              </w:rPr>
              <w:t>8 AI-reviewed references with exact evidence and reasons</w:t>
            </w:r>
          </w:p>
        </w:tc>
      </w:tr>
      <w:tr>
        <w:trPr>
          <w:cantSplit/>
        </w:trPr>
        <w:tc>
          <w:tcPr>
            <w:tcW w:type="dxa" w:w="2880"/>
          </w:tcPr>
          <w:p>
            <w:pPr>
              <w:spacing w:after="80"/>
            </w:pPr>
            <w:r>
              <w:rPr>
                <w:sz w:val="19"/>
              </w:rPr>
              <w:t>Acquisition queue</w:t>
            </w:r>
          </w:p>
        </w:tc>
        <w:tc>
          <w:tcPr>
            <w:tcW w:type="dxa" w:w="7200"/>
          </w:tcPr>
          <w:p>
            <w:pPr>
              <w:spacing w:after="80"/>
            </w:pPr>
            <w:r>
              <w:rPr>
                <w:sz w:val="19"/>
              </w:rPr>
              <w:t>44 candidates; 8 abstracts recovered and 36 remaining</w:t>
            </w:r>
          </w:p>
        </w:tc>
      </w:tr>
      <w:tr>
        <w:trPr>
          <w:cantSplit/>
        </w:trPr>
        <w:tc>
          <w:tcPr>
            <w:tcW w:type="dxa" w:w="2880"/>
          </w:tcPr>
          <w:p>
            <w:pPr>
              <w:spacing w:after="80"/>
            </w:pPr>
            <w:r>
              <w:rPr>
                <w:sz w:val="19"/>
              </w:rPr>
              <w:t>Independent human reviews</w:t>
            </w:r>
          </w:p>
        </w:tc>
        <w:tc>
          <w:tcPr>
            <w:tcW w:type="dxa" w:w="7200"/>
          </w:tcPr>
          <w:p>
            <w:pPr>
              <w:spacing w:after="80"/>
            </w:pPr>
            <w:r>
              <w:rPr>
                <w:sz w:val="19"/>
              </w:rPr>
              <w:t>0 completed; human fields intentionally empty</w:t>
            </w:r>
          </w:p>
        </w:tc>
      </w:tr>
      <w:tr>
        <w:trPr>
          <w:cantSplit/>
        </w:trPr>
        <w:tc>
          <w:tcPr>
            <w:tcW w:type="dxa" w:w="2880"/>
          </w:tcPr>
          <w:p>
            <w:pPr>
              <w:spacing w:after="80"/>
            </w:pPr>
            <w:r>
              <w:rPr>
                <w:sz w:val="19"/>
              </w:rPr>
              <w:t>Experiments and evaluation split</w:t>
            </w:r>
          </w:p>
        </w:tc>
        <w:tc>
          <w:tcPr>
            <w:tcW w:type="dxa" w:w="7200"/>
          </w:tcPr>
          <w:p>
            <w:pPr>
              <w:spacing w:after="80"/>
            </w:pPr>
            <w:r>
              <w:rPr>
                <w:sz w:val="19"/>
              </w:rPr>
              <w:t>No model results and no frozen evaluation split</w:t>
            </w:r>
          </w:p>
        </w:tc>
      </w:tr>
    </w:tbl>
    <w:p>
      <w:pPr>
        <w:pStyle w:val="Heading2"/>
      </w:pPr>
      <w:r>
        <w:t>Independent reviewers must use a different reading route</w:t>
      </w:r>
    </w:p>
    <w:p>
      <w:r>
        <w:t>This document reveals answers. Before an independent first pass, read only Annotation_Guide.md and the assigned member review form. Submit before reading this handoff, Calibration_Examples.md or annotations. Record any prior answer exposure. An exposed review is an audit, not blind independent evidence. These eight cases remain development-only.</w:t>
      </w:r>
    </w:p>
    <w:p>
      <w:r>
        <w:br w:type="page"/>
      </w:r>
    </w:p>
    <w:p>
      <w:pPr>
        <w:pStyle w:val="Heading1"/>
      </w:pPr>
      <w:r>
        <w:t>Evidence and annotation rules</w:t>
      </w:r>
    </w:p>
    <w:p>
      <w:r>
        <w:t>We judge fidelity to the supplied abstract, not independently establish a study's scientific validity. The source's hedged causal speculation can support equally hedged reporting. Causal words alone do not prove an error.</w:t>
      </w:r>
    </w:p>
    <w:p>
      <w:pPr>
        <w:pStyle w:val="Heading2"/>
      </w:pPr>
      <w:r>
        <w:t>Decisions and actions</w:t>
      </w:r>
    </w:p>
    <w:p>
      <w:r>
        <w:t>Supported: return the original exactly. Overclaim: evidence establishes a mismatch and supports a repair; make the smallest necessary change. Insufficient evidence: a reliable full revision cannot be justified; return no revised claim and explain the source limitation.</w:t>
      </w:r>
    </w:p>
    <w:p>
      <w:r>
        <w:t>A known causal error can coexist with whole-statement insufficiency. CAL-03 illustrates this: the causal wording is wrong, but the scientific number cannot be verified. A blank reliable correction is intentional, not an unfinished annotation.</w:t>
      </w:r>
    </w:p>
    <w:p>
      <w:pPr>
        <w:pStyle w:val="Heading2"/>
      </w:pPr>
      <w:r>
        <w:t>What evidence can establish</w:t>
      </w:r>
    </w:p>
    <w:p>
      <w:r>
        <w:t>Check scientific quantities, intervention, population, measured outcome, comparator, direction and uncertainty against the saved input. Unseen methods or remembered facts cannot supply missing support. Added evidence requires a new source version and reassessed decision.</w:t>
      </w:r>
    </w:p>
    <w:p>
      <w:r>
        <w:t>Preserve explicit sex and species restrictions in general treatment statements under this conservative rubric. Do not require every location or recruitment date unless the claim explicitly generalizes beyond the study. Global health assessment does not establish a specific symptom improvement.</w:t>
      </w:r>
    </w:p>
    <w:p>
      <w:r>
        <w:t>Editorial attribution, publication timing, institutions and parenthetical naming aliases are outside the scientific-content score. Preserve them without claiming the abstract verifies them. Models and raters use the same boundary.</w:t>
      </w:r>
    </w:p>
    <w:p>
      <w:pPr>
        <w:pStyle w:val="Heading2"/>
      </w:pPr>
      <w:r>
        <w:t>Read the complete source</w:t>
      </w:r>
    </w:p>
    <w:p>
      <w:r>
        <w:t>A favorable conclusion cannot override materially different results elsewhere without an adequate resolution. CAL-04 therefore requires abstention. Its conclusion alone would conceal the reason.</w:t>
      </w:r>
    </w:p>
    <w:p>
      <w:pPr>
        <w:pStyle w:val="Heading2"/>
      </w:pPr>
      <w:r>
        <w:t>Keep experimental categories separate</w:t>
      </w:r>
    </w:p>
    <w:p>
      <w:r>
        <w:t>Primary causal-correction rates use verified causal-strength overclaims. Clean supported controls test unnecessary edits. Scope-only repairs and source-insufficient cases form separate diagnostic strata. All eight current cases are excluded from held-out performance.</w:t>
      </w:r>
    </w:p>
    <w:p>
      <w:r>
        <w:t>Current passages are AI-selected reference evidence. Human verification is required before calling condition C gold evidence. For C versus D, keep the editor fixed and change only supplied evidence. Raters inspect the full reference but separately record whether the actual editor input was sufficient. The editor may not silently access omitted full-abstract context.</w:t>
      </w:r>
    </w:p>
    <w:p>
      <w:r>
        <w:br w:type="page"/>
      </w:r>
    </w:p>
    <w:p>
      <w:pPr>
        <w:pStyle w:val="Heading1"/>
      </w:pPr>
      <w:r>
        <w:t>The eight working references</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936"/>
          </w:tcPr>
          <w:p>
            <w:pPr>
              <w:spacing w:after="80"/>
            </w:pPr>
            <w:r>
              <w:rPr>
                <w:b/>
                <w:sz w:val="19"/>
              </w:rPr>
              <w:t>ID</w:t>
            </w:r>
          </w:p>
        </w:tc>
        <w:tc>
          <w:tcPr>
            <w:tcW w:type="dxa" w:w="2592"/>
          </w:tcPr>
          <w:p>
            <w:pPr>
              <w:spacing w:after="80"/>
            </w:pPr>
            <w:r>
              <w:rPr>
                <w:b/>
                <w:sz w:val="19"/>
              </w:rPr>
              <w:t>Full-source decision</w:t>
            </w:r>
          </w:p>
        </w:tc>
        <w:tc>
          <w:tcPr>
            <w:tcW w:type="dxa" w:w="6552"/>
          </w:tcPr>
          <w:p>
            <w:pPr>
              <w:spacing w:after="80"/>
            </w:pPr>
            <w:r>
              <w:rPr>
                <w:b/>
                <w:sz w:val="19"/>
              </w:rPr>
              <w:t>Use</w:t>
            </w:r>
          </w:p>
        </w:tc>
      </w:tr>
      <w:tr>
        <w:trPr>
          <w:cantSplit/>
        </w:trPr>
        <w:tc>
          <w:tcPr>
            <w:tcW w:type="dxa" w:w="936"/>
          </w:tcPr>
          <w:p>
            <w:pPr>
              <w:spacing w:after="80"/>
            </w:pPr>
            <w:r>
              <w:rPr>
                <w:sz w:val="19"/>
              </w:rPr>
              <w:t>CAL-01</w:t>
            </w:r>
          </w:p>
        </w:tc>
        <w:tc>
          <w:tcPr>
            <w:tcW w:type="dxa" w:w="2592"/>
          </w:tcPr>
          <w:p>
            <w:pPr>
              <w:spacing w:after="80"/>
            </w:pPr>
            <w:r>
              <w:rPr>
                <w:sz w:val="19"/>
              </w:rPr>
              <w:t>overclaim</w:t>
            </w:r>
          </w:p>
        </w:tc>
        <w:tc>
          <w:tcPr>
            <w:tcW w:type="dxa" w:w="6552"/>
          </w:tcPr>
          <w:p>
            <w:pPr>
              <w:spacing w:after="80"/>
            </w:pPr>
            <w:r>
              <w:rPr>
                <w:sz w:val="19"/>
              </w:rPr>
              <w:t>causal correction example</w:t>
            </w:r>
          </w:p>
        </w:tc>
      </w:tr>
      <w:tr>
        <w:trPr>
          <w:cantSplit/>
        </w:trPr>
        <w:tc>
          <w:tcPr>
            <w:tcW w:type="dxa" w:w="936"/>
          </w:tcPr>
          <w:p>
            <w:pPr>
              <w:spacing w:after="80"/>
            </w:pPr>
            <w:r>
              <w:rPr>
                <w:sz w:val="19"/>
              </w:rPr>
              <w:t>CAL-02</w:t>
            </w:r>
          </w:p>
        </w:tc>
        <w:tc>
          <w:tcPr>
            <w:tcW w:type="dxa" w:w="2592"/>
          </w:tcPr>
          <w:p>
            <w:pPr>
              <w:spacing w:after="80"/>
            </w:pPr>
            <w:r>
              <w:rPr>
                <w:sz w:val="19"/>
              </w:rPr>
              <w:t>supported</w:t>
            </w:r>
          </w:p>
        </w:tc>
        <w:tc>
          <w:tcPr>
            <w:tcW w:type="dxa" w:w="6552"/>
          </w:tcPr>
          <w:p>
            <w:pPr>
              <w:spacing w:after="80"/>
            </w:pPr>
            <w:r>
              <w:rPr>
                <w:sz w:val="19"/>
              </w:rPr>
              <w:t>supported control example</w:t>
            </w:r>
          </w:p>
        </w:tc>
      </w:tr>
      <w:tr>
        <w:trPr>
          <w:cantSplit/>
        </w:trPr>
        <w:tc>
          <w:tcPr>
            <w:tcW w:type="dxa" w:w="936"/>
          </w:tcPr>
          <w:p>
            <w:pPr>
              <w:spacing w:after="80"/>
            </w:pPr>
            <w:r>
              <w:rPr>
                <w:sz w:val="19"/>
              </w:rPr>
              <w:t>CAL-03</w:t>
            </w:r>
          </w:p>
        </w:tc>
        <w:tc>
          <w:tcPr>
            <w:tcW w:type="dxa" w:w="2592"/>
          </w:tcPr>
          <w:p>
            <w:pPr>
              <w:spacing w:after="80"/>
            </w:pPr>
            <w:r>
              <w:rPr>
                <w:sz w:val="19"/>
              </w:rPr>
              <w:t>insufficient evidence</w:t>
            </w:r>
          </w:p>
        </w:tc>
        <w:tc>
          <w:tcPr>
            <w:tcW w:type="dxa" w:w="6552"/>
          </w:tcPr>
          <w:p>
            <w:pPr>
              <w:spacing w:after="80"/>
            </w:pPr>
            <w:r>
              <w:rPr>
                <w:sz w:val="19"/>
              </w:rPr>
              <w:t>abstention example</w:t>
            </w:r>
          </w:p>
        </w:tc>
      </w:tr>
      <w:tr>
        <w:trPr>
          <w:cantSplit/>
        </w:trPr>
        <w:tc>
          <w:tcPr>
            <w:tcW w:type="dxa" w:w="936"/>
          </w:tcPr>
          <w:p>
            <w:pPr>
              <w:spacing w:after="80"/>
            </w:pPr>
            <w:r>
              <w:rPr>
                <w:sz w:val="19"/>
              </w:rPr>
              <w:t>CAL-04</w:t>
            </w:r>
          </w:p>
        </w:tc>
        <w:tc>
          <w:tcPr>
            <w:tcW w:type="dxa" w:w="2592"/>
          </w:tcPr>
          <w:p>
            <w:pPr>
              <w:spacing w:after="80"/>
            </w:pPr>
            <w:r>
              <w:rPr>
                <w:sz w:val="19"/>
              </w:rPr>
              <w:t>insufficient evidence</w:t>
            </w:r>
          </w:p>
        </w:tc>
        <w:tc>
          <w:tcPr>
            <w:tcW w:type="dxa" w:w="6552"/>
          </w:tcPr>
          <w:p>
            <w:pPr>
              <w:spacing w:after="80"/>
            </w:pPr>
            <w:r>
              <w:rPr>
                <w:sz w:val="19"/>
              </w:rPr>
              <w:t>abstention example</w:t>
            </w:r>
          </w:p>
        </w:tc>
      </w:tr>
      <w:tr>
        <w:trPr>
          <w:cantSplit/>
        </w:trPr>
        <w:tc>
          <w:tcPr>
            <w:tcW w:type="dxa" w:w="936"/>
          </w:tcPr>
          <w:p>
            <w:pPr>
              <w:spacing w:after="80"/>
            </w:pPr>
            <w:r>
              <w:rPr>
                <w:sz w:val="19"/>
              </w:rPr>
              <w:t>CAL-05</w:t>
            </w:r>
          </w:p>
        </w:tc>
        <w:tc>
          <w:tcPr>
            <w:tcW w:type="dxa" w:w="2592"/>
          </w:tcPr>
          <w:p>
            <w:pPr>
              <w:spacing w:after="80"/>
            </w:pPr>
            <w:r>
              <w:rPr>
                <w:sz w:val="19"/>
              </w:rPr>
              <w:t>overclaim</w:t>
            </w:r>
          </w:p>
        </w:tc>
        <w:tc>
          <w:tcPr>
            <w:tcW w:type="dxa" w:w="6552"/>
          </w:tcPr>
          <w:p>
            <w:pPr>
              <w:spacing w:after="80"/>
            </w:pPr>
            <w:r>
              <w:rPr>
                <w:sz w:val="19"/>
              </w:rPr>
              <w:t>scope correction example</w:t>
            </w:r>
          </w:p>
        </w:tc>
      </w:tr>
      <w:tr>
        <w:trPr>
          <w:cantSplit/>
        </w:trPr>
        <w:tc>
          <w:tcPr>
            <w:tcW w:type="dxa" w:w="936"/>
          </w:tcPr>
          <w:p>
            <w:pPr>
              <w:spacing w:after="80"/>
            </w:pPr>
            <w:r>
              <w:rPr>
                <w:sz w:val="19"/>
              </w:rPr>
              <w:t>CAL-06</w:t>
            </w:r>
          </w:p>
        </w:tc>
        <w:tc>
          <w:tcPr>
            <w:tcW w:type="dxa" w:w="2592"/>
          </w:tcPr>
          <w:p>
            <w:pPr>
              <w:spacing w:after="80"/>
            </w:pPr>
            <w:r>
              <w:rPr>
                <w:sz w:val="19"/>
              </w:rPr>
              <w:t>supported</w:t>
            </w:r>
          </w:p>
        </w:tc>
        <w:tc>
          <w:tcPr>
            <w:tcW w:type="dxa" w:w="6552"/>
          </w:tcPr>
          <w:p>
            <w:pPr>
              <w:spacing w:after="80"/>
            </w:pPr>
            <w:r>
              <w:rPr>
                <w:sz w:val="19"/>
              </w:rPr>
              <w:t>supported causal control example</w:t>
            </w:r>
          </w:p>
        </w:tc>
      </w:tr>
      <w:tr>
        <w:trPr>
          <w:cantSplit/>
        </w:trPr>
        <w:tc>
          <w:tcPr>
            <w:tcW w:type="dxa" w:w="936"/>
          </w:tcPr>
          <w:p>
            <w:pPr>
              <w:spacing w:after="80"/>
            </w:pPr>
            <w:r>
              <w:rPr>
                <w:sz w:val="19"/>
              </w:rPr>
              <w:t>CAL-07</w:t>
            </w:r>
          </w:p>
        </w:tc>
        <w:tc>
          <w:tcPr>
            <w:tcW w:type="dxa" w:w="2592"/>
          </w:tcPr>
          <w:p>
            <w:pPr>
              <w:spacing w:after="80"/>
            </w:pPr>
            <w:r>
              <w:rPr>
                <w:sz w:val="19"/>
              </w:rPr>
              <w:t>supported</w:t>
            </w:r>
          </w:p>
        </w:tc>
        <w:tc>
          <w:tcPr>
            <w:tcW w:type="dxa" w:w="6552"/>
          </w:tcPr>
          <w:p>
            <w:pPr>
              <w:spacing w:after="80"/>
            </w:pPr>
            <w:r>
              <w:rPr>
                <w:sz w:val="19"/>
              </w:rPr>
              <w:t>supported control example</w:t>
            </w:r>
          </w:p>
        </w:tc>
      </w:tr>
      <w:tr>
        <w:trPr>
          <w:cantSplit/>
        </w:trPr>
        <w:tc>
          <w:tcPr>
            <w:tcW w:type="dxa" w:w="936"/>
          </w:tcPr>
          <w:p>
            <w:pPr>
              <w:spacing w:after="80"/>
            </w:pPr>
            <w:r>
              <w:rPr>
                <w:sz w:val="19"/>
              </w:rPr>
              <w:t>CAL-08</w:t>
            </w:r>
          </w:p>
        </w:tc>
        <w:tc>
          <w:tcPr>
            <w:tcW w:type="dxa" w:w="2592"/>
          </w:tcPr>
          <w:p>
            <w:pPr>
              <w:spacing w:after="80"/>
            </w:pPr>
            <w:r>
              <w:rPr>
                <w:sz w:val="19"/>
              </w:rPr>
              <w:t>overclaim</w:t>
            </w:r>
          </w:p>
        </w:tc>
        <w:tc>
          <w:tcPr>
            <w:tcW w:type="dxa" w:w="6552"/>
          </w:tcPr>
          <w:p>
            <w:pPr>
              <w:spacing w:after="80"/>
            </w:pPr>
            <w:r>
              <w:rPr>
                <w:sz w:val="19"/>
              </w:rPr>
              <w:t>scope correction example</w:t>
            </w:r>
          </w:p>
        </w:tc>
      </w:tr>
    </w:tbl>
    <w:p>
      <w:r>
        <w:t>The three overclaims comprise one causal-strength case and two scope-only cases. There are three supported references and two abstentions. These selected categories are not performance measurements or estimates of dataset prevalence.</w:t>
      </w:r>
    </w:p>
    <w:p>
      <w:pPr>
        <w:pStyle w:val="Heading2"/>
      </w:pPr>
      <w:r>
        <w:t>Why labels differ from the original benchmark</w:t>
      </w:r>
    </w:p>
    <w:p>
      <w:r>
        <w:t>Original labels compare wording strength in aligned excerpts. Current decisions check complete scientific content against the full supplied abstract. Original same does not guarantee a clean control, and original exaggerates does not always justify weakening causal wording.</w:t>
      </w:r>
    </w:p>
    <w:p>
      <w:pPr>
        <w:pStyle w:val="Heading2"/>
      </w:pPr>
      <w:r>
        <w:t>Current files and historical drafts</w:t>
      </w:r>
    </w:p>
    <w:p>
      <w:r>
        <w:t>Use annotations/reviewed_annotations.jsonl or its CSV mirror. Files named ai_draft_annotations preserve earlier decisions with current identifiers. Use data/calibration_examples.jsonl for inputs. Never include reference labels, explanations, corrections or original benchmark labels in evaluation prompts.</w:t>
      </w:r>
    </w:p>
    <w:p>
      <w:pPr>
        <w:pStyle w:val="Heading2"/>
      </w:pPr>
      <w:r>
        <w:t>Exact evidence and detailed reasons</w:t>
      </w:r>
    </w:p>
    <w:p>
      <w:r>
        <w:t>Calibration_Examples.md contains every original claim, expected output, rationale and exact reference passage. Reviewed JSONL stores source-matching offsets and hashes. The next four pages explain every decision. These are completed AI working choices that people may later validate or revise, not fabricated human consensus.</w:t>
      </w:r>
    </w:p>
    <w:p>
      <w:r>
        <w:br w:type="page"/>
      </w:r>
    </w:p>
    <w:p>
      <w:pPr>
        <w:pStyle w:val="Heading1"/>
      </w:pPr>
      <w:r>
        <w:t>Decisions for CAL-01 and CAL-02</w:t>
      </w:r>
    </w:p>
    <w:p>
      <w:pPr>
        <w:pStyle w:val="Heading2"/>
      </w:pPr>
      <w:r>
        <w:t>CAL-01 overclaim</w:t>
      </w:r>
    </w:p>
    <w:p>
      <w:r>
        <w:t>Original claim: Use of the urgent referral pathway (often called the two week wait system) by general practices for patients with suspected cancer is saving lives, according to a study in The BMJ this week.</w:t>
      </w:r>
    </w:p>
    <w:p>
      <w:r>
        <w:t>Decision: The claim asserts a definite lifesaving effect. The cohort abstract reports an association between practice referral propensity and mortality and describes efficacy conditionally. Replace the definite causal assertion with the reported association.</w:t>
      </w:r>
    </w:p>
    <w:p>
      <w:r>
        <w:t>Why: This is the clearest causal-editing illustration. The revision does not promise that referral causes a survival benefit for an individual patient.</w:t>
      </w:r>
    </w:p>
    <w:p>
      <w:r>
        <w:t>Expected output: Use of the urgent referral pathway (often called the two week wait system) by general practices for patients with suspected cancer was associated with lower mortality among patients with cancer, according to a study in The BMJ this week.</w:t>
      </w:r>
    </w:p>
    <w:p>
      <w:r>
        <w:t>Source: PMID 26462713 | DOI 10.1136/bmj.h5102</w:t>
      </w:r>
    </w:p>
    <w:p>
      <w:pPr>
        <w:pStyle w:val="Heading2"/>
      </w:pPr>
      <w:r>
        <w:t>CAL-02 supported</w:t>
      </w:r>
    </w:p>
    <w:p>
      <w:r>
        <w:t>Original claim: Meeting patients' preferences for the time and place of their psychological treatment may affect their perception of treatment outcome, a cross-sectional survey by researchers from the Royal College of Psychiatrists and Imperial College London involving 14,587 respondents suggests.</w:t>
      </w:r>
    </w:p>
    <w:p>
      <w:r>
        <w:t>Decision: The full abstract itself says that assessing and meeting preferences may improve psychological treatment outcomes. The claim retains conditional wording and describes perceived outcomes. The methods verify 14,587 respondents. Under this source-relative task, observational design alone does not require weakening.</w:t>
      </w:r>
    </w:p>
    <w:p>
      <w:r>
        <w:t>Why: We judge fidelity to the abstract, not whether the authors independently proved a causal mechanism. Equally hedged reporting of the source speculation is allowed.</w:t>
      </w:r>
    </w:p>
    <w:p>
      <w:r>
        <w:t>Expected output: Meeting patients' preferences for the time and place of their psychological treatment may affect their perception of treatment outcome, a cross-sectional survey by researchers from the Royal College of Psychiatrists and Imperial College London involving 14,587 respondents suggests.</w:t>
      </w:r>
    </w:p>
    <w:p>
      <w:r>
        <w:t>Source: PMID 26768890 | DOI 10.1186/s12888-015-0702-8</w:t>
      </w:r>
    </w:p>
    <w:p>
      <w:r>
        <w:br w:type="page"/>
      </w:r>
    </w:p>
    <w:p>
      <w:pPr>
        <w:pStyle w:val="Heading1"/>
      </w:pPr>
      <w:r>
        <w:t>Decisions for CAL-03 and CAL-04</w:t>
      </w:r>
    </w:p>
    <w:p>
      <w:pPr>
        <w:pStyle w:val="Heading2"/>
      </w:pPr>
      <w:r>
        <w:t>CAL-03 insufficient evidence</w:t>
      </w:r>
    </w:p>
    <w:p>
      <w:r>
        <w:t>Original claim: The study of 128 mammal species, including humans, shows that brain growth in babies is determined by the duration of pregnancy and how long they suckle.</w:t>
      </w:r>
    </w:p>
    <w:p>
      <w:r>
        <w:t>Decision: The association-to-determination change is a causal error. However, the supplied abstract does not verify the count of 128 species. The prior draft appealed to external paper methods that were not supplied to the editor. A complete revision preserving that scientific quantity cannot be certified from this abstract.</w:t>
      </w:r>
    </w:p>
    <w:p>
      <w:r>
        <w:t>Why: Recognizing a local error does not establish support for the whole corrected sentence. Abstain and explain the missing quantity. Do not silently delete the number or borrow unseen methods. Adding methods later would create a new source version requiring reassessment.</w:t>
      </w:r>
    </w:p>
    <w:p>
      <w:r>
        <w:t>Expected output: Abstain. No reliable revised claim. Explain the source limitation and display the original separately.</w:t>
      </w:r>
    </w:p>
    <w:p>
      <w:r>
        <w:t>Source: PMID 21444808 | DOI 10.1073/pnas.1019140108</w:t>
      </w:r>
    </w:p>
    <w:p>
      <w:pPr>
        <w:pStyle w:val="Heading2"/>
      </w:pPr>
      <w:r>
        <w:t>CAL-04 insufficient evidence</w:t>
      </w:r>
    </w:p>
    <w:p>
      <w:r>
        <w:t>Original claim: People with type 2 diabetes treated with insulin plus metformin had a reduced risk of death and major cardiac events compared with people treated with insulin alone, according to University research.</w:t>
      </w:r>
    </w:p>
    <w:p>
      <w:r>
        <w:t>Decision: The claim matches the conclusion, but the abstract reports materially different MACE results after propensity-score matching: 1.06 (0.75-1.49) before 1,275 days and 1.87 (1.22-2.86) afterward, versus 0.75 (0.62-0.91) in the other adjusted analysis. The complete source does not give one consistent basis for an unqualified lower-cardiac-risk summary.</w:t>
      </w:r>
    </w:p>
    <w:p>
      <w:r>
        <w:t>Why: Under the conservative whole-abstract rule, do not select only the favorable conclusion. This is not a finding that the publication is false. Explain the mixed results and withhold a certified minimal correction.</w:t>
      </w:r>
    </w:p>
    <w:p>
      <w:r>
        <w:t>Expected output: Abstain. No reliable revised claim. Explain the source limitation and display the original separately.</w:t>
      </w:r>
    </w:p>
    <w:p>
      <w:r>
        <w:t>Source: PMID 27152598 | DOI 10.1371/journal.pone.0153594</w:t>
      </w:r>
    </w:p>
    <w:p>
      <w:r>
        <w:br w:type="page"/>
      </w:r>
    </w:p>
    <w:p>
      <w:pPr>
        <w:pStyle w:val="Heading1"/>
      </w:pPr>
      <w:r>
        <w:t>Decisions for CAL-05 and CAL-06</w:t>
      </w:r>
    </w:p>
    <w:p>
      <w:pPr>
        <w:pStyle w:val="Heading2"/>
      </w:pPr>
      <w:r>
        <w:t>CAL-05 overclaim</w:t>
      </w:r>
    </w:p>
    <w:p>
      <w:r>
        <w:t>Original claim: Starting testosterone treatment is associated with an increased risk of serious blood clots (known as venous thromboembolism or VTE) that peaks within six months and declines gradually thereafter, concludes a study in The BMJ today.</w:t>
      </w:r>
    </w:p>
    <w:p>
      <w:r>
        <w:t>Decision: The association and timing match the source, but the studied population is men. This package adopts a conservative convention requiring explicit sex-specific and species-specific populations in general treatment statements. Add only "in men"; do not weaken the association.</w:t>
      </w:r>
    </w:p>
    <w:p>
      <w:r>
        <w:t>Why: This is a scope correction under our stated convention, not proof that the writer intended a universal claim. Report it separately from causal-strength editing and do not count it as an unchanged control.</w:t>
      </w:r>
    </w:p>
    <w:p>
      <w:r>
        <w:t>Expected output: Starting testosterone treatment in men is associated with an increased risk of serious blood clots (known as venous thromboembolism or VTE) that peaks within six months and declines gradually thereafter, concludes a study in The BMJ today.</w:t>
      </w:r>
    </w:p>
    <w:p>
      <w:r>
        <w:t>Source: PMID 27903495 | DOI 10.1136/bmj.i5968</w:t>
      </w:r>
    </w:p>
    <w:p>
      <w:pPr>
        <w:pStyle w:val="Heading2"/>
      </w:pPr>
      <w:r>
        <w:t>CAL-06 supported</w:t>
      </w:r>
    </w:p>
    <w:p>
      <w:r>
        <w:t>Original claim: Scientists have found that the Endog gene in rats and mice influences the thickness of the muscular heart wall, how well the heart pumps and how much fat accumulates inside the organ.</w:t>
      </w:r>
    </w:p>
    <w:p>
      <w:r>
        <w:t>Decision: The abstract links the rat Endog mutation to left ventricular mass and impaired cardiac function, and describes cell inhibition and mouse deletion experiments with enlarged, fatty cardiomyocytes. The claim preserves the rats and mice scope and uses "influences". Its stronger wording is supported relative to this abstract.</w:t>
      </w:r>
    </w:p>
    <w:p>
      <w:r>
        <w:t>Why: This is the control against weakening every causal phrase. Preserve the original wording and species restriction; the abstract does not establish the same mechanism or a treatment benefit in humans.</w:t>
      </w:r>
    </w:p>
    <w:p>
      <w:r>
        <w:t>Expected output: Scientists have found that the Endog gene in rats and mice influences the thickness of the muscular heart wall, how well the heart pumps and how much fat accumulates inside the organ.</w:t>
      </w:r>
    </w:p>
    <w:p>
      <w:r>
        <w:t>Source: PMID 21979051 | DOI 10.1038/nature10490</w:t>
      </w:r>
    </w:p>
    <w:p>
      <w:r>
        <w:br w:type="page"/>
      </w:r>
    </w:p>
    <w:p>
      <w:pPr>
        <w:pStyle w:val="Heading1"/>
      </w:pPr>
      <w:r>
        <w:t>Decisions for CAL-07 and CAL-08</w:t>
      </w:r>
    </w:p>
    <w:p>
      <w:pPr>
        <w:pStyle w:val="Heading2"/>
      </w:pPr>
      <w:r>
        <w:t>CAL-07 supported</w:t>
      </w:r>
    </w:p>
    <w:p>
      <w:r>
        <w:t>Original claim: Oral contraceptive use just before or during pregnancy is not associated with an increased risk of major birth defects, suggest the findings of a study published in The BMJ this week.</w:t>
      </w:r>
    </w:p>
    <w:p>
      <w:r>
        <w:t>Decision: The full abstract supplies the birth-defect results and says exposure does not appear to be associated with increased risk. The claim says "not associated" and "suggest", rather than guaranteeing zero risk. Preserve it as a report of this study.</w:t>
      </w:r>
    </w:p>
    <w:p>
      <w:r>
        <w:t>Why: The aligned excerpt only discusses confounding and missing folate information. That excerpt is inadequate even though the full abstract supports the relationship. This is a source-sufficiency illustration, not a measured retrieval result.</w:t>
      </w:r>
    </w:p>
    <w:p>
      <w:r>
        <w:t>Expected output: Oral contraceptive use just before or during pregnancy is not associated with an increased risk of major birth defects, suggest the findings of a study published in The BMJ this week.</w:t>
      </w:r>
    </w:p>
    <w:p>
      <w:r>
        <w:t>Source: PMID 26738512 | DOI 10.1136/bmj.h6712</w:t>
      </w:r>
    </w:p>
    <w:p>
      <w:pPr>
        <w:pStyle w:val="Heading2"/>
      </w:pPr>
      <w:r>
        <w:t>CAL-08 overclaim</w:t>
      </w:r>
    </w:p>
    <w:p>
      <w:r>
        <w:t>Original claim: Talking therapy over the phone improves symptoms of chronic widespread pain</w:t>
      </w:r>
    </w:p>
    <w:p>
      <w:r>
        <w:t>Decision: The full abstract describes random allocation and benefit on patient global assessment of change in health. The supplied results do not establish a specific pain-symptom improvement. Keep the treatment-effect wording but name the measured outcome, intervention and comparator.</w:t>
      </w:r>
    </w:p>
    <w:p>
      <w:r>
        <w:t>Why: Treat "symptoms" as an outcome-scope overclaim under the conservative measurement rule. This does not teach that randomized treatment-effect wording must become an association. It is an auxiliary scope example, excluded from primary causal-correction counts.</w:t>
      </w:r>
    </w:p>
    <w:p>
      <w:r>
        <w:t>Expected output: Telephone-delivered cognitive behavioral therapy improved patient-rated overall health compared with treatment as usual in patients with chronic widespread pain.</w:t>
      </w:r>
    </w:p>
    <w:p>
      <w:r>
        <w:t>Source: PMID 22082706 | DOI 10.1001/archinternmed.2011.555</w:t>
      </w:r>
    </w:p>
    <w:p>
      <w:r>
        <w:br w:type="page"/>
      </w:r>
    </w:p>
    <w:p>
      <w:pPr>
        <w:pStyle w:val="Heading1"/>
      </w:pPr>
      <w:r>
        <w:t>Pilot size and split decisions</w:t>
      </w:r>
    </w:p>
    <w:p>
      <w:r>
        <w:t>Use all 22 originally exaggerates training pairs plus 22 originally same pairs. The list is in data/pilot_candidates.csv and .jsonl. Include the four calibration same pairs, then choose 18 more by fixed SHA-256 ordering of source record keys. The seed and rule are stored in provenance/pilot_plan.json.</w:t>
      </w:r>
    </w:p>
    <w:p>
      <w:r>
        <w:t>This is a 44-candidate acquisition queue, not 44 verified corrections. Eight abstracts are recovered; 36 are still missing. Original labels select acquisition strata only. Full-source review can change labels, balance and eligibility.</w:t>
      </w:r>
    </w:p>
    <w:p>
      <w:pPr>
        <w:pStyle w:val="Heading2"/>
      </w:pPr>
      <w:r>
        <w:t>Development and evaluation</w:t>
      </w:r>
    </w:p>
    <w:p>
      <w:r>
        <w:t>Plan approximately 20 development inputs and up to 24 initial evaluation inputs after source recovery, exclusions and verified paper grouping. All eight calibration cases stay in development, including scope and abstention examples. The other 36 remain unassigned; no exact class balance or final split is promised.</w:t>
      </w:r>
    </w:p>
    <w:p>
      <w:r>
        <w:t>Every example from one paper stays together. A paper shared with a calibration case belongs in development. Quarantine unresolved identities from a claimed paper-disjoint evaluation. The original 563-pair test set remains reserved; current ID/text checks do not establish a complete publication-level leakage audit.</w:t>
      </w:r>
    </w:p>
    <w:p>
      <w:pPr>
        <w:pStyle w:val="Heading2"/>
      </w:pPr>
      <w:r>
        <w:t>If the usable set is smaller</w:t>
      </w:r>
    </w:p>
    <w:p>
      <w:r>
        <w:t>Report actual eligible counts and classes. Do not manufacture balance, convert scope cases into clean controls or move difficult evaluation examples into development after seeing outputs. A smaller honestly reported pilot is the default.</w:t>
      </w:r>
    </w:p>
    <w:p>
      <w:r>
        <w:t>The 150-250 proposal target is a stretch goal requiring additional collection. Even all 100 original training pairs would need at least 50 new usable pairs to reach 150. Data curation owner owns acquisition, Evidence selection owner source checks and Evaluation owner annotation capacity. Auxiliary strength sentences and unlabeled sentences are not paired editing examples.</w:t>
      </w:r>
    </w:p>
    <w:p>
      <w:pPr>
        <w:pStyle w:val="Heading2"/>
      </w:pPr>
      <w:r>
        <w:t>Updated workload</w:t>
      </w:r>
    </w:p>
    <w:p>
      <w:r>
        <w:t>Two human judgments on 44 candidates require 88 judgments, about 14-15 per person. Four methods on 24 evaluation inputs yield at most 96 outputs and 192 output ratings, about 32 per person. These are separate tasks. Recalculate with actual evaluation size. Project_Plan.md supersedes the original plan's 60-example and 40-evaluation assumptions.</w:t>
      </w:r>
    </w:p>
    <w:p>
      <w:r>
        <w:br w:type="page"/>
      </w:r>
    </w:p>
    <w:p>
      <w:pPr>
        <w:pStyle w:val="Heading1"/>
      </w:pPr>
      <w:r>
        <w:t>Project responsibilities and reporting</w:t>
      </w:r>
    </w:p>
    <w:p>
      <w:pPr>
        <w:pStyle w:val="Heading2"/>
      </w:pPr>
      <w:r>
        <w:t>Data curation owner</w:t>
      </w:r>
    </w:p>
    <w:p>
      <w:r>
        <w:t>Maintain IDs, versioned references and the acquisition queue. Publish verified paper-grouped splits and exclusions.</w:t>
      </w:r>
    </w:p>
    <w:p>
      <w:pPr>
        <w:pStyle w:val="Heading2"/>
      </w:pPr>
      <w:r>
        <w:t>Evidence selection owner</w:t>
      </w:r>
    </w:p>
    <w:p>
      <w:r>
        <w:t>Recover the other 36 candidate abstracts, verify identities and passage sufficiency, and obtain human checks for gold evidence.</w:t>
      </w:r>
    </w:p>
    <w:p>
      <w:pPr>
        <w:pStyle w:val="Heading2"/>
      </w:pPr>
      <w:r>
        <w:t>Detection owner</w:t>
      </w:r>
    </w:p>
    <w:p>
      <w:r>
        <w:t>Develop the detector and fixed rules on development inputs. Separate causal, scope-only and insufficient cases.</w:t>
      </w:r>
    </w:p>
    <w:p>
      <w:pPr>
        <w:pStyle w:val="Heading2"/>
      </w:pPr>
      <w:r>
        <w:t>Editing owner</w:t>
      </w:r>
    </w:p>
    <w:p>
      <w:r>
        <w:t>Implement revise, unchanged and abstain. Use only claim and supplied evidence, never reference answers, as model inputs.</w:t>
      </w:r>
    </w:p>
    <w:p>
      <w:pPr>
        <w:pStyle w:val="Heading2"/>
      </w:pPr>
      <w:r>
        <w:t>Evaluation owner</w:t>
      </w:r>
    </w:p>
    <w:p>
      <w:r>
        <w:t>Coordinate independent prospective evaluation labels and output ratings. Preserve exposure records, initial judgments, resolutions and actual denominators.</w:t>
      </w:r>
    </w:p>
    <w:p>
      <w:pPr>
        <w:pStyle w:val="Heading2"/>
      </w:pPr>
      <w:r>
        <w:t>Integration and presentation owner</w:t>
      </w:r>
    </w:p>
    <w:p>
      <w:r>
        <w:t>Maintain demonstrations, presentation materials and final report outputs. Use CAL-01 for correction, CAL-06 for preservation and CAL-03 for abstention. Label them AI-reviewed calibration illustrations.</w:t>
      </w:r>
    </w:p>
    <w:p>
      <w:pPr>
        <w:pStyle w:val="Heading2"/>
      </w:pPr>
      <w:r>
        <w:t>What to report</w:t>
      </w:r>
    </w:p>
    <w:p>
      <w:r>
        <w:t>We downloaded the data, recovered eight complete abstracts, completed AI-reviewed working decisions and selected 44 training-only candidates. Our takeaway is that a causal-word replacement is insufficient if the rest of the scientific statement is unverifiable. Next: recover sources, validate references independently and evaluate verified versus automatically selected evidence.</w:t>
      </w:r>
    </w:p>
    <w:p>
      <w:r>
        <w:t>No human agreement, retrieval quality, detector accuracy or editing success rate has been measured. Source recovery, human validation, experiments, integration and final reporting are tracked in Project_Plan.md.</w:t>
      </w:r>
    </w:p>
    <w:p>
      <w:pPr>
        <w:pStyle w:val="Heading2"/>
      </w:pPr>
      <w:r>
        <w:t>Verification and history</w:t>
      </w:r>
    </w:p>
    <w:p>
      <w:r>
        <w:t>Run python scripts/verify_package.py. Original source content is preserved; archived drafts use the current identifiers. provenance/history/pre_v2_package.zip preserves earlier derived files. Current reasons are in reviewed annotations and review/ai_decision_log.csv. README.md explains both reading routes.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Overclaim Editor Project Guide</dc:title>
  <dc:subject>Calibration decisions and adopted pilot plan</dc:subject>
  <dc:creator>Scientific Overclaim Editor project team</dc:creator>
  <cp:keywords/>
  <dc:description>AI-assisted working decisions; no independent human review claimed.</dc:description>
  <cp:lastModifiedBy/>
  <cp:revision>1</cp:revision>
  <dcterms:created xsi:type="dcterms:W3CDTF">2013-12-23T23:15:00Z</dcterms:created>
  <dcterms:modified xsi:type="dcterms:W3CDTF">2013-12-23T23:15:00Z</dcterms:modified>
  <cp:category/>
</cp:coreProperties>
</file>