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widowControl w:val="0"/>
        <w:contextualSpacing w:val="0"/>
        <w:jc w:val="center"/>
      </w:pPr>
      <w:bookmarkStart w:id="0" w:colFirst="0" w:name="h.fjltjehu9dk6" w:colLast="0"/>
      <w:bookmarkEnd w:id="0"/>
      <w:r w:rsidRPr="00000000" w:rsidR="00000000" w:rsidDel="00000000">
        <w:rPr>
          <w:rtl w:val="0"/>
        </w:rPr>
        <w:t xml:space="preserve">Описание проекта “Автоматическое обновление филиалов”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xw6a2n9nr7q" w:colLast="0"/>
      <w:bookmarkEnd w:id="1"/>
      <w:r w:rsidRPr="00000000" w:rsidR="00000000" w:rsidDel="00000000">
        <w:rPr>
          <w:rtl w:val="0"/>
        </w:rPr>
        <w:t xml:space="preserve">Содержание</w:t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6bp1aeoec774">
        <w:r w:rsidRPr="00000000" w:rsidR="00000000" w:rsidDel="00000000">
          <w:rPr>
            <w:color w:val="1155cc"/>
            <w:u w:val="single"/>
            <w:rtl w:val="0"/>
          </w:rPr>
          <w:t xml:space="preserve">Цель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ecaacgdgdyk8">
        <w:r w:rsidRPr="00000000" w:rsidR="00000000" w:rsidDel="00000000">
          <w:rPr>
            <w:color w:val="1155cc"/>
            <w:u w:val="single"/>
            <w:rtl w:val="0"/>
          </w:rPr>
          <w:t xml:space="preserve">Особенности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uwrsfej3go1m">
        <w:r w:rsidRPr="00000000" w:rsidR="00000000" w:rsidDel="00000000">
          <w:rPr>
            <w:color w:val="1155cc"/>
            <w:u w:val="single"/>
            <w:rtl w:val="0"/>
          </w:rPr>
          <w:t xml:space="preserve">Функциональные требования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7y7ff4sykjn1">
        <w:r w:rsidRPr="00000000" w:rsidR="00000000" w:rsidDel="00000000">
          <w:rPr>
            <w:color w:val="1155cc"/>
            <w:u w:val="single"/>
            <w:rtl w:val="0"/>
          </w:rPr>
          <w:t xml:space="preserve">Бонус-требования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6bp1aeoec774" w:colLast="0"/>
      <w:bookmarkEnd w:id="2"/>
      <w:r w:rsidRPr="00000000" w:rsidR="00000000" w:rsidDel="00000000">
        <w:rPr>
          <w:rtl w:val="0"/>
        </w:rPr>
        <w:t xml:space="preserve">Цель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Быстрое обновление всех филиалов – не более 2 часов в автоматическом режиме и с трудозатратами не более 0,5 чел/час.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ecaacgdgdyk8" w:colLast="0"/>
      <w:bookmarkEnd w:id="3"/>
      <w:r w:rsidRPr="00000000" w:rsidR="00000000" w:rsidDel="00000000">
        <w:rPr>
          <w:rtl w:val="0"/>
        </w:rPr>
        <w:t xml:space="preserve">Особенности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 максимуму использовать продукт 2iS:Интеграция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Всё управление осуществляется из единого интерфейса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Процессы над информационными базами выполняются автоматически. Отсутствуют какие-либо ручные операции над базами.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Процессы над информационными базами выполняются параллельно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Процессы над информационными базами выполняются в сеансах в филиалах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При возникновении сбоев или отказов предоставляется вся возможная информация о произошедшем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uwrsfej3go1m" w:colLast="0"/>
      <w:bookmarkEnd w:id="4"/>
      <w:r w:rsidRPr="00000000" w:rsidR="00000000" w:rsidDel="00000000">
        <w:rPr>
          <w:rtl w:val="0"/>
        </w:rPr>
        <w:t xml:space="preserve">Функциональные требования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Централизованное хранение следующей информации об ИБ: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Строка соединения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Учетная запись администратора ИБ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Учетная запись администратора кластера (если заведена)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Порт кластера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Над выбранными информационными базами возможны следующие действия: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Блокировка базы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Блокировка начала сеансов с сообщением о причине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Завершение текущих сеансов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Загрузка  и обновление конфигурации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Загрузка основной конфигурации из файла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Обновление конфигурации БД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Снятие блокировок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7y7ff4sykjn1" w:colLast="0"/>
      <w:bookmarkEnd w:id="5"/>
      <w:r w:rsidRPr="00000000" w:rsidR="00000000" w:rsidDel="00000000">
        <w:rPr>
          <w:rtl w:val="0"/>
        </w:rPr>
        <w:t xml:space="preserve">Бонус-требования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Тестирование выбранного списка информационных баз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Синтаксический контроль модулей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Возможость запуска сценарных тестов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Блокировка регламентных заданий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Блокировка регламентных заданий на выделенном кластере</w:t>
      </w:r>
    </w:p>
    <w:sectPr>
      <w:footerReference r:id="rId5" w:type="default"/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Автоматической обновление филиалов.docx</dc:title>
</cp:coreProperties>
</file>