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158466"/>
              </w:rPr>
            </w:pPr>
            <w:r>
              <w:rPr>
                <w:color w:val="158466"/>
                <w:sz w:val="20"/>
                <w:szCs w:val="20"/>
              </w:rPr>
              <w:t>O sistema deve permitir que seja possível realizar entrada de itens de produtos em estoque.</w:t>
            </w:r>
          </w:p>
          <w:p>
            <w:pPr>
              <w:pStyle w:val="Normal"/>
              <w:widowControl w:val="false"/>
              <w:suppressAutoHyphens w:val="true"/>
              <w:spacing w:before="0" w:after="120"/>
              <w:rPr>
                <w:color w:val="158466"/>
              </w:rPr>
            </w:pPr>
            <w:r>
              <w:rPr>
                <w:color w:val="158466"/>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A933"/>
              </w:rPr>
            </w:pPr>
            <w:r>
              <w:rPr>
                <w:color w:val="00A933"/>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3"/>
        <w:gridCol w:w="5632"/>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RNF0011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Tempo de resposta para consultas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i/>
                <w:iCs/>
                <w:color w:val="00A933"/>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bookmarkStart w:id="1" w:name="__DdeLink__1114_1770082874"/>
            <w:r>
              <w:rPr>
                <w:color w:val="000000"/>
                <w:sz w:val="20"/>
                <w:szCs w:val="20"/>
              </w:rPr>
              <w:t>RN0028</w:t>
            </w:r>
            <w:bookmarkEnd w:id="1"/>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itens sejam registrados sem que uma data de entrada seja registrada.</w:t>
            </w:r>
          </w:p>
        </w:tc>
      </w:tr>
    </w:tbl>
    <w:p>
      <w:pPr>
        <w:pStyle w:val="Normal"/>
        <w:rPr/>
      </w:pPr>
      <w:r>
        <w:rPr/>
      </w:r>
      <w:bookmarkStart w:id="2" w:name="_Hlk79358084"/>
      <w:bookmarkStart w:id="3" w:name="_Hlk79358084"/>
      <w:bookmarkEnd w:id="3"/>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1183</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2022-10-29T13:42:56Z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