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ectPr>
          <w:pgMar w:header="708" w:bottom="1417" w:top="1417" w:right="1417" w:left="1417" w:footer="708" w:gutter="0"/>
          <w:pgSz w:h="11906" w:w="16838" w:orient="landscape"/>
          <w:type w:val="oddPage"/>
          <w:cols/>
        </w:sectPr>
      </w:pPr>
    </w:p>
    <w:p>
      <w:pPr>
        <w:pStyle w:val="Titre1"/>
      </w:pPr>
      <w:r>
        <w:t xml:space="preserve">Yekun Standartlar - 1-ci sinif</w:t>
      </w:r>
    </w:p>
    <w:p>
      <w:pPr>
        <w:pStyle w:val="Normal"/>
      </w:pPr>
      <w:r>
        <w:t xml:space="preserve">Tarix: 2026-03-20</w:t>
      </w:r>
    </w:p>
    <w:p>
      <w:pPr>
        <w:pStyle w:val="Normal"/>
      </w:pPr>
      <w:r>
        <w:t xml:space="preserve"/>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 1
        <w:tc>
          <w:tcPr>
            <w:tcBorders>
              <w:bottom w:val="single" w:sz="8" w:space="0" w:color="BDBDBD"/>
              <w:top w:val="single" w:sz="8" w:space="0" w:color="BDBDBD"/>
              <w:left w:val="single" w:sz="8" w:space="0" w:color="BDBDBD"/>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Kod</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Mezmun sahesi</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Status</w:t>
            </w:r>
          </w:p>
        </w:tc>
        <w:tc>
          <w:tcPr>
            <w:tcBorders>
              <w:bottom w:val="single" w:sz="8" w:space="0" w:color="BDBDBD"/>
              <w:top w:val="single" w:sz="8" w:space="0" w:color="BDBDBD"/>
              <w:left w:val="single" w:sz="4" w:space="0" w:color="E0E0E0"/>
              <w:right w:val="single" w:sz="4" w:space="0" w:color="E0E0E0"/>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Standart</w:t>
            </w:r>
          </w:p>
        </w:tc>
        <w:tc>
          <w:tcPr>
            <w:tcBorders>
              <w:bottom w:val="single" w:sz="8" w:space="0" w:color="BDBDBD"/>
              <w:top w:val="single" w:sz="8" w:space="0" w:color="BDBDBD"/>
              <w:left w:val="single" w:sz="4" w:space="0" w:color="E0E0E0"/>
              <w:right w:val="single" w:sz="8" w:space="0" w:color="BDBDBD"/>
            </w:tcBorders>
            <w:shd w:val="clear" w:color="auto" w:fill="CFCFC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4"/>
                <w:szCs w:val="24"/>
                <w:color w:val="FFFFFF"/>
              </w:rPr>
            </w:pPr>
            <w:r>
              <w:rPr>
                <w:rFonts w:ascii="Helvetica" w:hAnsi="Helvetica" w:eastAsia="Helvetica" w:cs="Helvetica"/>
                <w:i w:val="false"/>
                <w:b w:val="true"/>
                <w:u w:val="none"/>
                <w:strike w:val="false"/>
                <w:sz w:val="24"/>
                <w:szCs w:val="24"/>
                <w:color w:val="FFFFFF"/>
              </w:rPr>
              <w:t xml:space="preserve">Xarakteristika</w:t>
            </w:r>
          </w:p>
        </w:tc>
      </w:tr>
      <w:tr>
        <w:trPr>
          <w:trHeight w:val="360" w:hRule="auto"/>
        </w:trPr>
        body 1
        <w:tc>
          <w:tcPr>
            <w:tcBorders>
              <w:bottom w:val="single" w:sz="4" w:space="0" w:color="E0E0E0"/>
              <w:top w:val="single" w:sz="8" w:space="0" w:color="BDBDBD"/>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Az_dili_I_4.1.1</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8" w:space="0" w:color="BDBDBD"/>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 tərkibindəki səs və hecaları müəyyən edir.</w:t>
            </w:r>
          </w:p>
        </w:tc>
        <w:tc>
          <w:tcPr>
            <w:tcBorders>
              <w:bottom w:val="single" w:sz="4" w:space="0" w:color="E0E0E0"/>
              <w:top w:val="single" w:sz="8" w:space="0" w:color="BDBDBD"/>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fonetik şüur və CEFR A1 səviyyəsindəki səs tanıma bacarıqlarına tam uyğundur. Finlandiya modelində də 1-ci sinifdə fonetik analiz əsas şüur bacarığıdır.</w:t>
            </w:r>
          </w:p>
        </w:tc>
      </w:tr>
      <w:tr>
        <w:trPr>
          <w:trHeight w:val="360" w:hRule="auto"/>
        </w:trPr>
        body 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Hərflərin əlifba sırasını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səviyyəsinin əlifba bilgisi tələblərinə və bütün beynəlxalq çərçəvələrdəki ilkin oxu bacarıqlarına uyğundur. Yaponiya Kokugo standartlarında da əlifba sistemini mənimsəmə əsas tələbdir.</w:t>
            </w:r>
          </w:p>
        </w:tc>
      </w:tr>
      <w:tr>
        <w:trPr>
          <w:trHeight w:val="360" w:hRule="auto"/>
        </w:trPr>
        body 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Yazıda sadə orfoqrafiya normalarına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yazı normaları və PIRLS tələblərindəki əsas orfoqrafiya qaydalarına tam uyğundur. Estoniya kurikulumunda da sadə yazı qaydaları bu səviyyədə əsasdır.</w:t>
            </w:r>
          </w:p>
        </w:tc>
      </w:tr>
      <w:tr>
        <w:trPr>
          <w:trHeight w:val="360" w:hRule="auto"/>
        </w:trPr>
        body 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Ad, əlamət, say, hərəkət bildirən sözlərin ümumi qrammatik mənalarını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səviyyəsinin leksik kateqoriyalar və PIRLS çərçəvəsinin əsas qrammatik anlayışlar tələblərinə uyğundur. Sinqapur STELLAR proqramında da ilkin qrammatik kateqoriya bilgisi bu səviyyədədir.</w:t>
            </w:r>
          </w:p>
        </w:tc>
      </w:tr>
      <w:tr>
        <w:trPr>
          <w:trHeight w:val="360" w:hRule="auto"/>
        </w:trPr>
        body 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cümlələri müəyyən edir, məqsəd və intonasiyaya görə fərqləndirir.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mətn strukturunu anlama və İrlandiya modelindəki intonasiya həssaslığı tələblərinə uyğundur. Cümlə növlərini ayırd etmə bacarığı bu sinif üçün məqsədəuyğundur.</w:t>
            </w:r>
          </w:p>
        </w:tc>
      </w:tr>
      <w:tr>
        <w:trPr>
          <w:trHeight w:val="360" w:hRule="auto"/>
        </w:trPr>
        body 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Az_dili_I_4.3.1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sonunda müvafiq durğu işarələrindən istifadə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punktuasiya tələbləri və bütün beynəlxalq çərçəvələrdəki əsas yazı normaları ilə uyğundur. Ontario modelində də əsas punktuasiya qaydaları bu sinifin tələbidir.</w:t>
            </w:r>
          </w:p>
        </w:tc>
      </w:tr>
      <w:tr>
        <w:trPr>
          <w:trHeight w:val="360" w:hRule="auto"/>
        </w:trPr>
        body 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Az_dili_I_4.4.1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Sözün mənasını sadə üsullarla izah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leksik anlama və PIRLS çərçəvəsindəki söz mənası izahı tələblərinə uyğundur. Finlandiya standartlarında da söz mənası ilə işləmə bu səviyyədə əsasdır.</w:t>
            </w:r>
          </w:p>
        </w:tc>
      </w:tr>
      <w:tr>
        <w:trPr>
          <w:trHeight w:val="360" w:hRule="auto"/>
        </w:trPr>
        body 8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mətnlə bağlı sadə faktoloji suallara cavab verir və əsas məlumatları xatırlayır.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standartda yalnız cavab vermək var idi, lakin PIRLS çərçəvəsində açıq məlumatı əldə etmə və xatırlama əsasdır. Finlandiya modelində dinləmədə aktiv məlumat emalı və Sinqapur STELLAR proqramında dinləmə strategiyaları daha ətraflı işlənir. Yeni standart dinləmə prosesində məlumat seçimi və saxlama bacarığını da əhatə edir.</w:t>
            </w:r>
          </w:p>
        </w:tc>
      </w:tr>
      <w:tr>
        <w:trPr>
          <w:trHeight w:val="360" w:hRule="auto"/>
        </w:trPr>
        body 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mətndəki fakt və hadisələri şərh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birbaşa nəticə çıxarma və CEFR A1 səviyyəsindəki dinləyib-anlama tələblərinə uyğundur. Yaponiya Kokugo standartlarında da mətn şərhi bu səviyyədə əsasdır.</w:t>
            </w:r>
          </w:p>
        </w:tc>
      </w:tr>
      <w:tr>
        <w:trPr>
          <w:trHeight w:val="360" w:hRule="auto"/>
        </w:trPr>
        body10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Az_dili_I_1.1.3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mətndəki obrazlara münasibət bildirir.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məzmun qiymətləndirmə və CEFR A1 səviyyəsindəki şəxsi reaksiya tələblərinə uyğundur. Ontario modelində də bildiri və münasibət ifadəsi bu səviyyədə məqsədəuyğundur.</w:t>
            </w:r>
          </w:p>
        </w:tc>
      </w:tr>
      <w:tr>
        <w:trPr>
          <w:trHeight w:val="360" w:hRule="auto"/>
        </w:trPr>
        body11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Az_dili_I_1.2.1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Müzakirə olunan məsələ ilə bağlı öz fikirlərini 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şəxsi fikir ifadəsi və Sinqapur STELLAR proqramındakı kommunikativ yanaşma tələblərinə uyğundur. İrlandiya modelində də şifahi fikir mübadiləsi bu səviyyədə əsasdır.</w:t>
            </w:r>
          </w:p>
        </w:tc>
      </w:tr>
      <w:tr>
        <w:trPr>
          <w:trHeight w:val="360" w:hRule="auto"/>
        </w:trPr>
        body12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Az_dili_I_1.2.2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 hansı mövzuda dialoq qurur.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sadə interaktiv danışma və Ontario modelindəki əməkdaşlıq kommunikasiyası tələblərinə uyğundur. Dialoq qurma bacarığı bu sinif üçün məqsədəuyğundur.</w:t>
            </w:r>
          </w:p>
        </w:tc>
      </w:tr>
      <w:tr>
        <w:trPr>
          <w:trHeight w:val="360" w:hRule="auto"/>
        </w:trPr>
        body13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Oxuduqlarını və dinlədiklərini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inteqrasiya bacarıqları və CEFR A1 səviyyəsindəki rabitəli nitq tələblərinə uyğundur. Finlandiya modelində də məlumat təqdim etmə bu səviyyədə əsasdır.</w:t>
            </w:r>
          </w:p>
        </w:tc>
      </w:tr>
      <w:tr>
        <w:trPr>
          <w:trHeight w:val="360" w:hRule="auto"/>
        </w:trPr>
        body14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Az_dili_I_1.3.2</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Şəkil, sxem və vizual materiallar üzrə məlumatları təhlil edərək danışır.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 yalnız sadə danışmağı əhatə edirdi, lakin PISA 2025 çoxmodal mətnlərlə işləməni və Finlandiya modelindəki vizual savadlılığı tələb edir. Sinqapur STELLAR proqramında vizual məlumatların təhlili və İrlandiya təcrübəsindəki multimodal kommunikasiya müasir tələbdir. Yeni standart vizual məlumatları oxumaq və təhlil etmək bacarıqlarını inkişaf etdirir.</w:t>
            </w:r>
          </w:p>
        </w:tc>
      </w:tr>
      <w:tr>
        <w:trPr>
          <w:trHeight w:val="360" w:hRule="auto"/>
        </w:trPr>
        body15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Hər hansı hadisə, varlıq haqqında fikirlərini rabitəli cümlələrlə 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rabitəli nitq və PIRLS çərçəvəsindəki fikir ifadəsi tələblərinə uyğundur. Ontario modelində də sadə mövzularda rabitəli danışma bu səviyyədə məqsədəuyğundur.</w:t>
            </w:r>
          </w:p>
        </w:tc>
      </w:tr>
      <w:tr>
        <w:trPr>
          <w:trHeight w:val="360" w:hRule="auto"/>
        </w:trPr>
        body16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Az_dili_I_1.3.4</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Araşdırma nəticəsində əldə etdiyi məlumatları rabitəli şəkildə təqdim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Ontario modelindəki tədqiqat bacarıqları və Finlandiya yanaşmasındakı məlumat təqdim etmə tələblərinə uyğundur. 1-ci sinif üçün sadə araşdırma təqdimi məqsədəuyğundur.</w:t>
            </w:r>
          </w:p>
        </w:tc>
      </w:tr>
      <w:tr>
        <w:trPr>
          <w:trHeight w:val="360" w:hRule="auto"/>
        </w:trPr>
        body17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Az_dili_I_1.3.5</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mətnin məzmunundan çıxış edərək onun davamını təxmin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proqnozlaşdırma və CEFR A1 səviyyəsindəki əsas təxmin bacarıqlarına uyğundur. Yaponiya Kokugo standartlarında da mətn davamının təxmini bu səviyyədə əsasdır.</w:t>
            </w:r>
          </w:p>
        </w:tc>
      </w:tr>
      <w:tr>
        <w:trPr>
          <w:trHeight w:val="360" w:hRule="auto"/>
        </w:trPr>
        body18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qurarkən düzgün söz sırasına əməl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əsas sintaksis qaydaları və bütün beynəlxalq çərçəvələrdəki dil normaları tələblərinə uyğundur. Estoniya kurikulumunda da cümlə qurma bu səviyyədə əsasdır.</w:t>
            </w:r>
          </w:p>
        </w:tc>
      </w:tr>
      <w:tr>
        <w:trPr>
          <w:trHeight w:val="360" w:hRule="auto"/>
        </w:trPr>
        body19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Danışarkən məzmuna uyğun intonasiyadan istifadə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İrlandiya modelindəki şifahi ifadə və CEFR A1 səviyyəsindəki ekspressiv nitq tələblərinə uyğundur. İntonasiya istifadəsi bu sinif üçün məqsədəuyğundur.</w:t>
            </w:r>
          </w:p>
        </w:tc>
      </w:tr>
      <w:tr>
        <w:trPr>
          <w:trHeight w:val="360" w:hRule="auto"/>
        </w:trPr>
        body20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Az_dili_I_2.1.1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İlkin oxu bacarığı nümayiş etdirir və hər hərfi düzgün tanıyır.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 çox ümumi idi və ölçülə bilən nəticə vermirdi. PIRLS çərçəvəsində hərfləri tanıma və səs-hərf uyğunluğu əsasdır. Finlandiya modelində fonetik şüur və Sinqapur STELLAR proqramında sistematik hərfləri öyrənmə daha dəqiqdir. Yeni standart konkret hərfləri tanıma bacarığını ölçməyə imkan verir.</w:t>
            </w:r>
          </w:p>
        </w:tc>
      </w:tr>
      <w:tr>
        <w:trPr>
          <w:trHeight w:val="360" w:hRule="auto"/>
        </w:trPr>
        body21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Az_dili_I_2.1.2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Cümlə sonunda durğu işarələrini nəzərə almaqla oxuyur.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ifadəli oxu və CEFR A1 səviyyəsindəki əsas intonasiya tələblərinə uyğundur. Yaponiya Kokugo standartlarında da punktuasiya ilə oxumaq bu səviyyədə əsasdır.</w:t>
            </w:r>
          </w:p>
        </w:tc>
      </w:tr>
      <w:tr>
        <w:trPr>
          <w:trHeight w:val="360" w:hRule="auto"/>
        </w:trPr>
        body22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Oxuduğu mətndəki hadisələri, obrazları, zaman və məkanı müəyyənləşdirir.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aydın məlumatın tapılması və CEFR A1 səviyyəsindəki faktoloji anlama tələblərinə tam uyğundur. Ontario modelində də əsas mətn elementləri bu səviyyədə əsasdır.</w:t>
            </w:r>
          </w:p>
        </w:tc>
      </w:tr>
      <w:tr>
        <w:trPr>
          <w:trHeight w:val="360" w:hRule="auto"/>
        </w:trPr>
        body23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Verbal informasiyanı qrafik təsvirlə uyğunlaşdırır.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PISA çoxmodal oxu və Finlandiya modelindəki mətn-şəkil inteqrasiyası tələblərinə uyğundur. Vizual və verbal məlumatın birləşdirilməsi bu sinif üçün məqsədəuyğundur.</w:t>
            </w:r>
          </w:p>
        </w:tc>
      </w:tr>
      <w:tr>
        <w:trPr>
          <w:trHeight w:val="360" w:hRule="auto"/>
        </w:trPr>
        body24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rast gəldiyi söz və ifadələrin mənasını anladığını nümayiş etdirir.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leksik anlama və CEFR A1 səviyyəsindəki söz hazinəsi tələblərinə uyğundur. Estoniya kurikulumunda da kontekstdən söz mənası anlama bu səviyyədə əsasdır.</w:t>
            </w:r>
          </w:p>
        </w:tc>
      </w:tr>
      <w:tr>
        <w:trPr>
          <w:trHeight w:val="360" w:hRule="auto"/>
        </w:trPr>
        body25
        <w:tc>
          <w:tcPr>
            <w:tcBorders>
              <w:bottom w:val="single" w:sz="4" w:space="0" w:color="E0E0E0"/>
              <w:top w:val="single" w:sz="4" w:space="0" w:color="E0E0E0"/>
              <w:left w:val="single" w:sz="8" w:space="0" w:color="BDBDBD"/>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Az_dili_I_2.3.1</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1B5E20"/>
              </w:rPr>
            </w:pPr>
            <w:r>
              <w:rPr>
                <w:rFonts w:ascii="Helvetica" w:hAnsi="Helvetica" w:eastAsia="Helvetica" w:cs="Helvetica"/>
                <w:i w:val="false"/>
                <w:b w:val="true"/>
                <w:u w:val="none"/>
                <w:strike w:val="false"/>
                <w:sz w:val="22"/>
                <w:szCs w:val="22"/>
                <w:color w:val="1B5E20"/>
              </w:rPr>
              <w:t xml:space="preserve">Yenilenib</w:t>
            </w:r>
          </w:p>
        </w:tc>
        <w:tc>
          <w:tcPr>
            <w:tcBorders>
              <w:bottom w:val="single" w:sz="4" w:space="0" w:color="E0E0E0"/>
              <w:top w:val="single" w:sz="4" w:space="0" w:color="E0E0E0"/>
              <w:left w:val="single" w:sz="4" w:space="0" w:color="E0E0E0"/>
              <w:right w:val="single" w:sz="4" w:space="0" w:color="E0E0E0"/>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hadisələr arasındakı səbəb-nəticə əlaqəsini müəyyən edir və sadə nəticələr çıxarır.</w:t>
            </w:r>
          </w:p>
        </w:tc>
        <w:tc>
          <w:tcPr>
            <w:tcBorders>
              <w:bottom w:val="single" w:sz="4" w:space="0" w:color="E0E0E0"/>
              <w:top w:val="single" w:sz="4" w:space="0" w:color="E0E0E0"/>
              <w:left w:val="single" w:sz="4" w:space="0" w:color="E0E0E0"/>
              <w:right w:val="single" w:sz="8" w:space="0" w:color="BDBDBD"/>
            </w:tcBorders>
            <w:shd w:val="clear" w:color="auto" w:fill="E8F5E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Köhnə standartda yalnız əlaqəni müəyyən etmək var idi, lakin PIRLS çərçəvəsində birbaşa nəticə çıxarma və Yaponiya Kokugo standartlarında məntiq əlaqələrini anlama daha ətraflıdır. Sinqapur STELLAR proqramında kritik düşüncə və Finlandiya modelindəki analitik oxu bacarıqları tələb edilir. Yeni standart nəticə çıxarma bacarığını da əhatə edir.</w:t>
            </w:r>
          </w:p>
        </w:tc>
      </w:tr>
      <w:tr>
        <w:trPr>
          <w:trHeight w:val="360" w:hRule="auto"/>
        </w:trPr>
        body26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Obrazların xarakterindəki əsas xüsusiyyəti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karakter anlama və CEFR A1 səviyyəsindəki sadə təsvir anlama tələblərinə uyğundur. Ontario modelində də karakter xüsusiyyətləri bu səviyyədə məqsədəuyğundur.</w:t>
            </w:r>
          </w:p>
        </w:tc>
      </w:tr>
      <w:tr>
        <w:trPr>
          <w:trHeight w:val="360" w:hRule="auto"/>
        </w:trPr>
        body27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Az_dili_I_2.3.3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 əsas fikri müəyyən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əsas ideya müəyyən etmə və PISA oxu çərçəvəsindəki mərkəzi məna anlama tələblərinə uyğundur. Yaponiya Kokugo standartlarında da əsas fikir bu səviyyədə əsasdır.</w:t>
            </w:r>
          </w:p>
        </w:tc>
      </w:tr>
      <w:tr>
        <w:trPr>
          <w:trHeight w:val="360" w:hRule="auto"/>
        </w:trPr>
        body28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Mətndəki obrazlara və onların davranışına münasibətini bildirir.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məzmun qiymətləndirmə və PISA oxu çərçəvəsindəki əks etdirmə tələblərinə uyğundur. Ontario modelində də şəxsi reaksiya bu səviyyədə məqsədəuyğundur.</w:t>
            </w:r>
          </w:p>
        </w:tc>
      </w:tr>
      <w:tr>
        <w:trPr>
          <w:trHeight w:val="360" w:hRule="auto"/>
        </w:trPr>
        body29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Təxəyyülündən çıxış edərək mətnin məzmununa yaradıcı yanaşır.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Yaponiya Kokugo standartlarındakı yaradıcı ifadə və Ontario modelindəki yaradıcılıq tələblərinə uyğundur. Təxəyyül və yaradıcı yanaşma bu sinif üçün inkişafedici faktordur.</w:t>
            </w:r>
          </w:p>
        </w:tc>
      </w:tr>
      <w:tr>
        <w:trPr>
          <w:trHeight w:val="360" w:hRule="auto"/>
        </w:trPr>
        body30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Az_dili_I_2.4.3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Nəzm və nəsrlə yazılmış mətnlərin məzmun-struktur xüsusiyyətlərini müəyyən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çərçəvəsindəki mətn növləri və Yaponiya Kokugo standartlarındakı ədəbi forma anlama tələblərinə uyğundur. Nəzm və nəsri fərqləndirmək bu səviyyədə məqsədəuyğundur.</w:t>
            </w:r>
          </w:p>
        </w:tc>
      </w:tr>
      <w:tr>
        <w:trPr>
          <w:trHeight w:val="360" w:hRule="auto"/>
        </w:trPr>
        body31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Az_dili_I_3.1.1</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Yazısında hüsnxət normalarına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yazı texnikası və Yaponiya Kokugo standartlarındakı kaliqrafiya tələblərinə uyğundur. Hüsnxət bu sinif üçün əsas motor bacarıqdır.</w:t>
            </w:r>
          </w:p>
        </w:tc>
      </w:tr>
      <w:tr>
        <w:trPr>
          <w:trHeight w:val="360" w:hRule="auto"/>
        </w:trPr>
        body32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Az_dili_I_3.1.2</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Yazısında hadisələrin ardıcıllığına riayət edir.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mətn təşkili və Ontario modelindəki mətn strukturu tələblərinə uyğundur. Ardıcıllıq bu sinif üçün əsas yazı bacarığıdır.</w:t>
            </w:r>
          </w:p>
        </w:tc>
      </w:tr>
      <w:tr>
        <w:trPr>
          <w:trHeight w:val="360" w:hRule="auto"/>
        </w:trPr>
        body33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Az_dili_I_3.1.3</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Öyrəndiyi sadə orfoqrafiya və punktuasiya qaydalarına yazısında riayət edir.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yazı normaları və Estoniya kurikulumundakı təməl orfoqrafiya tələblərinə tam uyğundur. Sadə qaydalar bu sinif üçün məqsədəuyğundur.</w:t>
            </w:r>
          </w:p>
        </w:tc>
      </w:tr>
      <w:tr>
        <w:trPr>
          <w:trHeight w:val="360" w:hRule="auto"/>
        </w:trPr>
        body34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Az_dili_I_3.2.1</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Bildiyi məlumatları yazıda əks etdirir.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sadə yazı və Ontario modelindəki şəxsi məlumat paylaşımı tələblərinə uyğundur. Bildiklərini yazıda ifadə etmək bu səviyyədə əsasdır.</w:t>
            </w:r>
          </w:p>
        </w:tc>
      </w:tr>
      <w:tr>
        <w:trPr>
          <w:trHeight w:val="360" w:hRule="auto"/>
        </w:trPr>
        body35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Az_dili_I_3.2.2</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Verilmiş plan əsasında mövzu ilə bağlı fikirlərini yazır.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Ontario modelindəki strukturlu yazı və Finlandiya yanaşmasındakı plan əsaslı yazı tələblərinə uyğundur. Plan əsasında yazı bu sinif üçün mühüm bacarıqdır.</w:t>
            </w:r>
          </w:p>
        </w:tc>
      </w:tr>
      <w:tr>
        <w:trPr>
          <w:trHeight w:val="360" w:hRule="auto"/>
        </w:trPr>
        body36
        <w:tc>
          <w:tcPr>
            <w:tcBorders>
              <w:bottom w:val="single" w:sz="4" w:space="0" w:color="E0E0E0"/>
              <w:top w:val="single" w:sz="4" w:space="0" w:color="E0E0E0"/>
              <w:left w:val="single" w:sz="8" w:space="0" w:color="BDBDBD"/>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Az_dili_I_3.2.3</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Sadə əməli yazılar (anket, açıqca) yazır.</w:t>
            </w:r>
          </w:p>
        </w:tc>
        <w:tc>
          <w:tcPr>
            <w:tcBorders>
              <w:bottom w:val="single" w:sz="4" w:space="0" w:color="E0E0E0"/>
              <w:top w:val="single" w:sz="4" w:space="0" w:color="E0E0E0"/>
              <w:left w:val="single" w:sz="4" w:space="0" w:color="E0E0E0"/>
              <w:right w:val="single" w:sz="8" w:space="0" w:color="BDBDBD"/>
            </w:tcBorders>
            <w:shd w:val="clear" w:color="auto" w:fill="F5F5F5"/>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səviyyəsindəki praktik yazı və Sinqapur STELLAR proqramındakı real həyat yazı tələblərinə uyğundur. Əməli yazı bu sinif üçün məqsədəuyğundur.</w:t>
            </w:r>
          </w:p>
        </w:tc>
      </w:tr>
      <w:tr>
        <w:trPr>
          <w:trHeight w:val="360" w:hRule="auto"/>
        </w:trPr>
        body37
        <w:tc>
          <w:tcPr>
            <w:tcBorders>
              <w:bottom w:val="single" w:sz="4" w:space="0" w:color="E0E0E0"/>
              <w:top w:val="single" w:sz="4" w:space="0" w:color="E0E0E0"/>
              <w:left w:val="single" w:sz="8" w:space="0" w:color="BDBDBD"/>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Az_dili_I_3.2.4</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Deyismeyib</w:t>
            </w:r>
          </w:p>
        </w:tc>
        <w:tc>
          <w:tcPr>
            <w:tcBorders>
              <w:bottom w:val="single" w:sz="4" w:space="0" w:color="E0E0E0"/>
              <w:top w:val="single" w:sz="4" w:space="0" w:color="E0E0E0"/>
              <w:left w:val="single" w:sz="4" w:space="0" w:color="E0E0E0"/>
              <w:right w:val="single" w:sz="4" w:space="0" w:color="E0E0E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Təqdimat üçün müxtəlif vizual forma və üsullar seçir.</w:t>
            </w:r>
          </w:p>
        </w:tc>
        <w:tc>
          <w:tcPr>
            <w:tcBorders>
              <w:bottom w:val="single" w:sz="4" w:space="0" w:color="E0E0E0"/>
              <w:top w:val="single" w:sz="4" w:space="0" w:color="E0E0E0"/>
              <w:left w:val="single" w:sz="4" w:space="0" w:color="E0E0E0"/>
              <w:right w:val="single" w:sz="8" w:space="0" w:color="BDBDBD"/>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İrlandiya modelindəki multimodal təqdimat və PISA 2025 çoxmodal yazı tələblərinə uyğundur. Vizual forma seçimi bu sinif üçün inkişafedici bacarıqdır.</w:t>
            </w:r>
          </w:p>
        </w:tc>
      </w:tr>
      <w:tr>
        <w:trPr>
          <w:trHeight w:val="360" w:hRule="auto"/>
        </w:trPr>
        body38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Az_dili_I_4.5.1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Dil qaydaları</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Əlifbanın böyük və kiçik hərflərini fərqləndirir və yazısında düzgün istifadə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əsas yazı konvensiyaları - böyük hərf istifadəsi qaydası əksikdir, əsas orfoqrafik boşluq</w:t>
            </w:r>
          </w:p>
        </w:tc>
      </w:tr>
      <w:tr>
        <w:trPr>
          <w:trHeight w:val="360" w:hRule="auto"/>
        </w:trPr>
        body39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Dinlədiyi mətnin növünü (nağıl, hekayə, şeir) müəyyən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və PISA mətn növlərini tanıma bacarığına əsasən - mətn strukturunu anlama A1 səviyyəsində vacibdir</w:t>
            </w:r>
          </w:p>
        </w:tc>
      </w:tr>
      <w:tr>
        <w:trPr>
          <w:trHeight w:val="360" w:hRule="auto"/>
        </w:trPr>
        body40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Az_dili_I_1.6.1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Dinləmə və danışma</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Ünsiyyət zamanı ədəb qaydalarına (salam vermək, təşəkkür etmək) riayət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CEFR A1 sosial funksiyalar və Yaponiya standartları - mədəniyyət və ünsiyyət ədəbi, sosio-mədəni kompetensiya boşluğu</w:t>
            </w:r>
          </w:p>
        </w:tc>
      </w:tr>
      <w:tr>
        <w:trPr>
          <w:trHeight w:val="360" w:hRule="auto"/>
        </w:trPr>
        body41
        <w:tc>
          <w:tcPr>
            <w:tcBorders>
              <w:bottom w:val="single" w:sz="4" w:space="0" w:color="E0E0E0"/>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Az_dili_I_2.5.1</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4" w:space="0" w:color="E0E0E0"/>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Oxuduğu mətnin məqsədini (məlumat vermək, əyləndirmək) müəyyən edir.</w:t>
            </w:r>
          </w:p>
        </w:tc>
        <w:tc>
          <w:tcPr>
            <w:tcBorders>
              <w:bottom w:val="single" w:sz="4" w:space="0" w:color="E0E0E0"/>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PIRLS və CEFR A1 - oxu məqsədlərini anlama, funksiональlıq boşluğunu doldurur</w:t>
            </w:r>
          </w:p>
        </w:tc>
      </w:tr>
      <w:tr>
        <w:trPr>
          <w:trHeight w:val="360" w:hRule="auto"/>
        </w:trPr>
        body42
        <w:tc>
          <w:tcPr>
            <w:tcBorders>
              <w:bottom w:val="single" w:sz="8" w:space="0" w:color="BDBDBD"/>
              <w:top w:val="single" w:sz="4" w:space="0" w:color="E0E0E0"/>
              <w:left w:val="single" w:sz="8" w:space="0" w:color="BDBDBD"/>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000000"/>
              </w:rPr>
            </w:pPr>
            <w:r>
              <w:rPr>
                <w:rFonts w:ascii="Helvetica" w:hAnsi="Helvetica" w:eastAsia="Helvetica" w:cs="Helvetica"/>
                <w:i w:val="false"/>
                <w:b w:val="true"/>
                <w:u w:val="none"/>
                <w:strike w:val="false"/>
                <w:sz w:val="22"/>
                <w:szCs w:val="22"/>
                <w:color w:val="000000"/>
              </w:rPr>
              <w:t xml:space="preserve">Az_dili_I_3.3.1</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Yazı</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true"/>
                <w:u w:val="none"/>
                <w:strike w:val="false"/>
                <w:sz w:val="22"/>
                <w:szCs w:val="22"/>
                <w:color w:val="E65100"/>
              </w:rPr>
            </w:pPr>
            <w:r>
              <w:rPr>
                <w:rFonts w:ascii="Helvetica" w:hAnsi="Helvetica" w:eastAsia="Helvetica" w:cs="Helvetica"/>
                <w:i w:val="false"/>
                <w:b w:val="true"/>
                <w:u w:val="none"/>
                <w:strike w:val="false"/>
                <w:sz w:val="22"/>
                <w:szCs w:val="22"/>
                <w:color w:val="E65100"/>
              </w:rPr>
              <w:t xml:space="preserve">Yeni yazilmis</w:t>
            </w:r>
          </w:p>
        </w:tc>
        <w:tc>
          <w:tcPr>
            <w:tcBorders>
              <w:bottom w:val="single" w:sz="8" w:space="0" w:color="BDBDBD"/>
              <w:top w:val="single" w:sz="4" w:space="0" w:color="E0E0E0"/>
              <w:left w:val="single" w:sz="4" w:space="0" w:color="E0E0E0"/>
              <w:right w:val="single" w:sz="4" w:space="0" w:color="E0E0E0"/>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Yazdıqlarını yoxlayır və sadə səhvləri düzəldir.</w:t>
            </w:r>
          </w:p>
        </w:tc>
        <w:tc>
          <w:tcPr>
            <w:tcBorders>
              <w:bottom w:val="single" w:sz="8" w:space="0" w:color="BDBDBD"/>
              <w:top w:val="single" w:sz="4" w:space="0" w:color="E0E0E0"/>
              <w:left w:val="single" w:sz="4" w:space="0" w:color="E0E0E0"/>
              <w:right w:val="single" w:sz="8" w:space="0" w:color="BDBDBD"/>
            </w:tcBorders>
            <w:shd w:val="clear" w:color="auto" w:fill="FFF3E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Finlandiya və Estoniya standartları - özü-özünə qiymətləndirmə bacarığı, metakognitiv baxımdan vacib boşluq</w:t>
            </w:r>
          </w:p>
        </w:tc>
      </w:tr>
    </w:tbl>
    <w:p>
      <w:pPr>
        <w:pStyle w:val="Normal"/>
      </w:pPr>
      <w:r>
        <w:t xml:space="preserve"/>
      </w:r>
    </w:p>
    <w:p>
      <w:pPr>
        <w:pStyle w:val="Normal"/>
      </w:pPr>
      <w:r>
        <w:t xml:space="preserve">Cemi: 42 standart | Deyismeyib: 33 | Yenilenib: 4 | Yeni yazilmis: 5 | Silinib: 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royatalibova</cp:lastModifiedBy>
  <cp:revision>9</cp:revision>
  <dcterms:created xsi:type="dcterms:W3CDTF">2017-02-28T11:18:00Z</dcterms:created>
  <dcterms:modified xsi:type="dcterms:W3CDTF">2026-03-20T16:26:21Z</dcterms:modified>
  <cp:category/>
</cp:coreProperties>
</file>