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Handbook</w:t>
      </w:r>
    </w:p>
    <w:p>
      <w:r>
        <w:t>Marrowgate Labs Ltd - Version 0.2 - DRAFT - not approved</w:t>
      </w:r>
    </w:p>
    <w:p>
      <w:r>
        <w:t>DRAFT: this handbook is still being written by the People team and has not been approved. Content may change before it is published.</w:t>
      </w:r>
    </w:p>
    <w:p>
      <w:pPr>
        <w:pStyle w:val="Heading2"/>
      </w:pPr>
      <w:r>
        <w:t>Welcome</w:t>
      </w:r>
    </w:p>
    <w:p>
      <w:r>
        <w:t>Marrowgate builds Marrowgate Payroll. We are about 140 people working from our Dublin office and from home across Europe.</w:t>
      </w:r>
    </w:p>
    <w:p>
      <w:pPr>
        <w:pStyle w:val="Heading2"/>
      </w:pPr>
      <w:r>
        <w:t>Working Hours and Time Off</w:t>
      </w:r>
    </w:p>
    <w:p>
      <w:r>
        <w:t>Most teams share core hours between 10:00 and 15:00 in their local time. Agree planned time off with your manager and add it to the team calendar.</w:t>
      </w:r>
    </w:p>
    <w:p>
      <w:pPr>
        <w:pStyle w:val="Heading2"/>
      </w:pPr>
      <w:r>
        <w:t>Equipment</w:t>
      </w:r>
    </w:p>
    <w:p>
      <w:r>
        <w:t>Marrowgate provides each employee with a laptop and the accessories they need.</w:t>
      </w:r>
    </w:p>
    <w:p>
      <w:r>
        <w:t>Every company laptop must have its disk fully encrypted before it is issued.</w:t>
      </w:r>
    </w:p>
    <w:p>
      <w:r>
        <w:t>Install only software that IT Operations has approved. Tell IT Operations if you need a replacement or a repair.</w:t>
      </w:r>
    </w:p>
    <w:p>
      <w:pPr>
        <w:pStyle w:val="Heading2"/>
      </w:pPr>
      <w:r>
        <w:t>Expenses</w:t>
      </w:r>
    </w:p>
    <w:p>
      <w:r>
        <w:t>Business expenses are reimbursed when you submit a receipt through the expense tool within the same month.</w:t>
      </w:r>
    </w:p>
    <w:p>
      <w:pPr>
        <w:pStyle w:val="Heading2"/>
      </w:pPr>
      <w:r>
        <w:t>Code of Conduct</w:t>
      </w:r>
    </w:p>
    <w:p>
      <w:r>
        <w:t>We treat each other with respect. Harassment, discrimination and retaliation are not tolerated.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