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Risk Policy</w:t>
      </w:r>
    </w:p>
    <w:p>
      <w:r>
        <w:t>Marrowgate Labs Ltd - Version 1.1 - Effective 2026-03-02</w:t>
      </w:r>
    </w:p>
    <w:p>
      <w:r>
        <w:t>Scope: this policy applies to vendors and contractors who supply services to Marrowgate or work on its behalf.</w:t>
      </w:r>
    </w:p>
    <w:p>
      <w:pPr>
        <w:pStyle w:val="Heading2"/>
      </w:pPr>
      <w:r>
        <w:t>Supplier Assessment</w:t>
      </w:r>
    </w:p>
    <w:p>
      <w:r>
        <w:t>Marrowgate assesses the security risk of each vendor at least once a year.</w:t>
      </w:r>
    </w:p>
    <w:p>
      <w:r>
        <w:t>Marrowgate publishes its subprocessor list and gives customers 45 days' notice before adding a subprocessor.</w:t>
      </w:r>
    </w:p>
    <w:p>
      <w:pPr>
        <w:pStyle w:val="Heading2"/>
      </w:pPr>
      <w:r>
        <w:t>Contractor Staff</w:t>
      </w:r>
    </w:p>
    <w:p>
      <w:r>
        <w:t>Marrowgate does not run background checks on contractor staff; vendors confirm that their own staff are screened.</w:t>
      </w:r>
    </w:p>
    <w:p>
      <w:r>
        <w:t>Contractors receive access only to the systems named in their statement of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