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Third Party Security and Vendor Risk Management</w:t>
      </w:r>
    </w:p>
    <w:p>
      <w:r>
        <w:t>Kestrelyn, Inc. - Version 1.0 - Effective 2026-02-15</w:t>
      </w:r>
    </w:p>
    <w:p>
      <w:r>
        <w:t>Scope: this policy applies to vendors and contractors, the third parties that supply services, software or personnel to Kestrelyn.</w:t>
      </w:r>
    </w:p>
    <w:p>
      <w:r>
        <w:t>Kestrelyn makes every effort to assure all third party organizations are compliant and do not compromise the integrity, security, and privacy of Kestrelyn or Kestrelyn customer data. Third parties include vendors, partners, subcontractors, and contracted developers.</w:t>
      </w:r>
    </w:p>
    <w:p>
      <w:pPr>
        <w:pStyle w:val="Heading2"/>
      </w:pPr>
      <w:r>
        <w:t>Policy Statements</w:t>
      </w:r>
    </w:p>
    <w:p>
      <w:r>
        <w:t>Kestrelyn policy requires that:</w:t>
      </w:r>
    </w:p>
    <w:p>
      <w:r>
        <w:t>(a) A list of approved vendors and partners must be maintained.</w:t>
      </w:r>
    </w:p>
    <w:p>
      <w:r>
        <w:t>(b) Approval from management, procurement and security must be in place prior to onboarding any new vendor or contractor. Additionally, all changes to existing contract agreements must be approved prior to implementation.</w:t>
      </w:r>
    </w:p>
    <w:p>
      <w:r>
        <w:t>(c) Any technology solution that needs to be integrated with the Kestrelyn production environment or operations must be approved by the security team before it is used.</w:t>
      </w:r>
    </w:p>
    <w:p>
      <w:r>
        <w:t>(d) Kestrelyn customers or partners should not be allowed access outside of their own environment, meaning they cannot access, modify, or delete any data belonging to other third parties.</w:t>
      </w:r>
    </w:p>
    <w:p>
      <w:r>
        <w:t>(e) Additional vendor agreements are obtained as required by applicable regulatory compliance requirements.</w:t>
      </w:r>
    </w:p>
    <w:p>
      <w:pPr>
        <w:pStyle w:val="Heading2"/>
      </w:pPr>
      <w:r>
        <w:t>Vendor Risk Assessment</w:t>
      </w:r>
    </w:p>
    <w:p>
      <w:r>
        <w:t>Kestrelyn assesses the security risk of each vendor at least annually.</w:t>
      </w:r>
    </w:p>
    <w:p>
      <w:pPr>
        <w:pStyle w:val="Heading2"/>
      </w:pPr>
      <w:r>
        <w:t>Subprocessors</w:t>
      </w:r>
    </w:p>
    <w:p>
      <w:r>
        <w:t>Kestrelyn publishes a list of its subprocessors and gives customers 30 days' notice before adding a new one.</w:t>
      </w:r>
    </w:p>
    <w:p>
      <w:pPr>
        <w:pStyle w:val="Heading2"/>
      </w:pPr>
      <w:r>
        <w:t>Contractor Personnel</w:t>
      </w:r>
    </w:p>
    <w:p>
      <w:r>
        <w:t>Kestrelyn does not perform background checks on contractor personnel; vendors attest that their staff have been screened.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Kestrelyn</dc:creator>
  <cp:keywords/>
  <dc:description/>
  <cp:lastModifiedBy>Kestrelyn</cp:lastModifiedBy>
  <cp:revision>1</cp:revision>
  <dcterms:created xsi:type="dcterms:W3CDTF">2026-01-01T00:00:00Z</dcterms:created>
  <dcterms:modified xsi:type="dcterms:W3CDTF">2026-01-01T00:00:00Z</dcterms:modified>
  <cp:category/>
  <cp:lastPrinted>2026-01-01T00:00:00Z</cp:lastPrinted>
</cp:coreProperties>
</file>