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Asset Lifecycle Policy</w:t>
      </w:r>
    </w:p>
    <w:p>
      <w:r>
        <w:t>Marrowgate Labs Ltd - Version 0.4 - DRAFT - not approved</w:t>
      </w:r>
    </w:p>
    <w:p>
      <w:r>
        <w:t>DRAFT: this policy is still being written by IT Operations and has not been approved.</w:t>
      </w:r>
    </w:p>
    <w:p>
      <w:pPr>
        <w:pStyle w:val="Heading2"/>
      </w:pPr>
      <w:r>
        <w:t>Tracking</w:t>
      </w:r>
    </w:p>
    <w:p>
      <w:r>
        <w:t>Marrowgate maintains an inventory of its information assets.</w:t>
      </w:r>
    </w:p>
    <w:p>
      <w:r>
        <w:t>Each asset has an owner who is responsible for it until it is retired.</w:t>
      </w:r>
    </w:p>
    <w:p>
      <w:pPr>
        <w:pStyle w:val="Heading2"/>
      </w:pPr>
      <w:r>
        <w:t>Retirement</w:t>
      </w:r>
    </w:p>
    <w:p>
      <w:r>
        <w:t>Storage media from retired assets is wiped to NIST SP 800-88 standards or physically destroyed before it is reused or disposed of.</w:t>
      </w:r>
    </w:p>
    <w:p>
      <w:r>
        <w:t>Retirement is recorded against the asset.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