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Cryptography Standard</w:t>
      </w:r>
    </w:p>
    <w:p>
      <w:r>
        <w:t>Marrowgate Labs Ltd - Version 1.1 - Effective 2026-02-02</w:t>
      </w:r>
    </w:p>
    <w:p>
      <w:r>
        <w:t>This standard sets the cryptographic controls used to protect Marrowgate data.</w:t>
      </w:r>
    </w:p>
    <w:p>
      <w:pPr>
        <w:pStyle w:val="Heading2"/>
      </w:pPr>
      <w:r>
        <w:t>Data at Rest</w:t>
      </w:r>
    </w:p>
    <w:p>
      <w:r>
        <w:t>Customer data at rest is encrypted with AES-256 using AWS KMS keys.</w:t>
      </w:r>
    </w:p>
    <w:p>
      <w:pPr>
        <w:pStyle w:val="Heading2"/>
      </w:pPr>
      <w:r>
        <w:t>Data in Transit</w:t>
      </w:r>
    </w:p>
    <w:p>
      <w:r>
        <w:t>All data in transit is encrypted with TLS 1.2 or TLS 1.3.</w:t>
      </w:r>
    </w:p>
    <w:p>
      <w:r>
        <w:t>Marrowgate Payroll is served only over HTTPS, and plain HTTP requests are refused.</w:t>
      </w:r>
    </w:p>
    <w:p>
      <w:pPr>
        <w:pStyle w:val="Heading2"/>
      </w:pPr>
      <w:r>
        <w:t>Key Management</w:t>
      </w:r>
    </w:p>
    <w:p>
      <w:r>
        <w:t>AWS KMS keys are rotated automatically every year.</w:t>
      </w:r>
    </w:p>
    <w:p>
      <w:r>
        <w:t>Key administrators and key users are separate roles, and no single person can both change a key policy and use the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