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and Patching Policy</w:t>
      </w:r>
    </w:p>
    <w:p>
      <w:r>
        <w:t>Marrowgate Labs Ltd - Version 1.3 - Effective 2026-03-16</w:t>
      </w:r>
    </w:p>
    <w:p>
      <w:r>
        <w:t>This policy sets how Marrowgate finds and fixes weaknesses in its systems and in Marrowgate Payroll.</w:t>
      </w:r>
    </w:p>
    <w:p>
      <w:pPr>
        <w:pStyle w:val="Heading2"/>
      </w:pPr>
      <w:r>
        <w:t>Finding Weaknesses</w:t>
      </w:r>
    </w:p>
    <w:p>
      <w:r>
        <w:t>Authenticated vulnerability scans cover all production hosts, containers and cloud accounts every week.</w:t>
      </w:r>
    </w:p>
    <w:p>
      <w:r>
        <w:t>Marrowgate commissions an independent penetration test of Marrowgate Payroll every year.</w:t>
      </w:r>
    </w:p>
    <w:p>
      <w:r>
        <w:t>Customers may not run penetration tests against Marrowgate Payroll.</w:t>
      </w:r>
    </w:p>
    <w:p>
      <w:pPr>
        <w:pStyle w:val="Heading2"/>
      </w:pPr>
      <w:r>
        <w:t>Fixing Weaknesses</w:t>
      </w:r>
    </w:p>
    <w:p>
      <w:r>
        <w:t>Critical vulnerabilities are patched within 7 days of discovery.</w:t>
      </w:r>
    </w:p>
    <w:p>
      <w:r>
        <w:t>Critical vulnerabilities in third-party libraries are fixed within the same time limits.</w:t>
      </w:r>
    </w:p>
    <w:p>
      <w:r>
        <w:t>[Company Name] must remediate critical findings within [number] days.</w:t>
      </w:r>
    </w:p>
    <w:p>
      <w:r>
        <w:t>High findings are scheduled into the next sprint and tracked until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