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Response Policy</w:t>
      </w:r>
    </w:p>
    <w:p>
      <w:r>
        <w:t>Marrowgate Labs Ltd - Version 1.0 - Effective 2026-03-09</w:t>
      </w:r>
    </w:p>
    <w:p>
      <w:r>
        <w:t>This policy describes how Marrowgate prepares for and handles security incidents.</w:t>
      </w:r>
    </w:p>
    <w:p>
      <w:pPr>
        <w:pStyle w:val="Heading2"/>
      </w:pPr>
      <w:r>
        <w:t>Preparation</w:t>
      </w:r>
    </w:p>
    <w:p>
      <w:r>
        <w:t>Marrowgate maintains a documented incident response plan.</w:t>
      </w:r>
    </w:p>
    <w:p>
      <w:r>
        <w:t>An incident response tabletop exercise is run every year.</w:t>
      </w:r>
    </w:p>
    <w:p>
      <w:pPr>
        <w:pStyle w:val="Heading2"/>
      </w:pPr>
      <w:r>
        <w:t>Response</w:t>
      </w:r>
    </w:p>
    <w:p>
      <w:r>
        <w:t>The on-call engineer opens an incident record, assigns an incident lead and starts a timeline. The incident lead decides when to involve the CEO and the People Director.</w:t>
      </w:r>
    </w:p>
    <w:p>
      <w:pPr>
        <w:pStyle w:val="Heading2"/>
      </w:pPr>
      <w:r>
        <w:t>Customer Communication</w:t>
      </w:r>
    </w:p>
    <w:p>
      <w:r>
        <w:t>Affected customers are notified within 72 hours of a confirmed breach.</w:t>
      </w:r>
    </w:p>
    <w:p>
      <w:r>
        <w:t>Communication to customers is approved by the incident lead and the CEO before it is sent.</w:t>
      </w:r>
    </w:p>
    <w:p>
      <w:pPr>
        <w:pStyle w:val="Heading2"/>
      </w:pPr>
      <w:r>
        <w:t>After an Incident</w:t>
      </w:r>
    </w:p>
    <w:p>
      <w:r>
        <w:t>The incident lead writes up what happened and what will change, and the Head of Security tracks each follow-up action until it is 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Kestrelyn</dc:creator>
  <cp:keywords/>
  <dc:description/>
  <cp:lastModifiedBy>Kestrelyn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