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Resilience Runbook</w:t>
      </w:r>
    </w:p>
    <w:p>
      <w:r>
        <w:t>Marrowgate Labs Ltd - Version 2.0 - Effective 2026-04-02</w:t>
      </w:r>
    </w:p>
    <w:p>
      <w:r>
        <w:t>This runbook tells the on-call team how to restore Marrowgate Payroll after a major failure.</w:t>
      </w:r>
    </w:p>
    <w:p>
      <w:pPr>
        <w:pStyle w:val="Heading2"/>
      </w:pPr>
      <w:r>
        <w:t>Objectives</w:t>
      </w:r>
    </w:p>
    <w:p>
      <w:r>
        <w:t>The recovery time objective (RTO) is 4 hours and the recovery point objective (RPO) is 1 hour.</w:t>
      </w:r>
    </w:p>
    <w:p>
      <w:pPr>
        <w:pStyle w:val="Heading2"/>
      </w:pPr>
      <w:r>
        <w:t>Exercises</w:t>
      </w:r>
    </w:p>
    <w:p>
      <w:r>
        <w:t>Restores from backup are tested twice a year; the most recent test was completed in February 2026.</w:t>
      </w:r>
    </w:p>
    <w:p>
      <w:r>
        <w:t>Failover to the secondary AWS region is tested once a year; the last test was completed in March 2026.</w:t>
      </w:r>
    </w:p>
    <w:p>
      <w:pPr>
        <w:pStyle w:val="Heading2"/>
      </w:pPr>
      <w:r>
        <w:t>Communication During an Outage</w:t>
      </w:r>
    </w:p>
    <w:p>
      <w:r>
        <w:t>The incident lead posts status updates to customers every 60 minutes during a major outage.</w:t>
      </w:r>
    </w:p>
    <w:p>
      <w:r>
        <w:t>Customers are notified of a confirmed breach within 5 business days.</w:t>
      </w:r>
    </w:p>
    <w:p>
      <w:pPr>
        <w:pStyle w:val="Heading2"/>
      </w:pPr>
      <w:r>
        <w:t>Roles</w:t>
      </w:r>
    </w:p>
    <w:p>
      <w:r>
        <w:t>The CTO is the executive owner of this runbook. The IT Operations Lead keeps the contact list current.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