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Asset Inventory Management</w:t>
      </w:r>
    </w:p>
    <w:p>
      <w:r>
        <w:t>Kestrelyn, Inc. - Version 1.0 - Effective 2026-01-15</w:t>
      </w:r>
    </w:p>
    <w:p>
      <w:r>
        <w:t>You can't protect what you can't see. Therefore, visibility into both the physical and the digital assets of Kestrelyn is imperative.</w:t>
      </w:r>
    </w:p>
    <w:p>
      <w:pPr>
        <w:pStyle w:val="Heading2"/>
      </w:pPr>
      <w:r>
        <w:t>Policy Statements</w:t>
      </w:r>
    </w:p>
    <w:p>
      <w:r>
        <w:t>Kestrelyn maintains an inventory of its information assets.</w:t>
      </w:r>
    </w:p>
    <w:p>
      <w:r>
        <w:t>Kestrelyn policy requires that:</w:t>
      </w:r>
    </w:p>
    <w:p>
      <w:r>
        <w:t>(a) All assets must have an identified owner.</w:t>
      </w:r>
    </w:p>
    <w:p>
      <w:r>
        <w:t>(b) All physical assets must be labeled with a company property tag.</w:t>
      </w:r>
    </w:p>
    <w:p>
      <w:pPr>
        <w:pStyle w:val="Heading2"/>
      </w:pPr>
      <w:r>
        <w:t>Retired Assets</w:t>
      </w:r>
    </w:p>
    <w:p>
      <w:r>
        <w:t>Storage media from retired assets, including media that held production data, is wiped following NIST SP 800-88 guidelines or physically destroyed before reuse or disposal.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