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Continuity and Disaster Recovery Plan</w:t>
      </w:r>
    </w:p>
    <w:p>
      <w:r>
        <w:t>Kestrelyn, Inc. - Version 1.0 - Effective 2026-03-10</w:t>
      </w:r>
    </w:p>
    <w:p>
      <w:pPr>
        <w:pStyle w:val="Heading2"/>
      </w:pPr>
      <w:r>
        <w:t>Purpose and Scope</w:t>
      </w:r>
    </w:p>
    <w:p>
      <w:r>
        <w:t>This plan describes how Kestrelyn restores Kestrelyn Ledger, and the business functions that support it, after a disaster. It applies to the production service and to the corporate systems that the recovery team needs to do its work. It supports the Business Continuity and Disaster Recovery Policy.</w:t>
      </w:r>
    </w:p>
    <w:p>
      <w:pPr>
        <w:pStyle w:val="Heading2"/>
      </w:pPr>
      <w:r>
        <w:t>Recovery Objectives</w:t>
      </w:r>
    </w:p>
    <w:p>
      <w:r>
        <w:t>The recovery time objective (RTO) is 8 hours and the recovery point objective (RPO) is 24 hours.</w:t>
      </w:r>
    </w:p>
    <w:p>
      <w:pPr>
        <w:pStyle w:val="Heading2"/>
      </w:pPr>
      <w:r>
        <w:t>Disaster Scenarios</w:t>
      </w:r>
    </w:p>
    <w:p>
      <w:r>
        <w:t>The plan covers these scenarios:</w:t>
      </w:r>
    </w:p>
    <w:p>
      <w:pPr>
        <w:pStyle w:val="ListBullet"/>
      </w:pPr>
      <w:r>
        <w:t>Loss of the availability zone that hosts the primary production environment</w:t>
      </w:r>
    </w:p>
    <w:p>
      <w:pPr>
        <w:pStyle w:val="ListBullet"/>
      </w:pPr>
      <w:r>
        <w:t>Loss or corruption of the primary production database</w:t>
      </w:r>
    </w:p>
    <w:p>
      <w:pPr>
        <w:pStyle w:val="ListBullet"/>
      </w:pPr>
      <w:r>
        <w:t>Loss of the corporate office, or a prolonged power or network outage there</w:t>
      </w:r>
    </w:p>
    <w:p>
      <w:pPr>
        <w:pStyle w:val="ListBullet"/>
      </w:pPr>
      <w:r>
        <w:t>Loss of a critical third-party service</w:t>
      </w:r>
    </w:p>
    <w:p>
      <w:pPr>
        <w:pStyle w:val="ListBullet"/>
      </w:pPr>
      <w:r>
        <w:t>Unavailability of key staff</w:t>
      </w:r>
    </w:p>
    <w:p>
      <w:pPr>
        <w:pStyle w:val="Heading2"/>
      </w:pPr>
      <w:r>
        <w:t>Recovery Strategy</w:t>
      </w:r>
    </w:p>
    <w:p>
      <w:r>
        <w:t>Recovery uses a replacement environment in a separate availability zone. Data is recovered into the replacement environment before customer traffic is returned to it.</w:t>
      </w:r>
    </w:p>
    <w:p>
      <w:pPr>
        <w:pStyle w:val="Heading2"/>
      </w:pPr>
      <w:r>
        <w:t>Assumptions</w:t>
      </w:r>
    </w:p>
    <w:p>
      <w:r>
        <w:t>The plan assumes that the Recovery Coordinator or a deputy can be reached, that the recovery team can work remotely, and that availability zones fail independently of each other.</w:t>
      </w:r>
    </w:p>
    <w:p>
      <w:pPr>
        <w:pStyle w:val="Heading2"/>
      </w:pPr>
      <w:r>
        <w:t>Recovery Team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Held by</w:t>
            </w:r>
          </w:p>
        </w:tc>
      </w:tr>
      <w:tr>
        <w:tc>
          <w:tcPr>
            <w:tcW w:type="dxa" w:w="2880"/>
          </w:tcPr>
          <w:p>
            <w:r>
              <w:t>Recovery Coordinator</w:t>
            </w:r>
          </w:p>
        </w:tc>
        <w:tc>
          <w:tcPr>
            <w:tcW w:type="dxa" w:w="2880"/>
          </w:tcPr>
          <w:p>
            <w:r>
              <w:t>Declares the disaster and directs the recovery</w:t>
            </w:r>
          </w:p>
        </w:tc>
        <w:tc>
          <w:tcPr>
            <w:tcW w:type="dxa" w:w="2880"/>
          </w:tcPr>
          <w:p>
            <w:r>
              <w:t>CTO</w:t>
            </w:r>
          </w:p>
        </w:tc>
      </w:tr>
      <w:tr>
        <w:tc>
          <w:tcPr>
            <w:tcW w:type="dxa" w:w="2880"/>
          </w:tcPr>
          <w:p>
            <w:r>
              <w:t>Infrastructure Lead</w:t>
            </w:r>
          </w:p>
        </w:tc>
        <w:tc>
          <w:tcPr>
            <w:tcW w:type="dxa" w:w="2880"/>
          </w:tcPr>
          <w:p>
            <w:r>
              <w:t>Rebuilds the environment and recovers the data</w:t>
            </w:r>
          </w:p>
        </w:tc>
        <w:tc>
          <w:tcPr>
            <w:tcW w:type="dxa" w:w="2880"/>
          </w:tcPr>
          <w:p>
            <w:r>
              <w:t>IT Manager</w:t>
            </w:r>
          </w:p>
        </w:tc>
      </w:tr>
      <w:tr>
        <w:tc>
          <w:tcPr>
            <w:tcW w:type="dxa" w:w="2880"/>
          </w:tcPr>
          <w:p>
            <w:r>
              <w:t>Communications Lead</w:t>
            </w:r>
          </w:p>
        </w:tc>
        <w:tc>
          <w:tcPr>
            <w:tcW w:type="dxa" w:w="2880"/>
          </w:tcPr>
          <w:p>
            <w:r>
              <w:t>Keeps employees and customers informed</w:t>
            </w:r>
          </w:p>
        </w:tc>
        <w:tc>
          <w:tcPr>
            <w:tcW w:type="dxa" w:w="2880"/>
          </w:tcPr>
          <w:p>
            <w:r>
              <w:t>CEO</w:t>
            </w:r>
          </w:p>
        </w:tc>
      </w:tr>
    </w:tbl>
    <w:p>
      <w:pPr>
        <w:pStyle w:val="Heading2"/>
      </w:pPr>
      <w:r>
        <w:t>Recovery Steps</w:t>
      </w:r>
    </w:p>
    <w:p>
      <w:pPr>
        <w:pStyle w:val="ListBullet"/>
      </w:pPr>
      <w:r>
        <w:t>Declare the disaster and assemble the recovery team</w:t>
      </w:r>
    </w:p>
    <w:p>
      <w:pPr>
        <w:pStyle w:val="ListBullet"/>
      </w:pPr>
      <w:r>
        <w:t>Confirm the scope of the disruption and which systems are affected</w:t>
      </w:r>
    </w:p>
    <w:p>
      <w:pPr>
        <w:pStyle w:val="ListBullet"/>
      </w:pPr>
      <w:r>
        <w:t>Create the replacement environment and recover the data</w:t>
      </w:r>
    </w:p>
    <w:p>
      <w:pPr>
        <w:pStyle w:val="ListBullet"/>
      </w:pPr>
      <w:r>
        <w:t>Check that the service works end to end before returning customer traffic to it</w:t>
      </w:r>
    </w:p>
    <w:p>
      <w:pPr>
        <w:pStyle w:val="ListBullet"/>
      </w:pPr>
      <w:r>
        <w:t>Tell customers when service is restored</w:t>
      </w:r>
    </w:p>
    <w:p>
      <w:pPr>
        <w:pStyle w:val="ListBullet"/>
      </w:pPr>
      <w:r>
        <w:t>Hold a debrief and record lessons learned</w:t>
      </w:r>
    </w:p>
    <w:p>
      <w:pPr>
        <w:pStyle w:val="Heading2"/>
      </w:pPr>
      <w:r>
        <w:t>Testing</w:t>
      </w:r>
    </w:p>
    <w:p>
      <w:r>
        <w:t>Disaster recovery failover is tested annually; the last failover test was completed in November 2025.</w:t>
      </w:r>
    </w:p>
    <w:p>
      <w:r>
        <w:t>Backup restore tests are performed annually; the last test was completed in November 2025.</w:t>
      </w:r>
    </w:p>
    <w:p>
      <w:pPr>
        <w:pStyle w:val="Heading2"/>
      </w:pPr>
      <w:r>
        <w:t>Plan Maintenance</w:t>
      </w:r>
    </w:p>
    <w:p>
      <w:r>
        <w:t>This plan is updated after every test and whenever the production architecture changes significantly.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Kestrelyn</dc:creator>
  <cp:keywords/>
  <dc:description/>
  <cp:lastModifiedBy>Kestrelyn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