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Logging and Monitoring Policy</w:t>
      </w:r>
    </w:p>
    <w:p>
      <w:r>
        <w:t>Kestrelyn, Inc. - Version 1.0 - Effective 2026-01-15</w:t>
      </w:r>
    </w:p>
    <w:p>
      <w:r>
        <w:t>Kestrelyn shall audit and monitor the access and activity of systems and applications that process or store production and sensitive data, such as personally identifiable information (PII), in order to ensure compliance.</w:t>
      </w:r>
    </w:p>
    <w:p>
      <w:r>
        <w:t>Audit activities may be limited by application, system, and network auditing capabilities and resources. Kestrelyn shall make reasonable and good-faith efforts to safeguard information privacy and security through a well-thought-out approach to auditing that is consistent with available resources.</w:t>
      </w:r>
    </w:p>
    <w:p>
      <w:r>
        <w:t>It is the policy of Kestrelyn to safeguard the confidentiality, integrity, and availability of applications, systems, and networks. To ensure that appropriate safeguards are in place and effective, Kestrelyn shall audit access and activity to detect, report, and guard against:</w:t>
      </w:r>
    </w:p>
    <w:p>
      <w:pPr>
        <w:pStyle w:val="ListBullet"/>
      </w:pPr>
      <w:r>
        <w:t>Network intrusions;</w:t>
      </w:r>
    </w:p>
    <w:p>
      <w:pPr>
        <w:pStyle w:val="ListBullet"/>
      </w:pPr>
      <w:r>
        <w:t>Unauthorized disclosure of sensitive information;</w:t>
      </w:r>
    </w:p>
    <w:p>
      <w:pPr>
        <w:pStyle w:val="ListBullet"/>
      </w:pPr>
      <w:r>
        <w:t>Performance problems and flaws in applications; and</w:t>
      </w:r>
    </w:p>
    <w:p>
      <w:pPr>
        <w:pStyle w:val="ListBullet"/>
      </w:pPr>
      <w:r>
        <w:t>Improper alteration or loss of sensitive information.</w:t>
      </w:r>
    </w:p>
    <w:p>
      <w:r>
        <w:t>This policy applies to all Kestrelyn systems that store, transmit, or process sensitive information.</w:t>
      </w:r>
    </w:p>
    <w:p>
      <w:pPr>
        <w:pStyle w:val="Heading2"/>
      </w:pPr>
      <w:r>
        <w:t>Policy Statements</w:t>
      </w:r>
    </w:p>
    <w:p>
      <w:r>
        <w:t>Kestrelyn policy requires that:</w:t>
      </w:r>
    </w:p>
    <w:p>
      <w:r>
        <w:t>(a) All critical computing systems and software must enable audit logging.</w:t>
      </w:r>
    </w:p>
    <w:p>
      <w:r>
        <w:t>(b) Audit logs must include sufficient information to identify who did what, when, where.</w:t>
      </w:r>
    </w:p>
    <w:p>
      <w:pPr>
        <w:pStyle w:val="Heading2"/>
      </w:pPr>
      <w:r>
        <w:t>Log Management</w:t>
      </w:r>
    </w:p>
    <w:p>
      <w:r>
        <w:t>Security logs are collected centrally in Datadog.</w:t>
      </w:r>
    </w:p>
    <w:p>
      <w:r>
        <w:t>Security logs are retained for one year.</w:t>
      </w:r>
    </w:p>
    <w:p>
      <w:pPr>
        <w:pStyle w:val="Heading2"/>
      </w:pPr>
      <w:r>
        <w:t>Alerting</w:t>
      </w:r>
    </w:p>
    <w:p>
      <w:r>
        <w:t>Security events generate alerts that page the on-call rotation.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