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t>FACTS Dashboard — Size Optimization Report</w:t>
      </w:r>
    </w:p>
    <w:p>
      <w:pPr>
        <w:spacing w:before="40" w:after="80"/>
      </w:pPr>
      <w:r/>
      <w:r>
        <w:rPr>
          <w:b/>
        </w:rPr>
        <w:t>Author:</w:t>
      </w:r>
      <w:r>
        <w:t xml:space="preserve"> Tarun Theegela (tt633)</w:t>
      </w:r>
    </w:p>
    <w:p>
      <w:pPr>
        <w:spacing w:before="40" w:after="80"/>
      </w:pPr>
      <w:r/>
      <w:r>
        <w:rPr>
          <w:b/>
        </w:rPr>
        <w:t>Date:</w:t>
      </w:r>
      <w:r>
        <w:t xml:space="preserve"> April 2026</w:t>
      </w:r>
    </w:p>
    <w:p>
      <w:pPr>
        <w:spacing w:before="40" w:after="80"/>
      </w:pPr>
      <w:r/>
      <w:r>
        <w:rPr>
          <w:b/>
        </w:rPr>
        <w:t>Dashboard repo:</w:t>
      </w:r>
      <w:r>
        <w:t xml:space="preserve"> https://github.com/tt633/facts.plotting.dashboard</w:t>
      </w:r>
    </w:p>
    <w:p>
      <w:pPr>
        <w:pStyle w:val="Heading2"/>
        <w:spacing w:before="120" w:after="80"/>
      </w:pPr>
      <w:r>
        <w:t>1. Overview</w:t>
      </w:r>
    </w:p>
    <w:p>
      <w:pPr>
        <w:spacing w:before="40" w:after="80"/>
      </w:pPr>
      <w:r>
        <w:t xml:space="preserve">This report documents the work done to reduce the FACTS Dashboard HTML output size from </w:t>
      </w:r>
      <w:r>
        <w:rPr>
          <w:b/>
        </w:rPr>
        <w:t>168 MB → 66 MB</w:t>
      </w:r>
      <w:r>
        <w:t xml:space="preserve"> — a </w:t>
      </w:r>
      <w:r>
        <w:rPr>
          <w:b/>
        </w:rPr>
        <w:t>61% reduction</w:t>
      </w:r>
      <w:r>
        <w:t xml:space="preserve"> — achieved in version v1.1.2. It also covers the IPCC AR6 color scheme adopted in the same release.</w:t>
      </w:r>
    </w:p>
    <w:p>
      <w:pPr>
        <w:pStyle w:val="Heading2"/>
        <w:spacing w:before="120" w:after="80"/>
      </w:pPr>
      <w:r>
        <w:t>2. Problem</w:t>
      </w:r>
    </w:p>
    <w:p>
      <w:pPr>
        <w:spacing w:before="40" w:after="80"/>
      </w:pPr>
      <w:r>
        <w:t>The FACTS Dashboard generates a fully self-contained HTML file — all data, JavaScript, and CSS are embedded inline (no server, no internet connection needed). This convenience comes at a cost: all projection data is serialized into the HTML as JSON.</w:t>
      </w:r>
    </w:p>
    <w:p>
      <w:pPr>
        <w:spacing w:before="40" w:after="80"/>
      </w:pPr>
      <w:r>
        <w:t>With 4 SSPs × 7 workflows × 7 components × 2 scales × 24 locations × 5 quantiles × 30 time steps, the number of data points is large. Early versions stored all floating point values at full Python precision (e.g., `134.67892456`), which bloated the file size significantly.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t>v1.0.0</w:t>
            </w:r>
          </w:p>
        </w:tc>
        <w:tc>
          <w:tcPr>
            <w:tcW w:type="dxa" w:w="3024"/>
          </w:tcPr>
          <w:p>
            <w:r>
              <w:t>~159 MB</w:t>
            </w:r>
          </w:p>
        </w:tc>
        <w:tc>
          <w:tcPr>
            <w:tcW w:type="dxa" w:w="3024"/>
          </w:tcPr>
          <w:p>
            <w:r>
              <w:t>Initial release</w:t>
            </w:r>
          </w:p>
        </w:tc>
      </w:tr>
      <w:tr>
        <w:tc>
          <w:tcPr>
            <w:tcW w:type="dxa" w:w="3024"/>
          </w:tcPr>
          <w:p>
            <w:r>
              <w:t>v1.1.0</w:t>
            </w:r>
          </w:p>
        </w:tc>
        <w:tc>
          <w:tcPr>
            <w:tcW w:type="dxa" w:w="3024"/>
          </w:tcPr>
          <w:p>
            <w:r>
              <w:t>~168 MB</w:t>
            </w:r>
          </w:p>
        </w:tc>
        <w:tc>
          <w:tcPr>
            <w:tcW w:type="dxa" w:w="3024"/>
          </w:tcPr>
          <w:p>
            <w:r>
              <w:t>Stacked bar chart added</w:t>
            </w:r>
          </w:p>
        </w:tc>
      </w:tr>
      <w:tr>
        <w:tc>
          <w:tcPr>
            <w:tcW w:type="dxa" w:w="3024"/>
          </w:tcPr>
          <w:p>
            <w:r>
              <w:t>v1.1.1</w:t>
            </w:r>
          </w:p>
        </w:tc>
        <w:tc>
          <w:tcPr>
            <w:tcW w:type="dxa" w:w="3024"/>
          </w:tcPr>
          <w:p>
            <w:r>
              <w:t>~168 MB</w:t>
            </w:r>
          </w:p>
        </w:tc>
        <w:tc>
          <w:tcPr>
            <w:tcW w:type="dxa" w:w="3024"/>
          </w:tcPr>
          <w:p>
            <w:r>
              <w:t>Grouped bars + quantile selector added</w:t>
            </w:r>
          </w:p>
        </w:tc>
      </w:tr>
      <w:tr>
        <w:tc>
          <w:tcPr>
            <w:tcW w:type="dxa" w:w="3024"/>
          </w:tcPr>
          <w:p>
            <w:r>
              <w:t>**v1.1.2**</w:t>
            </w:r>
          </w:p>
        </w:tc>
        <w:tc>
          <w:tcPr>
            <w:tcW w:type="dxa" w:w="3024"/>
          </w:tcPr>
          <w:p>
            <w:r>
              <w:t>**66 MB**</w:t>
            </w:r>
          </w:p>
        </w:tc>
        <w:tc>
          <w:tcPr>
            <w:tcW w:type="dxa" w:w="3024"/>
          </w:tcPr>
          <w:p>
            <w:r>
              <w:t>**61% reduction — see Section 3**</w:t>
            </w:r>
          </w:p>
        </w:tc>
      </w:tr>
      <w:tr>
        <w:tc>
          <w:tcPr>
            <w:tcW w:type="dxa" w:w="3024"/>
          </w:tcPr>
          <w:p>
            <w:r>
              <w:t>v1.1.3</w:t>
            </w:r>
          </w:p>
        </w:tc>
        <w:tc>
          <w:tcPr>
            <w:tcW w:type="dxa" w:w="3024"/>
          </w:tcPr>
          <w:p>
            <w:r>
              <w:t>66 MB</w:t>
            </w:r>
          </w:p>
        </w:tc>
        <w:tc>
          <w:tcPr>
            <w:tcW w:type="dxa" w:w="3024"/>
          </w:tcPr>
          <w:p>
            <w:r>
              <w:t>UX polish only, no size change</w:t>
            </w:r>
          </w:p>
        </w:tc>
      </w:tr>
    </w:tbl>
    <w:p/>
    <w:p>
      <w:pPr>
        <w:pStyle w:val="Heading2"/>
        <w:spacing w:before="120" w:after="80"/>
      </w:pPr>
      <w:r>
        <w:t>3. Optimization: 1 Decimal Place Rounding</w:t>
      </w:r>
    </w:p>
    <w:p>
      <w:pPr>
        <w:pStyle w:val="Heading3"/>
        <w:spacing w:before="120" w:after="80"/>
      </w:pPr>
      <w:r>
        <w:t>What we did</w:t>
      </w:r>
    </w:p>
    <w:p>
      <w:pPr>
        <w:spacing w:before="40" w:after="80"/>
      </w:pPr>
      <w:r>
        <w:t xml:space="preserve">In `precompute_all()`, after computing quantiles via `np.quantile()`, all sea-level values are rounded to </w:t>
      </w:r>
      <w:r>
        <w:rPr>
          <w:b/>
        </w:rPr>
        <w:t>1 decimal place (mm precision)</w:t>
      </w:r>
      <w:r>
        <w:t xml:space="preserve"> before being stored in `data_dict`: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# Before (full float precision — bloated)</w:t>
        <w:br/>
        <w:t>"med": [134.67892456, 156.23401987, ...]</w:t>
        <w:br/>
        <w:br/>
        <w:t># After (1 dp rounding — compact)</w:t>
        <w:br/>
        <w:t>"med": [134.7, 156.2, ...]</w:t>
      </w:r>
    </w:p>
    <w:p>
      <w:pPr>
        <w:spacing w:before="40" w:after="80"/>
      </w:pPr>
      <w:r>
        <w:t>This is applied to all 5 quantile keys: `vlo`, `lo`, `med`, `hi`, `vhi`.</w:t>
      </w:r>
    </w:p>
    <w:p>
      <w:pPr>
        <w:pStyle w:val="Heading3"/>
        <w:spacing w:before="120" w:after="80"/>
      </w:pPr>
      <w:r>
        <w:t>Why 1 dp is sufficient</w:t>
      </w:r>
    </w:p>
    <w:p>
      <w:pPr>
        <w:spacing w:before="40" w:after="80"/>
      </w:pPr>
      <w:r>
        <w:t xml:space="preserve">Sea-level projections are expressed in </w:t>
      </w:r>
      <w:r>
        <w:rPr>
          <w:b/>
        </w:rPr>
        <w:t>millimetres</w:t>
      </w:r>
      <w:r>
        <w:t xml:space="preserve">. The uncertainty range between the 17th and 83rd percentiles is typically hundreds of mm by 2100. Sub-millimetre precision (e.g., `134.67892456` vs `134.7`) has </w:t>
      </w:r>
      <w:r>
        <w:rPr>
          <w:b/>
        </w:rPr>
        <w:t>no scientific meaning</w:t>
      </w:r>
      <w:r>
        <w:t xml:space="preserve"> at this scale and carries no information for the user. Rounding to 1 dp is consistent with standard IPCC reporting conventions.</w:t>
      </w:r>
    </w:p>
    <w:p>
      <w:pPr>
        <w:pStyle w:val="Heading3"/>
        <w:spacing w:before="120" w:after="80"/>
      </w:pPr>
      <w:r>
        <w:t>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024"/>
          </w:tcPr>
          <w:p>
            <w:r>
              <w:rPr>
                <w:b/>
              </w:rPr>
              <w:t>Before (v1.1.1)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After (v1.1.2)</w:t>
            </w:r>
          </w:p>
        </w:tc>
      </w:tr>
      <w:tr>
        <w:tc>
          <w:tcPr>
            <w:tcW w:type="dxa" w:w="3024"/>
          </w:tcPr>
          <w:p>
            <w:r>
              <w:t>HTML file size</w:t>
            </w:r>
          </w:p>
        </w:tc>
        <w:tc>
          <w:tcPr>
            <w:tcW w:type="dxa" w:w="3024"/>
          </w:tcPr>
          <w:p>
            <w:r>
              <w:t>~168 MB</w:t>
            </w:r>
          </w:p>
        </w:tc>
        <w:tc>
          <w:tcPr>
            <w:tcW w:type="dxa" w:w="3024"/>
          </w:tcPr>
          <w:p>
            <w:r>
              <w:t>**66 MB**</w:t>
            </w:r>
          </w:p>
        </w:tc>
      </w:tr>
      <w:tr>
        <w:tc>
          <w:tcPr>
            <w:tcW w:type="dxa" w:w="3024"/>
          </w:tcPr>
          <w:p>
            <w:r>
              <w:t>Reduction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3024"/>
          </w:tcPr>
          <w:p>
            <w:r>
              <w:t>**61%**</w:t>
            </w:r>
          </w:p>
        </w:tc>
      </w:tr>
      <w:tr>
        <w:tc>
          <w:tcPr>
            <w:tcW w:type="dxa" w:w="3024"/>
          </w:tcPr>
          <w:p>
            <w:r>
              <w:t>Scientific precision lost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3024"/>
          </w:tcPr>
          <w:p>
            <w:r>
              <w:t>None meaningful</w:t>
            </w:r>
          </w:p>
        </w:tc>
      </w:tr>
      <w:tr>
        <w:tc>
          <w:tcPr>
            <w:tcW w:type="dxa" w:w="3024"/>
          </w:tcPr>
          <w:p>
            <w:r>
              <w:t>Load time in browser</w:t>
            </w:r>
          </w:p>
        </w:tc>
        <w:tc>
          <w:tcPr>
            <w:tcW w:type="dxa" w:w="3024"/>
          </w:tcPr>
          <w:p>
            <w:r>
              <w:t>Slow (~5–8s)</w:t>
            </w:r>
          </w:p>
        </w:tc>
        <w:tc>
          <w:tcPr>
            <w:tcW w:type="dxa" w:w="3024"/>
          </w:tcPr>
          <w:p>
            <w:r>
              <w:t>Fast (~2–3s)</w:t>
            </w:r>
          </w:p>
        </w:tc>
      </w:tr>
    </w:tbl>
    <w:p/>
    <w:p>
      <w:pPr>
        <w:pStyle w:val="Heading2"/>
        <w:spacing w:before="120" w:after="80"/>
      </w:pPr>
      <w:r>
        <w:t>4. Color Scheme: IPCC AR6 Standard</w:t>
      </w:r>
    </w:p>
    <w:p>
      <w:pPr>
        <w:spacing w:before="40" w:after="80"/>
      </w:pPr>
      <w:r>
        <w:t xml:space="preserve">Also introduced in v1.1.2, the SSP color scheme was updated to match the </w:t>
      </w:r>
      <w:r>
        <w:rPr>
          <w:b/>
        </w:rPr>
        <w:t>IPCC Sixth Assessment Report (AR6)</w:t>
      </w:r>
      <w:r>
        <w:t xml:space="preserve"> standard palette — the same colors used in official IPCC figures. This ensures the dashboard is visually consistent with published literature.</w:t>
      </w:r>
    </w:p>
    <w:p>
      <w:pPr>
        <w:pStyle w:val="Heading3"/>
        <w:spacing w:before="120" w:after="80"/>
      </w:pPr>
      <w:r>
        <w:t>Color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SSP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Hex</w:t>
            </w:r>
          </w:p>
        </w:tc>
        <w:tc>
          <w:tcPr>
            <w:tcW w:type="dxa" w:w="22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t>SSP1-1.9</w:t>
            </w:r>
          </w:p>
        </w:tc>
        <w:tc>
          <w:tcPr>
            <w:tcW w:type="dxa" w:w="2268"/>
          </w:tcPr>
          <w:p>
            <w:r>
              <w:t>Deep blue</w:t>
            </w:r>
          </w:p>
        </w:tc>
        <w:tc>
          <w:tcPr>
            <w:tcW w:type="dxa" w:w="2268"/>
          </w:tcPr>
          <w:p>
            <w:r>
              <w:t>`#1d6ea8`</w:t>
            </w:r>
          </w:p>
        </w:tc>
        <w:tc>
          <w:tcPr>
            <w:tcW w:type="dxa" w:w="2268"/>
          </w:tcPr>
          <w:p>
            <w:r>
              <w:t>Lowest emissions</w:t>
            </w:r>
          </w:p>
        </w:tc>
      </w:tr>
      <w:tr>
        <w:tc>
          <w:tcPr>
            <w:tcW w:type="dxa" w:w="2268"/>
          </w:tcPr>
          <w:p>
            <w:r>
              <w:t>SSP1-2.6</w:t>
            </w:r>
          </w:p>
        </w:tc>
        <w:tc>
          <w:tcPr>
            <w:tcW w:type="dxa" w:w="2268"/>
          </w:tcPr>
          <w:p>
            <w:r>
              <w:t>Sky blue</w:t>
            </w:r>
          </w:p>
        </w:tc>
        <w:tc>
          <w:tcPr>
            <w:tcW w:type="dxa" w:w="2268"/>
          </w:tcPr>
          <w:p>
            <w:r>
              <w:t>`#56b4e9`</w:t>
            </w:r>
          </w:p>
        </w:tc>
        <w:tc>
          <w:tcPr>
            <w:tcW w:type="dxa" w:w="2268"/>
          </w:tcPr>
          <w:p>
            <w:r>
              <w:t>Very low emissions</w:t>
            </w:r>
          </w:p>
        </w:tc>
      </w:tr>
      <w:tr>
        <w:tc>
          <w:tcPr>
            <w:tcW w:type="dxa" w:w="2268"/>
          </w:tcPr>
          <w:p>
            <w:r>
              <w:t>SSP2-4.5</w:t>
            </w:r>
          </w:p>
        </w:tc>
        <w:tc>
          <w:tcPr>
            <w:tcW w:type="dxa" w:w="2268"/>
          </w:tcPr>
          <w:p>
            <w:r>
              <w:t>Yellow</w:t>
            </w:r>
          </w:p>
        </w:tc>
        <w:tc>
          <w:tcPr>
            <w:tcW w:type="dxa" w:w="2268"/>
          </w:tcPr>
          <w:p>
            <w:r>
              <w:t>`#f0e442`</w:t>
            </w:r>
          </w:p>
        </w:tc>
        <w:tc>
          <w:tcPr>
            <w:tcW w:type="dxa" w:w="2268"/>
          </w:tcPr>
          <w:p>
            <w:r>
              <w:t>Intermediate</w:t>
            </w:r>
          </w:p>
        </w:tc>
      </w:tr>
      <w:tr>
        <w:tc>
          <w:tcPr>
            <w:tcW w:type="dxa" w:w="2268"/>
          </w:tcPr>
          <w:p>
            <w:r>
              <w:t>SSP3-7.0</w:t>
            </w:r>
          </w:p>
        </w:tc>
        <w:tc>
          <w:tcPr>
            <w:tcW w:type="dxa" w:w="2268"/>
          </w:tcPr>
          <w:p>
            <w:r>
              <w:t>Amber</w:t>
            </w:r>
          </w:p>
        </w:tc>
        <w:tc>
          <w:tcPr>
            <w:tcW w:type="dxa" w:w="2268"/>
          </w:tcPr>
          <w:p>
            <w:r>
              <w:t>`#e69500`</w:t>
            </w:r>
          </w:p>
        </w:tc>
        <w:tc>
          <w:tcPr>
            <w:tcW w:type="dxa" w:w="2268"/>
          </w:tcPr>
          <w:p>
            <w:r>
              <w:t>High emissions</w:t>
            </w:r>
          </w:p>
        </w:tc>
      </w:tr>
      <w:tr>
        <w:tc>
          <w:tcPr>
            <w:tcW w:type="dxa" w:w="2268"/>
          </w:tcPr>
          <w:p>
            <w:r>
              <w:t>SSP5-3.4OS</w:t>
            </w:r>
          </w:p>
        </w:tc>
        <w:tc>
          <w:tcPr>
            <w:tcW w:type="dxa" w:w="2268"/>
          </w:tcPr>
          <w:p>
            <w:r>
              <w:t>Mauve</w:t>
            </w:r>
          </w:p>
        </w:tc>
        <w:tc>
          <w:tcPr>
            <w:tcW w:type="dxa" w:w="2268"/>
          </w:tcPr>
          <w:p>
            <w:r>
              <w:t>`#cc79a7`</w:t>
            </w:r>
          </w:p>
        </w:tc>
        <w:tc>
          <w:tcPr>
            <w:tcW w:type="dxa" w:w="2268"/>
          </w:tcPr>
          <w:p>
            <w:r>
              <w:t>Overshoot</w:t>
            </w:r>
          </w:p>
        </w:tc>
      </w:tr>
      <w:tr>
        <w:tc>
          <w:tcPr>
            <w:tcW w:type="dxa" w:w="2268"/>
          </w:tcPr>
          <w:p>
            <w:r>
              <w:t>SSP5-8.5</w:t>
            </w:r>
          </w:p>
        </w:tc>
        <w:tc>
          <w:tcPr>
            <w:tcW w:type="dxa" w:w="2268"/>
          </w:tcPr>
          <w:p>
            <w:r>
              <w:t>Red</w:t>
            </w:r>
          </w:p>
        </w:tc>
        <w:tc>
          <w:tcPr>
            <w:tcW w:type="dxa" w:w="2268"/>
          </w:tcPr>
          <w:p>
            <w:r>
              <w:t>`#d73027`</w:t>
            </w:r>
          </w:p>
        </w:tc>
        <w:tc>
          <w:tcPr>
            <w:tcW w:type="dxa" w:w="2268"/>
          </w:tcPr>
          <w:p>
            <w:r>
              <w:t>Highest emissions</w:t>
            </w:r>
          </w:p>
        </w:tc>
      </w:tr>
    </w:tbl>
    <w:p/>
    <w:p>
      <w:pPr>
        <w:pStyle w:val="Heading3"/>
        <w:spacing w:before="120" w:after="80"/>
      </w:pPr>
      <w:r>
        <w:t>Design rationale</w:t>
      </w:r>
    </w:p>
    <w:p>
      <w:pPr>
        <w:spacing w:before="40" w:after="80"/>
      </w:pPr>
      <w:r>
        <w:t>The cool-to-warm gradient (blue → red) maps intuitively to emissions severity — lower emissions scenarios are cool colors, higher emissions are warm. This is the convention established by the IPCC and widely recognized in the climate science community.</w:t>
      </w:r>
    </w:p>
    <w:p>
      <w:pPr>
        <w:spacing w:before="40" w:after="80"/>
        <w:ind w:left="432"/>
      </w:pPr>
      <w:r/>
      <w:r>
        <w:rPr>
          <w:b/>
        </w:rPr>
        <w:t>Note on space savings vs. IPCC semantics:</w:t>
      </w:r>
      <w:r>
        <w:t xml:space="preserve"> While switching to hex colors reduced some inline CSS verbosity, the dominant size saving came from the float rounding in Section 3 — not the color change. The color update was a correctness and consistency improvement.</w:t>
      </w:r>
    </w:p>
    <w:p>
      <w:pPr>
        <w:pStyle w:val="Heading2"/>
        <w:spacing w:before="120" w:after="80"/>
      </w:pPr>
      <w:r>
        <w:t>5. Additional UX Improvements (v1.1.3)</w:t>
      </w:r>
    </w:p>
    <w:p>
      <w:pPr>
        <w:spacing w:before="40" w:after="80"/>
      </w:pPr>
      <w:r>
        <w:t>Version v1.1.3 built on v1.1.2 with user-facing polish (no size change):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536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536"/>
          </w:tcPr>
          <w:p>
            <w:r>
              <w:t>Human-readable component labels</w:t>
            </w:r>
          </w:p>
        </w:tc>
        <w:tc>
          <w:tcPr>
            <w:tcW w:type="dxa" w:w="4536"/>
          </w:tcPr>
          <w:p>
            <w:r>
              <w:t>"AIS (Antarctic Ice Sheet)" instead of "AIS" in dropdowns</w:t>
            </w:r>
          </w:p>
        </w:tc>
      </w:tr>
      <w:tr>
        <w:tc>
          <w:tcPr>
            <w:tcW w:type="dxa" w:w="4536"/>
          </w:tcPr>
          <w:p>
            <w:r>
              <w:t>Clean "Line N" slot rows</w:t>
            </w:r>
          </w:p>
        </w:tc>
        <w:tc>
          <w:tcPr>
            <w:tcW w:type="dxa" w:w="4536"/>
          </w:tcPr>
          <w:p>
            <w:r>
              <w:t>Removed repetitive "(Line N)" from every widget title</w:t>
            </w:r>
          </w:p>
        </w:tc>
      </w:tr>
      <w:tr>
        <w:tc>
          <w:tcPr>
            <w:tcW w:type="dxa" w:w="4536"/>
          </w:tcPr>
          <w:p>
            <w:r>
              <w:t>Fixed SSP legend hex codes</w:t>
            </w:r>
          </w:p>
        </w:tc>
        <w:tc>
          <w:tcPr>
            <w:tcW w:type="dxa" w:w="4536"/>
          </w:tcPr>
          <w:p>
            <w:r>
              <w:t>Legend color swatches now use `SSP_COLORS` dict values directly</w:t>
            </w:r>
          </w:p>
        </w:tc>
      </w:tr>
      <w:tr>
        <w:tc>
          <w:tcPr>
            <w:tcW w:type="dxa" w:w="4536"/>
          </w:tcPr>
          <w:p>
            <w:r>
              <w:t>Removed header placeholder text</w:t>
            </w:r>
          </w:p>
        </w:tc>
        <w:tc>
          <w:tcPr>
            <w:tcW w:type="dxa" w:w="4536"/>
          </w:tcPr>
          <w:p>
            <w:r>
              <w:t>Cleaned up boilerplate from the dashboard header</w:t>
            </w:r>
          </w:p>
        </w:tc>
      </w:tr>
    </w:tbl>
    <w:p/>
    <w:p>
      <w:pPr>
        <w:pStyle w:val="Heading2"/>
        <w:spacing w:before="120" w:after="80"/>
      </w:pPr>
      <w:r>
        <w:t>6. Current Data Structure</w:t>
      </w:r>
    </w:p>
    <w:p>
      <w:pPr>
        <w:spacing w:before="40" w:after="80"/>
      </w:pPr>
      <w:r>
        <w:t>All projection data is stored in `data_dict` with the key format: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"{ssp}|{component}|{wf}|{scale}|{loc_id}"</w:t>
      </w:r>
    </w:p>
    <w:p>
      <w:pPr>
        <w:spacing w:before="40" w:after="80"/>
      </w:pPr>
      <w:r>
        <w:t>Each entry contains: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{</w:t>
        <w:br/>
        <w:t xml:space="preserve">    "years": [2020, 2030, ..., 2300],   # time steps (int)</w:t>
        <w:br/>
        <w:t xml:space="preserve">    "vlo":   [12.3, 24.1, ...],         # 5th percentile (1 dp, mm)</w:t>
        <w:br/>
        <w:t xml:space="preserve">    "lo":    [18.7, 34.2, ...],         # 17th percentile</w:t>
        <w:br/>
        <w:t xml:space="preserve">    "med":   [28.4, 52.6, ...],         # 50th percentile (median)</w:t>
        <w:br/>
        <w:t xml:space="preserve">    "hi":    [41.2, 78.3, ...],         # 83rd percentile</w:t>
        <w:br/>
        <w:t xml:space="preserve">    "vhi":   [55.9, 101.4, ...],        # 95th percentile</w:t>
        <w:br/>
        <w:t>}</w:t>
      </w:r>
    </w:p>
    <w:p>
      <w:pPr>
        <w:spacing w:before="40" w:after="80"/>
      </w:pPr>
      <w:r>
        <w:t>The `loc_id` is `-1` for global mean sea level and a positive integer for a specific tide gauge station.</w:t>
      </w:r>
    </w:p>
    <w:p>
      <w:pPr>
        <w:pStyle w:val="Heading2"/>
        <w:spacing w:before="120" w:after="80"/>
      </w:pPr>
      <w:r>
        <w:t>7. Summary</w:t>
      </w:r>
    </w:p>
    <w:p>
      <w:pPr>
        <w:spacing w:before="40" w:after="80"/>
      </w:pPr>
      <w:r>
        <w:t xml:space="preserve">The key insight was that </w:t>
      </w:r>
      <w:r>
        <w:rPr>
          <w:b/>
        </w:rPr>
        <w:t>float precision was the primary driver of HTML file size</w:t>
      </w:r>
      <w:r>
        <w:t xml:space="preserve"> in a self-contained Bokeh dashboard. Rounding to 1 decimal place — appropriate for millimetre-scale sea-level projections — cut the output size by 61% with no loss of scientific value. The IPCC AR6 color scheme was adopted simultaneously to align the dashboard with published standards.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