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t>FACTS Dashboard — Developer &amp; User Reference Guide</w:t>
      </w:r>
    </w:p>
    <w:p>
      <w:pPr>
        <w:spacing w:before="40" w:after="80"/>
      </w:pPr>
      <w:r/>
      <w:r>
        <w:rPr>
          <w:b/>
        </w:rPr>
        <w:t>Document:</w:t>
      </w:r>
      <w:r>
        <w:t xml:space="preserve"> facts_dashboard_code_guide</w:t>
      </w:r>
    </w:p>
    <w:p>
      <w:pPr>
        <w:spacing w:before="40" w:after="80"/>
      </w:pPr>
      <w:r/>
      <w:r>
        <w:rPr>
          <w:b/>
        </w:rPr>
        <w:t>File described:</w:t>
      </w:r>
      <w:r>
        <w:t xml:space="preserve"> `facts_dashboard.py`</w:t>
      </w:r>
    </w:p>
    <w:p>
      <w:pPr>
        <w:spacing w:before="40" w:after="80"/>
      </w:pPr>
      <w:r/>
      <w:r>
        <w:rPr>
          <w:b/>
        </w:rPr>
        <w:t>Author:</w:t>
      </w:r>
      <w:r>
        <w:t xml:space="preserve"> Tarun Theegela (tt633)</w:t>
      </w:r>
    </w:p>
    <w:p>
      <w:pPr>
        <w:spacing w:before="40" w:after="80"/>
      </w:pPr>
      <w:r/>
      <w:r>
        <w:rPr>
          <w:b/>
        </w:rPr>
        <w:t>Date:</w:t>
      </w:r>
      <w:r>
        <w:t xml:space="preserve"> April 2026</w:t>
      </w:r>
    </w:p>
    <w:p>
      <w:pPr>
        <w:spacing w:before="40" w:after="80"/>
      </w:pPr>
      <w:r/>
      <w:r>
        <w:rPr>
          <w:b/>
        </w:rPr>
        <w:t>Version:</w:t>
      </w:r>
      <w:r>
        <w:t xml:space="preserve"> 1.1.4</w:t>
      </w:r>
    </w:p>
    <w:p>
      <w:pPr>
        <w:pStyle w:val="Heading1"/>
        <w:spacing w:before="200" w:after="80"/>
      </w:pPr>
      <w:r>
        <w:t>1. What Is This File?</w:t>
      </w:r>
    </w:p>
    <w:p>
      <w:pPr>
        <w:spacing w:before="40" w:after="80"/>
      </w:pPr>
      <w:r>
        <w:t xml:space="preserve">`facts_dashboard.py` is a single Python script that reads sea-level projection output files produced by </w:t>
      </w:r>
      <w:r>
        <w:rPr>
          <w:b/>
        </w:rPr>
        <w:t>FACTS</w:t>
      </w:r>
      <w:r>
        <w:t xml:space="preserve"> (Framework for Assessing Changes To Sea-level) and generates a fully self-contained, interactive HTML dashboard — no web server, no internet connection, no installation required by the end user. Open the HTML file in any modern browser and the full dashboard works.</w:t>
      </w:r>
    </w:p>
    <w:p>
      <w:pPr>
        <w:spacing w:before="40" w:after="80"/>
      </w:pPr>
      <w:r>
        <w:t>The dashboard shows sea-level projections from 2005 to 2300 for up to 4 SSP emissions scenarios, 7 ice-sheet/ocean workflows, 7 sea-level components, and up to 24 (or more) tide gauge station locations — all configurable interactively in the browser.</w:t>
      </w:r>
    </w:p>
    <w:p>
      <w:pPr>
        <w:pStyle w:val="Heading1"/>
        <w:spacing w:before="200" w:after="80"/>
      </w:pPr>
      <w:r>
        <w:t>2. Who Is This For?</w:t>
      </w:r>
    </w:p>
    <w:p>
      <w:pPr>
        <w:spacing w:before="40" w:after="80"/>
      </w:pPr>
      <w:r>
        <w:t xml:space="preserve">This guide is for anyone — scientist, engineer, student, or collaborator from another field — who wants to understand </w:t>
      </w:r>
      <w:r>
        <w:rPr>
          <w:b/>
        </w:rPr>
        <w:t>how the dashboard works internally</w:t>
      </w:r>
      <w:r>
        <w:t>: what data it reads, how that data is processed, and how the interactive browser UI is constructed.</w:t>
      </w:r>
    </w:p>
    <w:p>
      <w:pPr>
        <w:spacing w:before="40" w:after="80"/>
      </w:pPr>
      <w:r>
        <w:t>No prior knowledge of FACTS is required. Basic familiarity with Python is assumed.</w:t>
      </w:r>
    </w:p>
    <w:p>
      <w:pPr>
        <w:pStyle w:val="Heading1"/>
        <w:spacing w:before="200" w:after="80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024"/>
          </w:tcPr>
          <w:p>
            <w:r>
              <w:t>Python</w:t>
            </w:r>
          </w:p>
        </w:tc>
        <w:tc>
          <w:tcPr>
            <w:tcW w:type="dxa" w:w="3024"/>
          </w:tcPr>
          <w:p>
            <w:r>
              <w:t>≥ 3.9</w:t>
            </w:r>
          </w:p>
        </w:tc>
        <w:tc>
          <w:tcPr>
            <w:tcW w:type="dxa" w:w="3024"/>
          </w:tcPr>
          <w:p>
            <w:r>
              <w:t>Language runtime</w:t>
            </w:r>
          </w:p>
        </w:tc>
      </w:tr>
      <w:tr>
        <w:tc>
          <w:tcPr>
            <w:tcW w:type="dxa" w:w="3024"/>
          </w:tcPr>
          <w:p>
            <w:r>
              <w:t>**xarray**</w:t>
            </w:r>
          </w:p>
        </w:tc>
        <w:tc>
          <w:tcPr>
            <w:tcW w:type="dxa" w:w="3024"/>
          </w:tcPr>
          <w:p>
            <w:r>
              <w:t>≥ 2023</w:t>
            </w:r>
          </w:p>
        </w:tc>
        <w:tc>
          <w:tcPr>
            <w:tcW w:type="dxa" w:w="3024"/>
          </w:tcPr>
          <w:p>
            <w:r>
              <w:t>Reads NetCDF4 (.nc) files as labelled arrays</w:t>
            </w:r>
          </w:p>
        </w:tc>
      </w:tr>
      <w:tr>
        <w:tc>
          <w:tcPr>
            <w:tcW w:type="dxa" w:w="3024"/>
          </w:tcPr>
          <w:p>
            <w:r>
              <w:t>**numpy**</w:t>
            </w:r>
          </w:p>
        </w:tc>
        <w:tc>
          <w:tcPr>
            <w:tcW w:type="dxa" w:w="3024"/>
          </w:tcPr>
          <w:p>
            <w:r>
              <w:t>≥ 1.24</w:t>
            </w:r>
          </w:p>
        </w:tc>
        <w:tc>
          <w:tcPr>
            <w:tcW w:type="dxa" w:w="3024"/>
          </w:tcPr>
          <w:p>
            <w:r>
              <w:t>Quantile computation across large sample arrays</w:t>
            </w:r>
          </w:p>
        </w:tc>
      </w:tr>
      <w:tr>
        <w:tc>
          <w:tcPr>
            <w:tcW w:type="dxa" w:w="3024"/>
          </w:tcPr>
          <w:p>
            <w:r>
              <w:t>**pandas**</w:t>
            </w:r>
          </w:p>
        </w:tc>
        <w:tc>
          <w:tcPr>
            <w:tcW w:type="dxa" w:w="3024"/>
          </w:tcPr>
          <w:p>
            <w:r>
              <w:t>≥ 2.0</w:t>
            </w:r>
          </w:p>
        </w:tc>
        <w:tc>
          <w:tcPr>
            <w:tcW w:type="dxa" w:w="3024"/>
          </w:tcPr>
          <w:p>
            <w:r>
              <w:t>Reads location.lst CSV file</w:t>
            </w:r>
          </w:p>
        </w:tc>
      </w:tr>
      <w:tr>
        <w:tc>
          <w:tcPr>
            <w:tcW w:type="dxa" w:w="3024"/>
          </w:tcPr>
          <w:p>
            <w:r>
              <w:t>**Bokeh**</w:t>
            </w:r>
          </w:p>
        </w:tc>
        <w:tc>
          <w:tcPr>
            <w:tcW w:type="dxa" w:w="3024"/>
          </w:tcPr>
          <w:p>
            <w:r>
              <w:t>≥ 3.4</w:t>
            </w:r>
          </w:p>
        </w:tc>
        <w:tc>
          <w:tcPr>
            <w:tcW w:type="dxa" w:w="3024"/>
          </w:tcPr>
          <w:p>
            <w:r>
              <w:t>Builds the interactive browser UI; outputs a single self-contained HTML</w:t>
            </w:r>
          </w:p>
        </w:tc>
      </w:tr>
      <w:tr>
        <w:tc>
          <w:tcPr>
            <w:tcW w:type="dxa" w:w="3024"/>
          </w:tcPr>
          <w:p>
            <w:r>
              <w:t>netCDF4</w:t>
            </w:r>
          </w:p>
        </w:tc>
        <w:tc>
          <w:tcPr>
            <w:tcW w:type="dxa" w:w="3024"/>
          </w:tcPr>
          <w:p>
            <w:r>
              <w:t>≥ 1.6</w:t>
            </w:r>
          </w:p>
        </w:tc>
        <w:tc>
          <w:tcPr>
            <w:tcW w:type="dxa" w:w="3024"/>
          </w:tcPr>
          <w:p>
            <w:r>
              <w:t>Backend used by xarray to open .nc files</w:t>
            </w:r>
          </w:p>
        </w:tc>
      </w:tr>
    </w:tbl>
    <w:p/>
    <w:p>
      <w:pPr>
        <w:spacing w:before="40" w:after="80"/>
      </w:pPr>
      <w:r/>
      <w:r>
        <w:rPr>
          <w:b/>
        </w:rPr>
        <w:t>Why Bokeh?</w:t>
      </w:r>
      <w:r>
        <w:t xml:space="preserve"> Bokeh is the only Python plotting library that can embed a full interactive UI (dropdowns, sliders, checkboxes, callbacks) into a single self-contained HTML file with no server. The entire dashboard — all data, all JavaScript, all CSS — lives in one file that can be emailed, put on a USB drive, or archived.</w:t>
      </w:r>
    </w:p>
    <w:p>
      <w:pPr>
        <w:spacing w:before="40" w:after="80"/>
      </w:pPr>
      <w:r/>
      <w:r>
        <w:rPr>
          <w:b/>
        </w:rPr>
        <w:t>Why not matplotlib?</w:t>
      </w:r>
      <w:r>
        <w:t xml:space="preserve"> Matplotlib produces static images (PDF, PNG). It has no browser interactivity and cannot produce a self-contained HTML.</w:t>
      </w:r>
    </w:p>
    <w:p>
      <w:pPr>
        <w:spacing w:before="40" w:after="80"/>
      </w:pPr>
      <w:r/>
      <w:r>
        <w:rPr>
          <w:b/>
        </w:rPr>
        <w:t>Why not Plotly Dash?</w:t>
      </w:r>
      <w:r>
        <w:t xml:space="preserve"> Dash requires a running Python web server. The dashboard must work offline and without any server process — Bokeh's `INLINE` resource mode satisfies this; Dash does not.</w:t>
      </w:r>
    </w:p>
    <w:p>
      <w:pPr>
        <w:pStyle w:val="Heading1"/>
        <w:spacing w:before="200" w:after="80"/>
      </w:pPr>
      <w:r>
        <w:t>4. Input Data: What FACTS Produces</w:t>
      </w:r>
    </w:p>
    <w:p>
      <w:pPr>
        <w:spacing w:before="40" w:after="80"/>
      </w:pPr>
      <w:r>
        <w:t>FACTS runs a Monte Carlo simulation with thousands of samples per scenario. For each SSP scenario and sea-level component, it outputs a `.nc` (NetCDF4) file with the shape: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sea_level_change[samples, years, locations]</w:t>
      </w:r>
    </w:p>
    <w:p>
      <w:pPr>
        <w:pStyle w:val="ListBullet"/>
        <w:spacing w:before="20" w:after="20"/>
      </w:pPr>
      <w:r/>
      <w:r>
        <w:rPr>
          <w:b/>
        </w:rPr>
        <w:t>samples</w:t>
      </w:r>
      <w:r>
        <w:t xml:space="preserve"> — typically 10,000 to 20,000 Monte Carlo draws</w:t>
      </w:r>
    </w:p>
    <w:p>
      <w:pPr>
        <w:pStyle w:val="ListBullet"/>
        <w:spacing w:before="20" w:after="20"/>
      </w:pPr>
      <w:r/>
      <w:r>
        <w:rPr>
          <w:b/>
        </w:rPr>
        <w:t>years</w:t>
      </w:r>
      <w:r>
        <w:t xml:space="preserve"> — discrete time steps (e.g. 2020, 2030, ..., 2300)</w:t>
      </w:r>
    </w:p>
    <w:p>
      <w:pPr>
        <w:pStyle w:val="ListBullet"/>
        <w:spacing w:before="20" w:after="20"/>
      </w:pPr>
      <w:r/>
      <w:r>
        <w:rPr>
          <w:b/>
        </w:rPr>
        <w:t>locations</w:t>
      </w:r>
      <w:r>
        <w:t xml:space="preserve"> — tide gauge station IDs (e.g. 24 Indian Ocean stations, or 1017 global stations)</w:t>
      </w:r>
    </w:p>
    <w:p>
      <w:pPr>
        <w:spacing w:before="40" w:after="80"/>
      </w:pPr>
      <w:r>
        <w:t xml:space="preserve">The value unit is </w:t>
      </w:r>
      <w:r>
        <w:rPr>
          <w:b/>
        </w:rPr>
        <w:t>millimetres</w:t>
      </w:r>
      <w:r>
        <w:t xml:space="preserve"> relative to the experiment base year.</w:t>
      </w:r>
    </w:p>
    <w:p>
      <w:pPr>
        <w:pStyle w:val="Heading3"/>
        <w:spacing w:before="120" w:after="80"/>
      </w:pPr>
      <w:r>
        <w:t>Input directory structure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exp.alt.emis/</w:t>
        <w:br/>
        <w:t>├── coupling.ssp126/</w:t>
        <w:br/>
        <w:t>│   ├── location.lst          ← tide gauge station list (name, id, lat, lon)</w:t>
        <w:br/>
        <w:t>│   └── output/</w:t>
        <w:br/>
        <w:t>│       ├── coupling.ssp126.total.workflow.wf1e.local.nc</w:t>
        <w:br/>
        <w:t>│       ├── coupling.ssp126.total.workflow.wf1e.global.nc</w:t>
        <w:br/>
        <w:t>│       ├── coupling.ssp126.emuAIS.emulandice.AIS_localsl.nc</w:t>
        <w:br/>
        <w:t>│       └── ...</w:t>
        <w:br/>
        <w:t>├── coupling.ssp245/</w:t>
        <w:br/>
        <w:t>│   └── output/ ...</w:t>
        <w:br/>
        <w:t>└── coupling.ssp585/</w:t>
        <w:br/>
        <w:t xml:space="preserve">    └── output/ ...</w:t>
      </w:r>
    </w:p>
    <w:p>
      <w:pPr>
        <w:spacing w:before="40" w:after="80"/>
      </w:pPr>
      <w:r>
        <w:t>Each `coupling.sspXXX/output/` folder can contain up to ~100 `.nc` files covering different combinations of: SSP scenario, component, workflow, and scale (local vs global).</w:t>
      </w:r>
    </w:p>
    <w:p>
      <w:pPr>
        <w:pStyle w:val="Heading1"/>
        <w:spacing w:before="200" w:after="80"/>
      </w:pPr>
      <w:r>
        <w:t>5. Data Flow Overview</w:t>
      </w:r>
    </w:p>
    <w:p>
      <w:pPr>
        <w:spacing w:before="40" w:after="80"/>
      </w:pPr>
      <w:r>
        <w:t>The script runs in four stages: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Stage 1 — Discovery</w:t>
        <w:br/>
        <w:t xml:space="preserve">  Scan the experiment folder → find all SSP directories, workflows, locations</w:t>
        <w:br/>
        <w:br/>
        <w:t>Stage 2 — Loading + Quantile Computation</w:t>
        <w:br/>
        <w:t xml:space="preserve">  Open each .nc file → collapse 10,000 samples → compute 5 percentiles (p5, p17, p50, p83, p95)</w:t>
        <w:br/>
        <w:t xml:space="preserve">  Store results in data_dict (a flat Python dict, keyed by a compound string)</w:t>
        <w:br/>
        <w:br/>
        <w:t>Stage 3 — Dashboard Construction</w:t>
        <w:br/>
        <w:t xml:space="preserve">  Build Bokeh widgets (dropdowns, sliders, checkboxes)</w:t>
        <w:br/>
        <w:t xml:space="preserve">  Embed data_dict as JSON inside JavaScript callbacks</w:t>
        <w:br/>
        <w:t xml:space="preserve">  Construct layout (line plot + tables + bar chart)</w:t>
        <w:br/>
        <w:br/>
        <w:t>Stage 4 — Save</w:t>
        <w:br/>
        <w:t xml:space="preserve">  Serialize everything (data + JS + CSS) into a single .html file</w:t>
      </w:r>
    </w:p>
    <w:p>
      <w:pPr>
        <w:pStyle w:val="Heading1"/>
        <w:spacing w:before="200" w:after="80"/>
      </w:pPr>
      <w:r>
        <w:t>6. The `data_dict` — Central Data Structure</w:t>
      </w:r>
    </w:p>
    <w:p>
      <w:pPr>
        <w:spacing w:before="40" w:after="80"/>
      </w:pPr>
      <w:r>
        <w:t>All sea-level data in the dashboard lives in one Python dictionary called `data_dict`. Every time series for every combination of SSP, component, workflow, scale, and location is a single entry in this dict.</w:t>
      </w:r>
    </w:p>
    <w:p>
      <w:pPr>
        <w:pStyle w:val="Heading3"/>
        <w:spacing w:before="120" w:after="80"/>
      </w:pPr>
      <w:r>
        <w:t>Key format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"{ssp}|{component}|{wf}|{scale}|{loc_id}"</w:t>
      </w:r>
    </w:p>
    <w:p>
      <w:pPr>
        <w:spacing w:before="40" w:after="80"/>
      </w:pPr>
      <w:r/>
      <w:r>
        <w:rPr>
          <w:b/>
        </w:rPr>
        <w:t>Example keys:</w:t>
      </w:r>
      <w:r/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"ssp585|total|wf1e|local|596"        → total RSL at Karachi (ID 596), wf1e, ssp585</w:t>
        <w:br/>
        <w:t>"ssp126|AIS|wf2e|global|-1"          → AIS contribution to global mean SL, wf2e, ssp126</w:t>
        <w:br/>
        <w:t>"ssp370|sterodynamics|wf3f|local|12" → sterodynamic contribution at station 12</w:t>
      </w:r>
    </w:p>
    <w:p>
      <w:pPr>
        <w:pStyle w:val="Heading3"/>
        <w:spacing w:before="120" w:after="80"/>
      </w:pPr>
      <w:r>
        <w:t>Key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3024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024"/>
          </w:tcPr>
          <w:p>
            <w:r>
              <w:t>ssp</w:t>
            </w:r>
          </w:p>
        </w:tc>
        <w:tc>
          <w:tcPr>
            <w:tcW w:type="dxa" w:w="3024"/>
          </w:tcPr>
          <w:p>
            <w:r>
              <w:t>ssp126, ssp245, ssp370, ssp585</w:t>
            </w:r>
          </w:p>
        </w:tc>
        <w:tc>
          <w:tcPr>
            <w:tcW w:type="dxa" w:w="3024"/>
          </w:tcPr>
          <w:p>
            <w:r>
              <w:t>Emissions scenario</w:t>
            </w:r>
          </w:p>
        </w:tc>
      </w:tr>
      <w:tr>
        <w:tc>
          <w:tcPr>
            <w:tcW w:type="dxa" w:w="3024"/>
          </w:tcPr>
          <w:p>
            <w:r>
              <w:t>component</w:t>
            </w:r>
          </w:p>
        </w:tc>
        <w:tc>
          <w:tcPr>
            <w:tcW w:type="dxa" w:w="3024"/>
          </w:tcPr>
          <w:p>
            <w:r>
              <w:t>total, AIS, GrIS, glaciers, sterodynamics, landwaterstorage, vlm</w:t>
            </w:r>
          </w:p>
        </w:tc>
        <w:tc>
          <w:tcPr>
            <w:tcW w:type="dxa" w:w="3024"/>
          </w:tcPr>
          <w:p>
            <w:r>
              <w:t>Sea-level component</w:t>
            </w:r>
          </w:p>
        </w:tc>
      </w:tr>
      <w:tr>
        <w:tc>
          <w:tcPr>
            <w:tcW w:type="dxa" w:w="3024"/>
          </w:tcPr>
          <w:p>
            <w:r>
              <w:t>wf</w:t>
            </w:r>
          </w:p>
        </w:tc>
        <w:tc>
          <w:tcPr>
            <w:tcW w:type="dxa" w:w="3024"/>
          </w:tcPr>
          <w:p>
            <w:r>
              <w:t>wf1e, wf1f, wf2e, wf2f, wf3e, wf3f, wf4</w:t>
            </w:r>
          </w:p>
        </w:tc>
        <w:tc>
          <w:tcPr>
            <w:tcW w:type="dxa" w:w="3024"/>
          </w:tcPr>
          <w:p>
            <w:r>
              <w:t>Ice-sheet workflow</w:t>
            </w:r>
          </w:p>
        </w:tc>
      </w:tr>
      <w:tr>
        <w:tc>
          <w:tcPr>
            <w:tcW w:type="dxa" w:w="3024"/>
          </w:tcPr>
          <w:p>
            <w:r>
              <w:t>scale</w:t>
            </w:r>
          </w:p>
        </w:tc>
        <w:tc>
          <w:tcPr>
            <w:tcW w:type="dxa" w:w="3024"/>
          </w:tcPr>
          <w:p>
            <w:r>
              <w:t>local, global</w:t>
            </w:r>
          </w:p>
        </w:tc>
        <w:tc>
          <w:tcPr>
            <w:tcW w:type="dxa" w:w="3024"/>
          </w:tcPr>
          <w:p>
            <w:r>
              <w:t>Local RSL at tide gauge vs global mean SL</w:t>
            </w:r>
          </w:p>
        </w:tc>
      </w:tr>
      <w:tr>
        <w:tc>
          <w:tcPr>
            <w:tcW w:type="dxa" w:w="3024"/>
          </w:tcPr>
          <w:p>
            <w:r>
              <w:t>loc_id</w:t>
            </w:r>
          </w:p>
        </w:tc>
        <w:tc>
          <w:tcPr>
            <w:tcW w:type="dxa" w:w="3024"/>
          </w:tcPr>
          <w:p>
            <w:r>
              <w:t>-1 (global mean) or positive integer (tide gauge ID)</w:t>
            </w:r>
          </w:p>
        </w:tc>
        <w:tc>
          <w:tcPr>
            <w:tcW w:type="dxa" w:w="3024"/>
          </w:tcPr>
          <w:p>
            <w:r>
              <w:t>Location</w:t>
            </w:r>
          </w:p>
        </w:tc>
      </w:tr>
    </w:tbl>
    <w:p/>
    <w:p>
      <w:pPr>
        <w:pStyle w:val="Heading3"/>
        <w:spacing w:before="120" w:after="80"/>
      </w:pPr>
      <w:r>
        <w:t>Value format</w:t>
      </w:r>
    </w:p>
    <w:p>
      <w:pPr>
        <w:spacing w:before="40" w:after="80"/>
      </w:pPr>
      <w:r>
        <w:t>Each entry is a dict with six lists, all in millimetres rounded to 1 decimal place: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{</w:t>
        <w:br/>
        <w:t xml:space="preserve">    "years": [2020, 2030, ..., 2300],   # 30 time steps</w:t>
        <w:br/>
        <w:t xml:space="preserve">    "vlo":   [12.3, 24.1, ...],         # 5th percentile</w:t>
        <w:br/>
        <w:t xml:space="preserve">    "lo":    [18.7, 34.2, ...],         # 17th percentile</w:t>
        <w:br/>
        <w:t xml:space="preserve">    "med":   [28.4, 52.6, ...],         # 50th percentile (median)</w:t>
        <w:br/>
        <w:t xml:space="preserve">    "hi":    [41.2, 78.3, ...],         # 83rd percentile</w:t>
        <w:br/>
        <w:t xml:space="preserve">    "vhi":   [55.9, 101.4, ...],        # 95th percentile</w:t>
        <w:br/>
        <w:t>}</w:t>
      </w:r>
    </w:p>
    <w:p>
      <w:pPr>
        <w:spacing w:before="40" w:after="80"/>
      </w:pPr>
      <w:r/>
      <w:r>
        <w:rPr>
          <w:b/>
        </w:rPr>
        <w:t>Why 1 decimal place?</w:t>
      </w:r>
      <w:r>
        <w:t xml:space="preserve"> Sea-level projections are in millimetres. Uncertainty bands span hundreds of mm by 2100, so sub-millimetre precision (e.g. `134.67892` vs `134.7`) has no scientific value and significantly inflates file size. Rounding to 1 dp reduces the HTML output from ~168 MB to ~66 MB — a 61% reduction.</w:t>
      </w:r>
    </w:p>
    <w:p>
      <w:pPr>
        <w:pStyle w:val="Heading1"/>
        <w:spacing w:before="200" w:after="80"/>
      </w:pPr>
      <w:r>
        <w:t>7. Constants and Configuration (lines 110–246)</w:t>
      </w:r>
    </w:p>
    <w:p>
      <w:pPr>
        <w:spacing w:before="40" w:after="80"/>
      </w:pPr>
      <w:r>
        <w:t>All project-wide settings live at the top of the file as module-level constants. No magic numbers appear in function bodies.</w:t>
      </w:r>
    </w:p>
    <w:p>
      <w:pPr>
        <w:pStyle w:val="Heading3"/>
        <w:spacing w:before="120" w:after="80"/>
      </w:pPr>
      <w:r>
        <w:t>`SSP_COLORS` (line 110)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SSP_COLORS = {</w:t>
        <w:br/>
        <w:t xml:space="preserve">    "ssp119": "#00adcf",</w:t>
        <w:br/>
        <w:t xml:space="preserve">    "ssp126": "#173c66",</w:t>
        <w:br/>
        <w:t xml:space="preserve">    "ssp245": "#f79420",</w:t>
        <w:br/>
        <w:t xml:space="preserve">    "ssp370": "#e71d25",</w:t>
        <w:br/>
        <w:t xml:space="preserve">    "ssp585": "#951b1e",</w:t>
        <w:br/>
        <w:t>}</w:t>
      </w:r>
    </w:p>
    <w:p>
      <w:pPr>
        <w:spacing w:before="40" w:after="80"/>
      </w:pPr>
      <w:r>
        <w:t>Praveen's standard SSP color palette. Used consistently across the line plot, bar chart, and legend so every SSP is always the same color regardless of which section you're looking at. `ssp119` is included for future use — FACTS has not yet been run for it.</w:t>
      </w:r>
    </w:p>
    <w:p>
      <w:pPr>
        <w:pStyle w:val="Heading3"/>
        <w:spacing w:before="120" w:after="80"/>
      </w:pPr>
      <w:r>
        <w:t>`SSP_LABELS` (line 119)</w:t>
      </w:r>
    </w:p>
    <w:p>
      <w:pPr>
        <w:spacing w:before="40" w:after="80"/>
      </w:pPr>
      <w:r>
        <w:t>Human-readable display names for SSPs (e.g. `"ssp585"` → `"SSP5-8.5"`). Used in dropdown options and table column headers.</w:t>
      </w:r>
    </w:p>
    <w:p>
      <w:pPr>
        <w:pStyle w:val="Heading3"/>
        <w:spacing w:before="120" w:after="80"/>
      </w:pPr>
      <w:r>
        <w:t>`WF_LABELS` (line 128)</w:t>
      </w:r>
    </w:p>
    <w:p>
      <w:pPr>
        <w:spacing w:before="40" w:after="80"/>
      </w:pPr>
      <w:r>
        <w:t>Full descriptions for each of the 7 workflows (e.g. `"wf1e"` → `"wf1e — emulandice AIS+GrIS, emulandice glaciers (to 2100)"`). Used in dropdown option labels.</w:t>
      </w:r>
    </w:p>
    <w:p>
      <w:pPr>
        <w:pStyle w:val="Heading3"/>
        <w:spacing w:before="120" w:after="80"/>
      </w:pPr>
      <w:r>
        <w:t>`COMPONENT_STYLES` (line 139)</w:t>
      </w:r>
    </w:p>
    <w:p>
      <w:pPr>
        <w:spacing w:before="40" w:after="80"/>
      </w:pPr>
      <w:r>
        <w:t>Maps each component to a line style in the plot: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536"/>
          </w:tcPr>
          <w:p>
            <w:r>
              <w:rPr>
                <w:b/>
              </w:rPr>
              <w:t>Style</w:t>
            </w:r>
          </w:p>
        </w:tc>
      </w:tr>
      <w:tr>
        <w:tc>
          <w:tcPr>
            <w:tcW w:type="dxa" w:w="4536"/>
          </w:tcPr>
          <w:p>
            <w:r>
              <w:t>total</w:t>
            </w:r>
          </w:p>
        </w:tc>
        <w:tc>
          <w:tcPr>
            <w:tcW w:type="dxa" w:w="4536"/>
          </w:tcPr>
          <w:p>
            <w:r>
              <w:t>dashed</w:t>
            </w:r>
          </w:p>
        </w:tc>
      </w:tr>
      <w:tr>
        <w:tc>
          <w:tcPr>
            <w:tcW w:type="dxa" w:w="4536"/>
          </w:tcPr>
          <w:p>
            <w:r>
              <w:t>AIS</w:t>
            </w:r>
          </w:p>
        </w:tc>
        <w:tc>
          <w:tcPr>
            <w:tcW w:type="dxa" w:w="4536"/>
          </w:tcPr>
          <w:p>
            <w:r>
              <w:t>solid</w:t>
            </w:r>
          </w:p>
        </w:tc>
      </w:tr>
      <w:tr>
        <w:tc>
          <w:tcPr>
            <w:tcW w:type="dxa" w:w="4536"/>
          </w:tcPr>
          <w:p>
            <w:r>
              <w:t>GrIS</w:t>
            </w:r>
          </w:p>
        </w:tc>
        <w:tc>
          <w:tcPr>
            <w:tcW w:type="dxa" w:w="4536"/>
          </w:tcPr>
          <w:p>
            <w:r>
              <w:t>dotted</w:t>
            </w:r>
          </w:p>
        </w:tc>
      </w:tr>
      <w:tr>
        <w:tc>
          <w:tcPr>
            <w:tcW w:type="dxa" w:w="4536"/>
          </w:tcPr>
          <w:p>
            <w:r>
              <w:t>glaciers</w:t>
            </w:r>
          </w:p>
        </w:tc>
        <w:tc>
          <w:tcPr>
            <w:tcW w:type="dxa" w:w="4536"/>
          </w:tcPr>
          <w:p>
            <w:r>
              <w:t>circle markers</w:t>
            </w:r>
          </w:p>
        </w:tc>
      </w:tr>
      <w:tr>
        <w:tc>
          <w:tcPr>
            <w:tcW w:type="dxa" w:w="4536"/>
          </w:tcPr>
          <w:p>
            <w:r>
              <w:t>sterodynamics</w:t>
            </w:r>
          </w:p>
        </w:tc>
        <w:tc>
          <w:tcPr>
            <w:tcW w:type="dxa" w:w="4536"/>
          </w:tcPr>
          <w:p>
            <w:r>
              <w:t>diamond markers</w:t>
            </w:r>
          </w:p>
        </w:tc>
      </w:tr>
      <w:tr>
        <w:tc>
          <w:tcPr>
            <w:tcW w:type="dxa" w:w="4536"/>
          </w:tcPr>
          <w:p>
            <w:r>
              <w:t>landwaterstorage</w:t>
            </w:r>
          </w:p>
        </w:tc>
        <w:tc>
          <w:tcPr>
            <w:tcW w:type="dxa" w:w="4536"/>
          </w:tcPr>
          <w:p>
            <w:r>
              <w:t>asterisk markers</w:t>
            </w:r>
          </w:p>
        </w:tc>
      </w:tr>
      <w:tr>
        <w:tc>
          <w:tcPr>
            <w:tcW w:type="dxa" w:w="4536"/>
          </w:tcPr>
          <w:p>
            <w:r>
              <w:t>vlm</w:t>
            </w:r>
          </w:p>
        </w:tc>
        <w:tc>
          <w:tcPr>
            <w:tcW w:type="dxa" w:w="4536"/>
          </w:tcPr>
          <w:p>
            <w:r>
              <w:t>triangle markers</w:t>
            </w:r>
          </w:p>
        </w:tc>
      </w:tr>
    </w:tbl>
    <w:p/>
    <w:p>
      <w:pPr>
        <w:spacing w:before="40" w:after="80"/>
      </w:pPr>
      <w:r>
        <w:t>This lets the user distinguish components by shape even when colors overlap.</w:t>
      </w:r>
    </w:p>
    <w:p>
      <w:pPr>
        <w:pStyle w:val="Heading3"/>
        <w:spacing w:before="120" w:after="80"/>
      </w:pPr>
      <w:r>
        <w:t>`WORKFLOW_COMPONENT_FILES` (line 156)</w:t>
      </w:r>
    </w:p>
    <w:p>
      <w:pPr>
        <w:spacing w:before="40" w:after="80"/>
      </w:pPr>
      <w:r>
        <w:t>Maps each workflow to the exact `.nc` filename patterns for AIS, GrIS, and glaciers components. Each workflow uses different ice-sheet models, so file naming differs per workflow. This dict is the authoritative lookup used when scanning the output directory.</w:t>
      </w:r>
    </w:p>
    <w:p>
      <w:pPr>
        <w:pStyle w:val="Heading3"/>
        <w:spacing w:before="120" w:after="80"/>
      </w:pPr>
      <w:r>
        <w:t>`WORKFLOW_COMPONENT_FALLBACK_SUM` (line 196)</w:t>
      </w:r>
    </w:p>
    <w:p>
      <w:pPr>
        <w:spacing w:before="40" w:after="80"/>
      </w:pPr>
      <w:r>
        <w:t>Handles the special case of `wf1f` AIS local scale: the `ar5AIS` model outputs East Antarctic (EAIS) and West Antarctic (WAIS) components separately — there is no combined AIS local file. When the combined file is missing, the script automatically sums EAIS + WAIS. This dict defines which components require that fallback and which sub-files to sum.</w:t>
      </w:r>
    </w:p>
    <w:p>
      <w:pPr>
        <w:pStyle w:val="Heading3"/>
        <w:spacing w:before="120" w:after="80"/>
      </w:pPr>
      <w:r>
        <w:t>`WORKFLOW_INDEPENDENT_COMPONENTS` (line 208)</w:t>
      </w:r>
    </w:p>
    <w:p>
      <w:pPr>
        <w:spacing w:before="40" w:after="80"/>
      </w:pPr>
      <w:r>
        <w:t>Sterodynamics (ocean thermal expansion + dynamics), land water storage, and VLM (vertical land motion) are the same file regardless of ice-sheet workflow. Their filename patterns are stored here separately from `WORKFLOW_COMPONENT_FILES`.</w:t>
      </w:r>
    </w:p>
    <w:p>
      <w:pPr>
        <w:pStyle w:val="Heading3"/>
        <w:spacing w:before="120" w:after="80"/>
      </w:pPr>
      <w:r>
        <w:t>`COMPONENTS` (line 214)</w:t>
      </w:r>
    </w:p>
    <w:p>
      <w:pPr>
        <w:spacing w:before="40" w:after="80"/>
      </w:pPr>
      <w:r>
        <w:t>The ordered list of all 7 sea-level components. Drives the order of rows in the component table and the order of options in component dropdowns.</w:t>
      </w:r>
    </w:p>
    <w:p>
      <w:pPr>
        <w:pStyle w:val="Heading3"/>
        <w:spacing w:before="120" w:after="80"/>
      </w:pPr>
      <w:r>
        <w:t>`QUANTILES` (line 232)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QUANTILES = [0.05, 0.17, 0.50, 0.83, 0.95]</w:t>
      </w:r>
    </w:p>
    <w:p>
      <w:pPr>
        <w:spacing w:before="40" w:after="80"/>
      </w:pPr>
      <w:r>
        <w:t>The five percentile levels computed from each .nc sample ensemble. Index 0 = p05, 1 = p17, 2 = p50, 3 = p83, 4 = p95. These match IPCC AR6 reporting conventions (likely range = p17–p83; very likely range = p05–p95).</w:t>
      </w:r>
    </w:p>
    <w:p>
      <w:pPr>
        <w:pStyle w:val="Heading3"/>
        <w:spacing w:before="120" w:after="80"/>
      </w:pPr>
      <w:r>
        <w:t>`_r1` (line 234)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def _r1(arr):</w:t>
        <w:br/>
        <w:t xml:space="preserve">    return [round(float(v), 1) for v in arr]</w:t>
      </w:r>
    </w:p>
    <w:p>
      <w:pPr>
        <w:spacing w:before="40" w:after="80"/>
      </w:pPr>
      <w:r>
        <w:t>Module-level helper used everywhere data is stored into `data_dict`. Rounds a numpy array to 1 decimal place and converts to a plain Python list (JSON-serialisable).</w:t>
      </w:r>
    </w:p>
    <w:p>
      <w:pPr>
        <w:pStyle w:val="Heading3"/>
        <w:spacing w:before="120" w:after="80"/>
      </w:pPr>
      <w:r>
        <w:t>Fixed slider bounds (lines 239–244)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XMIN_FIXED = 2020   XMAX_FIXED = 2300</w:t>
        <w:br/>
        <w:t>YMIN_FIXED = -500   YMAX_FIXED = 4000</w:t>
      </w:r>
    </w:p>
    <w:p>
      <w:pPr>
        <w:spacing w:before="40" w:after="80"/>
      </w:pPr>
      <w:r>
        <w:t>Hard limits for the X and Y range sliders. The Y maximum is 4000 mm (4 metres) — sufficient for the most extreme SSP5-8.5 projections through 2300.</w:t>
      </w:r>
    </w:p>
    <w:p>
      <w:pPr>
        <w:pStyle w:val="Heading1"/>
        <w:spacing w:before="200" w:after="80"/>
      </w:pPr>
      <w:r>
        <w:t>8. Discovery Functions (lines 251–399)</w:t>
      </w:r>
    </w:p>
    <w:p>
      <w:pPr>
        <w:spacing w:before="40" w:after="80"/>
      </w:pPr>
      <w:r>
        <w:t>These functions scan the experiment folder structure and collect metadata before any data is loaded.</w:t>
      </w:r>
    </w:p>
    <w:p>
      <w:pPr>
        <w:pStyle w:val="Heading3"/>
        <w:spacing w:before="120" w:after="80"/>
      </w:pPr>
      <w:r>
        <w:t>`_count_nc_locations` (line 251)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Open one `.nc` file and return how many tide gauge locations it contains. Used to choose between two output directories when both exist (e.g. `output/` vs `output copy/`) — the directory with more locations is the more complete run.</w:t>
      </w:r>
    </w:p>
    <w:p>
      <w:pPr>
        <w:spacing w:before="40" w:after="80"/>
      </w:pPr>
      <w:r/>
      <w:r>
        <w:rPr>
          <w:b/>
        </w:rPr>
        <w:t>Why needed:</w:t>
      </w:r>
      <w:r>
        <w:t xml:space="preserve"> During ssp585 development runs, a partial run (1 location) was in `output/` while the full 24-location Indian Ocean run was in `output copy/`. Without this check, the dashboard would silently use the partial run.</w:t>
      </w:r>
    </w:p>
    <w:p>
      <w:pPr>
        <w:pStyle w:val="Heading3"/>
        <w:spacing w:before="120" w:after="80"/>
      </w:pPr>
      <w:r>
        <w:t>`collect_ssp_entries` (line 270)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Scan the experiment root directory (and/or explicitly provided SSP folders) and return a list of `(ssp_tag, output_dir, exp_dir)` tuples — one per SSP scenario found.</w:t>
      </w:r>
    </w:p>
    <w:p>
      <w:pPr>
        <w:spacing w:before="40" w:after="80"/>
      </w:pPr>
      <w:r/>
      <w:r>
        <w:rPr>
          <w:b/>
        </w:rPr>
        <w:t>How it works:</w:t>
      </w:r>
      <w:r/>
    </w:p>
    <w:p>
      <w:pPr>
        <w:spacing w:before="40" w:after="80"/>
      </w:pPr>
      <w:r>
        <w:t>1. Iterates over subdirectories named `coupling.ssp*`</w:t>
      </w:r>
    </w:p>
    <w:p>
      <w:pPr>
        <w:spacing w:before="40" w:after="80"/>
      </w:pPr>
      <w:r>
        <w:t>2. Confirms each has an `output/` folder containing `*.total.workflow.*.nc` files</w:t>
      </w:r>
    </w:p>
    <w:p>
      <w:pPr>
        <w:spacing w:before="40" w:after="80"/>
      </w:pPr>
      <w:r>
        <w:t>3. Calls `_count_nc_locations` to resolve `output/` vs `output copy/` ambiguity</w:t>
      </w:r>
    </w:p>
    <w:p>
      <w:pPr>
        <w:spacing w:before="40" w:after="80"/>
      </w:pPr>
      <w:r>
        <w:t>4. Also accepts explicit `--ssp-dir` paths (for runs stored in non-standard directory layouts)</w:t>
      </w:r>
    </w:p>
    <w:p>
      <w:pPr>
        <w:spacing w:before="40" w:after="80"/>
      </w:pPr>
      <w:r/>
      <w:r>
        <w:rPr>
          <w:b/>
        </w:rPr>
        <w:t>Returns:</w:t>
      </w:r>
      <w:r>
        <w:t xml:space="preserve"> Sorted list of `(ssp_tag, output_dir, exp_dir)`. This list drives everything downstream.</w:t>
      </w:r>
    </w:p>
    <w:p>
      <w:pPr>
        <w:pStyle w:val="Heading3"/>
        <w:spacing w:before="120" w:after="80"/>
      </w:pPr>
      <w:r>
        <w:t>`discover_workflows` (line 352)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Scan the `.nc` filenames to find which workflow IDs (wf1e, wf1f, etc.) are actually present in the data. Returns only workflows that exist — partial runs are supported.</w:t>
      </w:r>
    </w:p>
    <w:p>
      <w:pPr>
        <w:spacing w:before="40" w:after="80"/>
      </w:pPr>
      <w:r/>
      <w:r>
        <w:rPr>
          <w:b/>
        </w:rPr>
        <w:t>How it works:</w:t>
      </w:r>
      <w:r>
        <w:t xml:space="preserve"> Parses the `.total.workflow.{wf}.nc` filename pattern and extracts the workflow token. Sorts results in the canonical order defined by `WF_LABELS`.</w:t>
      </w:r>
    </w:p>
    <w:p>
      <w:pPr>
        <w:pStyle w:val="Heading3"/>
        <w:spacing w:before="120" w:after="80"/>
      </w:pPr>
      <w:r>
        <w:t>`load_location_list` (line 378)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Read `location.lst` — a whitespace-separated text file containing one row per tide gauge station (name, id, lat, lon). Returns a list of dicts.</w:t>
      </w:r>
    </w:p>
    <w:p>
      <w:pPr>
        <w:spacing w:before="40" w:after="80"/>
      </w:pPr>
      <w:r/>
      <w:r>
        <w:rPr>
          <w:b/>
        </w:rPr>
        <w:t>Key detail:</w:t>
      </w:r>
      <w:r>
        <w:t xml:space="preserve"> Uses `engine="python", on_bad_lines="skip"` in `pd.read_csv`. The default C engine raises a `ParserError` when a station name contains a space (e.g. "Port Louis") because the row appears to have 5 tokens instead of 4. The Python engine handles this gracefully.</w:t>
      </w:r>
    </w:p>
    <w:p>
      <w:pPr>
        <w:pStyle w:val="Heading1"/>
        <w:spacing w:before="200" w:after="80"/>
      </w:pPr>
      <w:r>
        <w:t>9. Data Loading and Quantile Computation (lines 401–818)</w:t>
      </w:r>
    </w:p>
    <w:p>
      <w:pPr>
        <w:pStyle w:val="Heading3"/>
        <w:spacing w:before="120" w:after="80"/>
      </w:pPr>
      <w:r>
        <w:t>`compute_quantiles` (line 405)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Open a single FACTS `.nc` file and compute the 5 percentile levels across the sample axis.</w:t>
      </w:r>
    </w:p>
    <w:p>
      <w:pPr>
        <w:spacing w:before="40" w:after="80"/>
      </w:pPr>
      <w:r/>
      <w:r>
        <w:rPr>
          <w:b/>
        </w:rPr>
        <w:t>Input:</w:t>
      </w:r>
      <w:r>
        <w:t xml:space="preserve"> Path to a `.nc` file</w:t>
      </w:r>
    </w:p>
    <w:p>
      <w:pPr>
        <w:spacing w:before="40" w:after="80"/>
      </w:pPr>
      <w:r/>
      <w:r>
        <w:rPr>
          <w:b/>
        </w:rPr>
        <w:t>Output:</w:t>
      </w:r>
      <w:r>
        <w:t xml:space="preserve"> Dict with keys: `years`, `locations`, `q` (shape: 5 × years × locations), `lat`, `lon`</w:t>
      </w:r>
    </w:p>
    <w:p>
      <w:pPr>
        <w:spacing w:before="40" w:after="80"/>
      </w:pPr>
      <w:r/>
      <w:r>
        <w:rPr>
          <w:b/>
        </w:rPr>
        <w:t>How it works:</w:t>
      </w:r>
      <w:r/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xr.open_dataset(nc_path)</w:t>
        <w:br/>
        <w:t xml:space="preserve">  → ds["sea_level_change"].values   shape: (samples, years, locations)</w:t>
        <w:br/>
        <w:t xml:space="preserve">  → np.quantile(..., axis=0)        shape: (5, years, locations)</w:t>
      </w:r>
    </w:p>
    <w:p>
      <w:pPr>
        <w:spacing w:before="40" w:after="80"/>
      </w:pPr>
      <w:r>
        <w:t>The sample axis is axis 0. After `np.quantile`, the samples are gone — only the 5 percentile curves remain per year per location. This is the core data reduction step: 20,000 samples collapse to 5 numbers.</w:t>
      </w:r>
    </w:p>
    <w:p>
      <w:pPr>
        <w:pStyle w:val="Heading3"/>
        <w:spacing w:before="120" w:after="80"/>
      </w:pPr>
      <w:r>
        <w:t>`compute_quantiles_sum` (line 432)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Same as `compute_quantiles` but sums the `sea_level_change` arrays from multiple `.nc` files before computing percentiles. Used exclusively for `wf1f` AIS local scale (EAIS + WAIS summed before percentile computation, not after — this is statistically correct because the samples are correlated within a single run).</w:t>
      </w:r>
    </w:p>
    <w:p>
      <w:pPr>
        <w:pStyle w:val="Heading3"/>
        <w:spacing w:before="120" w:after="80"/>
      </w:pPr>
      <w:r>
        <w:t>`_store_result` (line 465)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Take the output of `compute_quantiles` and write it into `data_dict` and `location_meta`, one entry per location.</w:t>
      </w:r>
    </w:p>
    <w:p>
      <w:pPr>
        <w:spacing w:before="40" w:after="80"/>
      </w:pPr>
      <w:r/>
      <w:r>
        <w:rPr>
          <w:b/>
        </w:rPr>
        <w:t>Key logic:</w:t>
      </w:r>
      <w:r/>
    </w:p>
    <w:p>
      <w:pPr>
        <w:pStyle w:val="ListBullet"/>
        <w:spacing w:before="20" w:after="20"/>
      </w:pPr>
      <w:r>
        <w:t>Loops over all location IDs in the result</w:t>
      </w:r>
    </w:p>
    <w:p>
      <w:pPr>
        <w:pStyle w:val="ListBullet"/>
        <w:spacing w:before="20" w:after="20"/>
      </w:pPr>
      <w:r>
        <w:t>Builds the compound key string: `"{key_prefix}|{loc_id}"`</w:t>
      </w:r>
    </w:p>
    <w:p>
      <w:pPr>
        <w:pStyle w:val="ListBullet"/>
        <w:spacing w:before="20" w:after="20"/>
      </w:pPr>
      <w:r>
        <w:t>Rounds all quantile arrays to 1 dp via `_r1()`</w:t>
      </w:r>
    </w:p>
    <w:p>
      <w:pPr>
        <w:pStyle w:val="ListBullet"/>
        <w:spacing w:before="20" w:after="20"/>
      </w:pPr>
      <w:r>
        <w:t>Stores lat/lon metadata for each location (used in hover tooltips and location info divs)</w:t>
      </w:r>
    </w:p>
    <w:p>
      <w:pPr>
        <w:pStyle w:val="ListBullet"/>
        <w:spacing w:before="20" w:after="20"/>
      </w:pPr>
      <w:r>
        <w:t>Handles NaN/Inf coordinates gracefully (sets to `None`)</w:t>
      </w:r>
    </w:p>
    <w:p>
      <w:pPr>
        <w:pStyle w:val="Heading3"/>
        <w:spacing w:before="120" w:after="80"/>
      </w:pPr>
      <w:r>
        <w:t>`_infer_component_from_stem` (line 506)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Extract the component name from a FACTS `.nc` filename stem. Used in single-NC-file mode where no directory structure provides context.</w:t>
      </w:r>
    </w:p>
    <w:p>
      <w:pPr>
        <w:spacing w:before="40" w:after="80"/>
      </w:pPr>
      <w:r/>
      <w:r>
        <w:rPr>
          <w:b/>
        </w:rPr>
        <w:t>Example:</w:t>
      </w:r>
      <w:r>
        <w:t xml:space="preserve"> `"coupling.ssp585.emuGrIS.emulandice.GrIS_globalsl"` → `"GrIS"`</w:t>
      </w:r>
    </w:p>
    <w:p>
      <w:pPr>
        <w:spacing w:before="40" w:after="80"/>
      </w:pPr>
      <w:r/>
      <w:r>
        <w:rPr>
          <w:b/>
        </w:rPr>
        <w:t>How it works:</w:t>
      </w:r>
      <w:r>
        <w:t xml:space="preserve"> Strips the `_{scale}sl` suffix from the last filename token, then matches against known component names. Handles aliases (e.g. `"GIS"` → `"GrIS"`, `"verticallandmotion"` → `"vlm"`).</w:t>
      </w:r>
    </w:p>
    <w:p>
      <w:pPr>
        <w:pStyle w:val="Heading3"/>
        <w:spacing w:before="120" w:after="80"/>
      </w:pPr>
      <w:r>
        <w:t>`_infer_wf_from_stem` (line 536)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Heuristically map a filename stem to a workflow ID. Used in single-NC-file mode.</w:t>
      </w:r>
    </w:p>
    <w:p>
      <w:pPr>
        <w:spacing w:before="40" w:after="80"/>
      </w:pPr>
      <w:r/>
      <w:r>
        <w:rPr>
          <w:b/>
        </w:rPr>
        <w:t>How it works:</w:t>
      </w:r>
      <w:r>
        <w:t xml:space="preserve"> Checks for model name tokens in the filename (e.g. `"bamber19"` → `wf4`, `"larmip"` → `wf2e`, `"fittedismip"` → `wf1f`). Falls back to `wf1e` when only `emulandice` is present (shared by wf1e, wf2e, wf3e — wf1e is the most common).</w:t>
      </w:r>
    </w:p>
    <w:p>
      <w:pPr>
        <w:pStyle w:val="Heading3"/>
        <w:spacing w:before="120" w:after="80"/>
      </w:pPr>
      <w:r>
        <w:t>`_find_best_location_lst` (line 558)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Find the `location.lst` file that best covers the location IDs present in a given `.nc` file. Used in single-NC-file mode.</w:t>
      </w:r>
    </w:p>
    <w:p>
      <w:pPr>
        <w:spacing w:before="40" w:after="80"/>
      </w:pPr>
      <w:r/>
      <w:r>
        <w:rPr>
          <w:b/>
        </w:rPr>
        <w:t>Why needed:</w:t>
      </w:r>
      <w:r>
        <w:t xml:space="preserve"> A single `.nc` file may belong to an SSP directory that has a partial or incomplete `location.lst`. For example, `coupling.ssp585/` might have only 1 station in its `location.lst` while `coupling.ssp126/` has all 24. This function scans all sibling `coupling.ssp*/` directories and picks the file with the most matching IDs.</w:t>
      </w:r>
    </w:p>
    <w:p>
      <w:pPr>
        <w:pStyle w:val="Heading3"/>
        <w:spacing w:before="120" w:after="80"/>
      </w:pPr>
      <w:r>
        <w:t>`load_single_nc` (line 608)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Load a single `.nc` file (instead of a full experiment tree) and return all structures needed by `build_dashboard()`.</w:t>
      </w:r>
    </w:p>
    <w:p>
      <w:pPr>
        <w:spacing w:before="40" w:after="80"/>
      </w:pPr>
      <w:r/>
      <w:r>
        <w:rPr>
          <w:b/>
        </w:rPr>
        <w:t>What it does:</w:t>
      </w:r>
      <w:r/>
    </w:p>
    <w:p>
      <w:pPr>
        <w:spacing w:before="40" w:after="80"/>
      </w:pPr>
      <w:r>
        <w:t>1. Parses the filename to infer SSP, component, workflow, and scale</w:t>
      </w:r>
    </w:p>
    <w:p>
      <w:pPr>
        <w:spacing w:before="40" w:after="80"/>
      </w:pPr>
      <w:r>
        <w:t>2. Narrows the global `COMPONENTS` list to only the one component present (so dropdowns show only what's available)</w:t>
      </w:r>
    </w:p>
    <w:p>
      <w:pPr>
        <w:spacing w:before="40" w:after="80"/>
      </w:pPr>
      <w:r>
        <w:t>3. Runs `compute_quantiles` on the file</w:t>
      </w:r>
    </w:p>
    <w:p>
      <w:pPr>
        <w:spacing w:before="40" w:after="80"/>
      </w:pPr>
      <w:r>
        <w:t>4. Finds the best `location.lst` via `_find_best_location_lst`</w:t>
      </w:r>
    </w:p>
    <w:p>
      <w:pPr>
        <w:spacing w:before="40" w:after="80"/>
      </w:pPr>
      <w:r>
        <w:t>5. Builds `data_dict`, `locations`, and `location_meta` in the same format as `precompute_all`</w:t>
      </w:r>
    </w:p>
    <w:p>
      <w:pPr>
        <w:spacing w:before="40" w:after="80"/>
      </w:pPr>
      <w:r>
        <w:t>This allows the full dashboard (line plot + bar chart + component table) to render from a single file, with the same code path as the multi-file mode.</w:t>
      </w:r>
    </w:p>
    <w:p>
      <w:pPr>
        <w:pStyle w:val="Heading3"/>
        <w:spacing w:before="120" w:after="80"/>
      </w:pPr>
      <w:r>
        <w:t>`precompute_all` (line 707)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The main data loading function for multi-file (experiment-tree) mode. Loads all `.nc` files across all SSPs, workflows, components, and scales. Returns `(data_dict, years_ref, location_meta)`.</w:t>
      </w:r>
    </w:p>
    <w:p>
      <w:pPr>
        <w:spacing w:before="40" w:after="80"/>
      </w:pPr>
      <w:r/>
      <w:r>
        <w:rPr>
          <w:b/>
        </w:rPr>
        <w:t>Three loading passes:</w:t>
      </w:r>
      <w:r/>
    </w:p>
    <w:p>
      <w:pPr>
        <w:spacing w:before="40" w:after="80"/>
      </w:pPr>
      <w:r/>
      <w:r>
        <w:rPr>
          <w:b/>
        </w:rPr>
        <w:t>Pass 1 — Total workflow files</w:t>
      </w:r>
      <w:r/>
    </w:p>
    <w:p>
      <w:pPr>
        <w:spacing w:before="40" w:after="80"/>
      </w:pPr>
      <w:r>
        <w:t>Loads `coupling.{ssp}.total.workflow.{wf}.{local|global}.nc` for every combination of SSP × workflow × scale. These are the primary sea-level total projection files.</w:t>
      </w:r>
    </w:p>
    <w:p>
      <w:pPr>
        <w:spacing w:before="40" w:after="80"/>
      </w:pPr>
      <w:r/>
      <w:r>
        <w:rPr>
          <w:b/>
        </w:rPr>
        <w:t>Pass 2 — Workflow-specific components (AIS, GrIS, glaciers)</w:t>
      </w:r>
      <w:r/>
    </w:p>
    <w:p>
      <w:pPr>
        <w:spacing w:before="40" w:after="80"/>
      </w:pPr>
      <w:r>
        <w:t>Uses `WORKFLOW_COMPONENT_FILES` to look up the correct filename per workflow. If a file is missing, checks `WORKFLOW_COMPONENT_FALLBACK_SUM` for a sum-of-sub-files alternative (wf1f AIS local). Missing files without a fallback are silently skipped — partial runs are supported.</w:t>
      </w:r>
    </w:p>
    <w:p>
      <w:pPr>
        <w:spacing w:before="40" w:after="80"/>
      </w:pPr>
      <w:r/>
      <w:r>
        <w:rPr>
          <w:b/>
        </w:rPr>
        <w:t>Pass 3 — Workflow-independent components (sterodynamics, lws, vlm)</w:t>
      </w:r>
      <w:r/>
    </w:p>
    <w:p>
      <w:pPr>
        <w:spacing w:before="40" w:after="80"/>
      </w:pPr>
      <w:r>
        <w:t>Loads from `WORKFLOW_INDEPENDENT_COMPONENTS` patterns. Because sterodynamics/LWS/VLM are the same regardless of ice-sheet workflow, the result is stored under every workflow key (fan-out). This keeps the JavaScript key lookup uniform — it always uses the full `{ssp}|{comp}|{wf}|{scale}|{loc_id}` key without special-casing workflow-independent components.</w:t>
      </w:r>
    </w:p>
    <w:p>
      <w:pPr>
        <w:spacing w:before="40" w:after="80"/>
      </w:pPr>
      <w:r/>
      <w:r>
        <w:rPr>
          <w:b/>
        </w:rPr>
        <w:t>Why fan-out?</w:t>
      </w:r>
      <w:r>
        <w:t xml:space="preserve"> The browser-side JavaScript callback always builds the lookup key using all 5 tokens including workflow. If sterodynamics were stored only once under a special key, the JS would need extra logic to detect workflow-independent components and look them up differently. Storing the same data under every workflow key avoids that entirely. The storage cost is small (5 quantile arrays × n_locations, duplicated 7 times).</w:t>
      </w:r>
    </w:p>
    <w:p>
      <w:pPr>
        <w:pStyle w:val="Heading1"/>
        <w:spacing w:before="200" w:after="80"/>
      </w:pPr>
      <w:r>
        <w:t>10. HTML Helper Functions (lines 824–907)</w:t>
      </w:r>
    </w:p>
    <w:p>
      <w:pPr>
        <w:spacing w:before="40" w:after="80"/>
      </w:pPr>
      <w:r>
        <w:t>Small utility functions that generate HTML strings used in the dashboard layout.</w:t>
      </w:r>
    </w:p>
    <w:p>
      <w:pPr>
        <w:pStyle w:val="Heading3"/>
        <w:spacing w:before="120" w:after="80"/>
      </w:pPr>
      <w:r>
        <w:t>`_color_box_html` (line 824)</w:t>
      </w:r>
    </w:p>
    <w:p>
      <w:pPr>
        <w:spacing w:before="40" w:after="80"/>
      </w:pPr>
      <w:r>
        <w:t>Returns an 18×18 px colored square div. Shown next to each line slot to indicate its SSP color.</w:t>
      </w:r>
    </w:p>
    <w:p>
      <w:pPr>
        <w:pStyle w:val="Heading3"/>
        <w:spacing w:before="120" w:after="80"/>
      </w:pPr>
      <w:r>
        <w:t>`_style_box_html` (line 843)</w:t>
      </w:r>
    </w:p>
    <w:p>
      <w:pPr>
        <w:spacing w:before="40" w:after="80"/>
      </w:pPr>
      <w:r>
        <w:t>Returns a Unicode text preview of the line style (e.g. `— — —` for dashed, `⋅ ⋅ ⋅` for dotted). Shown next to each line slot to indicate which component style is active.</w:t>
      </w:r>
    </w:p>
    <w:p>
      <w:pPr>
        <w:pStyle w:val="Heading3"/>
        <w:spacing w:before="120" w:after="80"/>
      </w:pPr>
      <w:r>
        <w:t>`_loc_info_html` (line 848)</w:t>
      </w:r>
    </w:p>
    <w:p>
      <w:pPr>
        <w:spacing w:before="40" w:after="80"/>
      </w:pPr>
      <w:r>
        <w:t>Returns a small HTML block showing location ID, name, latitude, and longitude. Displayed beside each line slot and updated reactively when the user changes the location dropdown.</w:t>
      </w:r>
    </w:p>
    <w:p>
      <w:pPr>
        <w:pStyle w:val="Heading3"/>
        <w:spacing w:before="120" w:after="80"/>
      </w:pPr>
      <w:r>
        <w:t>`_workflow_table_html` (line 860)</w:t>
      </w:r>
    </w:p>
    <w:p>
      <w:pPr>
        <w:spacing w:before="40" w:after="80"/>
      </w:pPr>
      <w:r>
        <w:t xml:space="preserve">Returns a full HTML table showing the workflow reference from </w:t>
      </w:r>
      <w:r>
        <w:rPr>
          <w:b/>
        </w:rPr>
        <w:t>Kopp et al. (2023), Table 2</w:t>
      </w:r>
      <w:r>
        <w:t xml:space="preserve"> — which GrIS/AIS/glaciers model each workflow uses. Embedded at the bottom of the dashboard as a reference for users unfamiliar with FACTS workflow naming.</w:t>
      </w:r>
    </w:p>
    <w:p>
      <w:pPr>
        <w:pStyle w:val="Heading1"/>
        <w:spacing w:before="200" w:after="80"/>
      </w:pPr>
      <w:r>
        <w:t>11. Dashboard Section Builders (lines 913–1689)</w:t>
      </w:r>
    </w:p>
    <w:p>
      <w:pPr>
        <w:spacing w:before="40" w:after="80"/>
      </w:pPr>
      <w:r>
        <w:t>The dashboard is split into four distinct visual sections, each built by a dedicated function. All four sections share the same `data_dict` but have independent controls.</w:t>
      </w:r>
    </w:p>
    <w:p>
      <w:pPr>
        <w:pStyle w:val="Heading3"/>
        <w:spacing w:before="120" w:after="80"/>
      </w:pPr>
      <w:r>
        <w:t>`_build_table_section` (line 913)</w:t>
      </w:r>
    </w:p>
    <w:p>
      <w:pPr>
        <w:spacing w:before="40" w:after="80"/>
      </w:pPr>
      <w:r/>
      <w:r>
        <w:rPr>
          <w:b/>
        </w:rPr>
        <w:t>What it shows:</w:t>
      </w:r>
      <w:r>
        <w:t xml:space="preserve"> A Bokeh `DataTable` where </w:t>
      </w:r>
      <w:r>
        <w:rPr>
          <w:b/>
        </w:rPr>
        <w:t>rows = workflows</w:t>
      </w:r>
      <w:r>
        <w:t xml:space="preserve"> and </w:t>
      </w:r>
      <w:r>
        <w:rPr>
          <w:b/>
        </w:rPr>
        <w:t>columns = SSPs</w:t>
      </w:r>
      <w:r>
        <w:t>. Each cell shows `median / (p17, p83) / [p05, p95]` for the `total` component at a selected year, scale, and location.</w:t>
      </w:r>
    </w:p>
    <w:p>
      <w:pPr>
        <w:spacing w:before="40" w:after="80"/>
      </w:pPr>
      <w:r/>
      <w:r>
        <w:rPr>
          <w:b/>
        </w:rPr>
        <w:t>Controls:</w:t>
      </w:r>
      <w:r>
        <w:t xml:space="preserve"> Year selector, scale selector (local/global), location selector.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Replicates the style of Praveen's reference projection tables — the format used in the FACTS GMD paper. Lets users verify the dashboard numbers against published values.</w:t>
      </w:r>
    </w:p>
    <w:p>
      <w:pPr>
        <w:spacing w:before="40" w:after="80"/>
      </w:pPr>
      <w:r/>
      <w:r>
        <w:rPr>
          <w:b/>
        </w:rPr>
        <w:t>JavaScript callback (JS_TABLE):</w:t>
      </w:r>
      <w:r>
        <w:t xml:space="preserve"> Rebuilds the entire table data on any control change. Iterates workflows × SSPs, looks up each key in `data_dict`, formats the cell text. Fires `source_table.change.emit()` to trigger a Bokeh reactive re-render.</w:t>
      </w:r>
    </w:p>
    <w:p>
      <w:pPr>
        <w:pStyle w:val="Heading3"/>
        <w:spacing w:before="120" w:after="80"/>
      </w:pPr>
      <w:r>
        <w:t>`_build_component_table_section` (line 1082)</w:t>
      </w:r>
    </w:p>
    <w:p>
      <w:pPr>
        <w:spacing w:before="40" w:after="80"/>
      </w:pPr>
      <w:r/>
      <w:r>
        <w:rPr>
          <w:b/>
        </w:rPr>
        <w:t>What it shows:</w:t>
      </w:r>
      <w:r>
        <w:t xml:space="preserve"> A Bokeh `DataTable` where </w:t>
      </w:r>
      <w:r>
        <w:rPr>
          <w:b/>
        </w:rPr>
        <w:t>rows = sea-level components</w:t>
      </w:r>
      <w:r>
        <w:t xml:space="preserve"> and </w:t>
      </w:r>
      <w:r>
        <w:rPr>
          <w:b/>
        </w:rPr>
        <w:t>columns = SSPs</w:t>
      </w:r>
      <w:r>
        <w:t>. Each cell shows `median / (p17, p83) / [p05, p95]` for a selected workflow, year, scale, and location.</w:t>
      </w:r>
    </w:p>
    <w:p>
      <w:pPr>
        <w:spacing w:before="40" w:after="80"/>
      </w:pPr>
      <w:r/>
      <w:r>
        <w:rPr>
          <w:b/>
        </w:rPr>
        <w:t>Controls:</w:t>
      </w:r>
      <w:r>
        <w:t xml:space="preserve"> Workflow selector, year selector, scale selector, location selector, unit selector (mm/cm/m — shared with the line plot).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Shows the component breakdown for a given workflow and scenario — which ice sheet or ocean process is contributing how much to total sea-level change.</w:t>
      </w:r>
    </w:p>
    <w:p>
      <w:pPr>
        <w:spacing w:before="40" w:after="80"/>
      </w:pPr>
      <w:r/>
      <w:r>
        <w:rPr>
          <w:b/>
        </w:rPr>
        <w:t>JavaScript callback (JS_COMP):</w:t>
      </w:r>
      <w:r>
        <w:t xml:space="preserve"> Same structure as JS_TABLE but rows are components instead of workflows. Applies unit scaling (`uf`) and dynamic decimal places (`dp`) based on the selected unit.</w:t>
      </w:r>
    </w:p>
    <w:p>
      <w:pPr>
        <w:pStyle w:val="Heading3"/>
        <w:spacing w:before="120" w:after="80"/>
      </w:pPr>
      <w:r>
        <w:t>`_build_stacked_bar_section` (line 1253)</w:t>
      </w:r>
    </w:p>
    <w:p>
      <w:pPr>
        <w:spacing w:before="40" w:after="80"/>
      </w:pPr>
      <w:r/>
      <w:r>
        <w:rPr>
          <w:b/>
        </w:rPr>
        <w:t>What it shows:</w:t>
      </w:r>
      <w:r>
        <w:t xml:space="preserve"> A grouped bar chart. X-axis = tide gauge locations. Within each group, one bar per selected SSP scenario. Y-axis = sea-level change value at the selected quantile, year, workflow, component, and scale.</w:t>
      </w:r>
    </w:p>
    <w:p>
      <w:pPr>
        <w:spacing w:before="40" w:after="80"/>
      </w:pPr>
      <w:r/>
      <w:r>
        <w:rPr>
          <w:b/>
        </w:rPr>
        <w:t>Controls:</w:t>
      </w:r>
      <w:r>
        <w:t xml:space="preserve"> Workflow, component, scale, year, quantile, SSP checkboxes, location toggle-dropdown, Y range slider, unit selector (mirrored from line plot via `unit_sel_bar`).</w:t>
      </w:r>
    </w:p>
    <w:p>
      <w:pPr>
        <w:spacing w:before="40" w:after="80"/>
      </w:pPr>
      <w:r/>
      <w:r>
        <w:rPr>
          <w:b/>
        </w:rPr>
        <w:t>Key design decisions:</w:t>
      </w:r>
      <w:r/>
    </w:p>
    <w:p>
      <w:pPr>
        <w:pStyle w:val="ListBullet"/>
        <w:spacing w:before="20" w:after="20"/>
      </w:pPr>
      <w:r/>
      <w:r>
        <w:rPr>
          <w:b/>
        </w:rPr>
        <w:t>Group centers use integer indices</w:t>
      </w:r>
      <w:r>
        <w:t xml:space="preserve"> (0, 1, 2, ..., n_locs-1) rather than floats. This avoids floating-point key mismatch when JavaScript updates x-axis tick labels from a `ColumnDataSource`.</w:t>
      </w:r>
    </w:p>
    <w:p>
      <w:pPr>
        <w:pStyle w:val="ListBullet"/>
        <w:spacing w:before="20" w:after="20"/>
      </w:pPr>
      <w:r/>
      <w:r>
        <w:rPr>
          <w:b/>
        </w:rPr>
        <w:t>`CustomJSTickFormatter` backed by a CDS</w:t>
      </w:r>
      <w:r>
        <w:t xml:space="preserve"> for x-axis labels. This is the only Bokeh approach that allows reactive label updates from JavaScript — `major_label_overrides` does not update reactively after JS assignment.</w:t>
      </w:r>
    </w:p>
    <w:p>
      <w:pPr>
        <w:pStyle w:val="ListBullet"/>
        <w:spacing w:before="20" w:after="20"/>
      </w:pPr>
      <w:r/>
      <w:r>
        <w:rPr>
          <w:b/>
        </w:rPr>
        <w:t>`unit_sel_bar` is a display-only mirror.</w:t>
      </w:r>
      <w:r>
        <w:t xml:space="preserve"> The bar section has its own unit dropdown (`unit_sel_bar`) that stays visually in sync with the line plot unit dropdown (`unit_sel`). However, all actual callbacks (data scaling, axis label, slider reset) are wired to `unit_sel` only — `unit_sel_bar` just syncs its value to `unit_sel` via a one-way callback. This single-source-of-truth design prevents infinite callback loops.</w:t>
      </w:r>
    </w:p>
    <w:p>
      <w:pPr>
        <w:pStyle w:val="ListBullet"/>
        <w:spacing w:before="20" w:after="20"/>
      </w:pPr>
      <w:r/>
      <w:r>
        <w:rPr>
          <w:b/>
        </w:rPr>
        <w:t>Location toggle-dropdown.</w:t>
      </w:r>
      <w:r>
        <w:t xml:space="preserve"> A Bokeh `Toggle` button controls the `visible` property of a `CheckboxGroup`. Clicking the button shows/hides the location checklist. This is implemented entirely with native Bokeh widgets — no HTML `&lt;script&gt;` tags (which do not execute when injected via `Div.text`).</w:t>
      </w:r>
    </w:p>
    <w:p>
      <w:pPr>
        <w:spacing w:before="40" w:after="80"/>
      </w:pPr>
      <w:r/>
      <w:r>
        <w:rPr>
          <w:b/>
        </w:rPr>
        <w:t>JavaScript callback (JS_BAR):</w:t>
      </w:r>
      <w:r>
        <w:t xml:space="preserve"> Rebuilds the flat bar arrays (x positions, heights, colors) from scratch on every control change. Dynamically recalculates bar width and group spacing based on the number of active SSPs. Updates x-axis ticks and labels via `label_cds` so they match the active location selection.</w:t>
      </w:r>
    </w:p>
    <w:p>
      <w:pPr>
        <w:pStyle w:val="Heading3"/>
        <w:spacing w:before="120" w:after="80"/>
      </w:pPr>
      <w:r>
        <w:t>`build_dashboard` (line 1694)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The top-level assembler. Creates the line plot (the primary visualization), per-slot widgets, shared controls, and assembles all four sections into the final Bokeh layout.</w:t>
      </w:r>
    </w:p>
    <w:p>
      <w:pPr>
        <w:spacing w:before="40" w:after="80"/>
      </w:pPr>
      <w:r/>
      <w:r>
        <w:rPr>
          <w:b/>
        </w:rPr>
        <w:t>Line plot — 6 configurable slots:</w:t>
      </w:r>
      <w:r/>
    </w:p>
    <w:p>
      <w:pPr>
        <w:spacing w:before="40" w:after="80"/>
      </w:pPr>
      <w:r>
        <w:t>The line plot supports 6 independent projection lines. Each slot is fully configurable: workflow, SSP, component, scale, and location. Because Bokeh's `CustomJS` cannot create new renderers at runtime, all 7 renderer types (1 band + 7 line/marker styles) are pre-created for every slot at Python time. Only the renderer matching the selected component is made visible; the rest are hidden. When the user changes the component dropdown, the JavaScript callback hides all renderers and shows only the one matching the new selection.</w:t>
      </w:r>
    </w:p>
    <w:p>
      <w:pPr>
        <w:spacing w:before="40" w:after="80"/>
      </w:pPr>
      <w:r/>
      <w:r>
        <w:rPr>
          <w:b/>
        </w:rPr>
        <w:t>JavaScript callbacks:</w:t>
      </w:r>
      <w:r/>
    </w:p>
    <w:p>
      <w:pPr>
        <w:pStyle w:val="ListBullet"/>
        <w:spacing w:before="20" w:after="20"/>
      </w:pPr>
      <w:r/>
      <w:r>
        <w:rPr>
          <w:b/>
        </w:rPr>
        <w:t>JS_UPDATE</w:t>
      </w:r>
      <w:r>
        <w:t xml:space="preserve"> — Fires when any slot selector (workflow, SSP, component, scale, location) changes, or when the shading band or unit selector changes. Looks up the new key in `data_dict`, scales values by the unit factor, updates `source.data`, updates colors and styles, and refreshes the location info div.</w:t>
      </w:r>
    </w:p>
    <w:p>
      <w:pPr>
        <w:pStyle w:val="ListBullet"/>
        <w:spacing w:before="20" w:after="20"/>
      </w:pPr>
      <w:r/>
      <w:r>
        <w:rPr>
          <w:b/>
        </w:rPr>
        <w:t>JS_VISIBILITY</w:t>
      </w:r>
      <w:r>
        <w:t xml:space="preserve"> — Fires only when the show/hide checkbox is toggled. Separate from JS_UPDATE to avoid unnecessary data re-reads on a simple visibility toggle.</w:t>
      </w:r>
    </w:p>
    <w:p>
      <w:pPr>
        <w:spacing w:before="40" w:after="80"/>
      </w:pPr>
      <w:r/>
      <w:r>
        <w:rPr>
          <w:b/>
        </w:rPr>
        <w:t>Unit selector (`unit_sel`):</w:t>
      </w:r>
      <w:r/>
    </w:p>
    <w:p>
      <w:pPr>
        <w:spacing w:before="40" w:after="80"/>
      </w:pPr>
      <w:r>
        <w:t>A global `Select` widget (mm / cm / m) added to the line plot controls row. When changed:</w:t>
      </w:r>
    </w:p>
    <w:p>
      <w:pPr>
        <w:spacing w:before="40" w:after="80"/>
      </w:pPr>
      <w:r>
        <w:t>1. JS_UPDATE fires for all 6 slots (data scaled)</w:t>
      </w:r>
    </w:p>
    <w:p>
      <w:pPr>
        <w:spacing w:before="40" w:after="80"/>
      </w:pPr>
      <w:r>
        <w:t>2. JS_COMP fires for the component table (values scaled)</w:t>
      </w:r>
    </w:p>
    <w:p>
      <w:pPr>
        <w:spacing w:before="40" w:after="80"/>
      </w:pPr>
      <w:r>
        <w:t>3. JS_BAR fires for the bar chart (bar heights scaled)</w:t>
      </w:r>
    </w:p>
    <w:p>
      <w:pPr>
        <w:spacing w:before="40" w:after="80"/>
      </w:pPr>
      <w:r>
        <w:t>4. A separate callback resets y-slider bounds and axis label for the line plot</w:t>
      </w:r>
    </w:p>
    <w:p>
      <w:pPr>
        <w:spacing w:before="40" w:after="80"/>
      </w:pPr>
      <w:r>
        <w:t>5. A separate callback resets y-slider bounds and axis label for the bar chart</w:t>
      </w:r>
    </w:p>
    <w:p>
      <w:pPr>
        <w:spacing w:before="40" w:after="80"/>
      </w:pPr>
      <w:r>
        <w:t>6. `unit_sel_bar` syncs its display value</w:t>
      </w:r>
    </w:p>
    <w:p>
      <w:pPr>
        <w:spacing w:before="40" w:after="80"/>
      </w:pPr>
      <w:r/>
      <w:r>
        <w:rPr>
          <w:b/>
        </w:rPr>
        <w:t>Why `y_axis=p.yaxis[0]` passed as explicit arg?</w:t>
      </w:r>
      <w:r/>
    </w:p>
    <w:p>
      <w:pPr>
        <w:spacing w:before="40" w:after="80"/>
      </w:pPr>
      <w:r>
        <w:t>In Bokeh's CustomJS, writing `p.yaxis[0].axis_label = "..."` inside JS does not update the rendered axis label — `p.yaxis` inside JS is a JavaScript proxy that does not support index access. The correct approach is to pass the axis model as an explicit named arg (`y_axis=p.yaxis[0]`) in the `args` dict, then write `y_axis.axis_label = "..."` inside JS. This triggers a proper model property change.</w:t>
      </w:r>
    </w:p>
    <w:p>
      <w:pPr>
        <w:pStyle w:val="Heading1"/>
        <w:spacing w:before="200" w:after="80"/>
      </w:pPr>
      <w:r>
        <w:t>12. Single NC File Mode (`--single-nc-file`)</w:t>
      </w:r>
    </w:p>
    <w:p>
      <w:pPr>
        <w:spacing w:before="40" w:after="80"/>
      </w:pPr>
      <w:r>
        <w:t>When invoked with `--single-nc-file path/to/file.nc`, the script bypasses the experiment-tree scanner entirely and loads a single `.nc` file. This mode is useful for:</w:t>
      </w:r>
    </w:p>
    <w:p>
      <w:pPr>
        <w:pStyle w:val="ListBullet"/>
        <w:spacing w:before="20" w:after="20"/>
      </w:pPr>
      <w:r>
        <w:t>Users with individual component files (e.g. from a JPL model pipeline)</w:t>
      </w:r>
    </w:p>
    <w:p>
      <w:pPr>
        <w:pStyle w:val="ListBullet"/>
        <w:spacing w:before="20" w:after="20"/>
      </w:pPr>
      <w:r>
        <w:t>Quick inspection of one file without a full experiment directory</w:t>
      </w:r>
    </w:p>
    <w:p>
      <w:pPr>
        <w:spacing w:before="40" w:after="80"/>
      </w:pPr>
      <w:r/>
      <w:r>
        <w:rPr>
          <w:b/>
        </w:rPr>
        <w:t>Behavioural differences in single-NC mode: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Normal mode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Single-NC mode</w:t>
            </w:r>
          </w:p>
        </w:tc>
      </w:tr>
      <w:tr>
        <w:tc>
          <w:tcPr>
            <w:tcW w:type="dxa" w:w="3024"/>
          </w:tcPr>
          <w:p>
            <w:r>
              <w:t>SSP options</w:t>
            </w:r>
          </w:p>
        </w:tc>
        <w:tc>
          <w:tcPr>
            <w:tcW w:type="dxa" w:w="3024"/>
          </w:tcPr>
          <w:p>
            <w:r>
              <w:t>All SSPs found</w:t>
            </w:r>
          </w:p>
        </w:tc>
        <w:tc>
          <w:tcPr>
            <w:tcW w:type="dxa" w:w="3024"/>
          </w:tcPr>
          <w:p>
            <w:r>
              <w:t>1 SSP (from filename)</w:t>
            </w:r>
          </w:p>
        </w:tc>
      </w:tr>
      <w:tr>
        <w:tc>
          <w:tcPr>
            <w:tcW w:type="dxa" w:w="3024"/>
          </w:tcPr>
          <w:p>
            <w:r>
              <w:t>Component options</w:t>
            </w:r>
          </w:p>
        </w:tc>
        <w:tc>
          <w:tcPr>
            <w:tcW w:type="dxa" w:w="3024"/>
          </w:tcPr>
          <w:p>
            <w:r>
              <w:t>All 7</w:t>
            </w:r>
          </w:p>
        </w:tc>
        <w:tc>
          <w:tcPr>
            <w:tcW w:type="dxa" w:w="3024"/>
          </w:tcPr>
          <w:p>
            <w:r>
              <w:t>1 (from filename)</w:t>
            </w:r>
          </w:p>
        </w:tc>
      </w:tr>
      <w:tr>
        <w:tc>
          <w:tcPr>
            <w:tcW w:type="dxa" w:w="3024"/>
          </w:tcPr>
          <w:p>
            <w:r>
              <w:t>Workflow options</w:t>
            </w:r>
          </w:p>
        </w:tc>
        <w:tc>
          <w:tcPr>
            <w:tcW w:type="dxa" w:w="3024"/>
          </w:tcPr>
          <w:p>
            <w:r>
              <w:t>All found</w:t>
            </w:r>
          </w:p>
        </w:tc>
        <w:tc>
          <w:tcPr>
            <w:tcW w:type="dxa" w:w="3024"/>
          </w:tcPr>
          <w:p>
            <w:r>
              <w:t>1 (inferred from filename)</w:t>
            </w:r>
          </w:p>
        </w:tc>
      </w:tr>
      <w:tr>
        <w:tc>
          <w:tcPr>
            <w:tcW w:type="dxa" w:w="3024"/>
          </w:tcPr>
          <w:p>
            <w:r>
              <w:t>Slot default cycling</w:t>
            </w:r>
          </w:p>
        </w:tc>
        <w:tc>
          <w:tcPr>
            <w:tcW w:type="dxa" w:w="3024"/>
          </w:tcPr>
          <w:p>
            <w:r>
              <w:t>Cycles SSPs across 6 slots</w:t>
            </w:r>
          </w:p>
        </w:tc>
        <w:tc>
          <w:tcPr>
            <w:tcW w:type="dxa" w:w="3024"/>
          </w:tcPr>
          <w:p>
            <w:r>
              <w:t>Cycles locations across 6 slots</w:t>
            </w:r>
          </w:p>
        </w:tc>
      </w:tr>
      <w:tr>
        <w:tc>
          <w:tcPr>
            <w:tcW w:type="dxa" w:w="3024"/>
          </w:tcPr>
          <w:p>
            <w:r>
              <w:t>Component table</w:t>
            </w:r>
          </w:p>
        </w:tc>
        <w:tc>
          <w:tcPr>
            <w:tcW w:type="dxa" w:w="3024"/>
          </w:tcPr>
          <w:p>
            <w:r>
              <w:t>Shown (7 rows)</w:t>
            </w:r>
          </w:p>
        </w:tc>
        <w:tc>
          <w:tcPr>
            <w:tcW w:type="dxa" w:w="3024"/>
          </w:tcPr>
          <w:p>
            <w:r>
              <w:t>Hidden (1×1 adds no value)</w:t>
            </w:r>
          </w:p>
        </w:tc>
      </w:tr>
      <w:tr>
        <w:tc>
          <w:tcPr>
            <w:tcW w:type="dxa" w:w="3024"/>
          </w:tcPr>
          <w:p>
            <w:r>
              <w:t>Metadata banner</w:t>
            </w:r>
          </w:p>
        </w:tc>
        <w:tc>
          <w:tcPr>
            <w:tcW w:type="dxa" w:w="3024"/>
          </w:tcPr>
          <w:p>
            <w:r>
              <w:t>Not shown</w:t>
            </w:r>
          </w:p>
        </w:tc>
        <w:tc>
          <w:tcPr>
            <w:tcW w:type="dxa" w:w="3024"/>
          </w:tcPr>
          <w:p>
            <w:r>
              <w:t>Shown (SSP, component, wf, year range, n locations)</w:t>
            </w:r>
          </w:p>
        </w:tc>
      </w:tr>
    </w:tbl>
    <w:p/>
    <w:p>
      <w:pPr>
        <w:pStyle w:val="Heading1"/>
        <w:spacing w:before="200" w:after="80"/>
      </w:pPr>
      <w:r>
        <w:t>13. CLI Entry Point — `main()` (line 2212)</w:t>
      </w:r>
    </w:p>
    <w:p>
      <w:pPr>
        <w:spacing w:before="40" w:after="80"/>
      </w:pPr>
      <w:r>
        <w:t>The `main()` function handles argument parsing and orchestrates the entire pipeline.</w:t>
      </w:r>
    </w:p>
    <w:p>
      <w:pPr>
        <w:spacing w:before="40" w:after="80"/>
      </w:pPr>
      <w:r/>
      <w:r>
        <w:rPr>
          <w:b/>
        </w:rPr>
        <w:t>Accepted arguments: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t>`--exp-root DIR`</w:t>
            </w:r>
          </w:p>
        </w:tc>
        <w:tc>
          <w:tcPr>
            <w:tcW w:type="dxa" w:w="4536"/>
          </w:tcPr>
          <w:p>
            <w:r>
              <w:t>Root directory containing all `coupling.ssp*` subdirectories</w:t>
            </w:r>
          </w:p>
        </w:tc>
      </w:tr>
      <w:tr>
        <w:tc>
          <w:tcPr>
            <w:tcW w:type="dxa" w:w="4536"/>
          </w:tcPr>
          <w:p>
            <w:r>
              <w:t>`--ssp-dir DIR`</w:t>
            </w:r>
          </w:p>
        </w:tc>
        <w:tc>
          <w:tcPr>
            <w:tcW w:type="dxa" w:w="4536"/>
          </w:tcPr>
          <w:p>
            <w:r>
              <w:t>Individual SSP directory (repeat for each SSP)</w:t>
            </w:r>
          </w:p>
        </w:tc>
      </w:tr>
      <w:tr>
        <w:tc>
          <w:tcPr>
            <w:tcW w:type="dxa" w:w="4536"/>
          </w:tcPr>
          <w:p>
            <w:r>
              <w:t>`--single-nc-file FILE`</w:t>
            </w:r>
          </w:p>
        </w:tc>
        <w:tc>
          <w:tcPr>
            <w:tcW w:type="dxa" w:w="4536"/>
          </w:tcPr>
          <w:p>
            <w:r>
              <w:t>Single `.nc` file (bypasses experiment tree)</w:t>
            </w:r>
          </w:p>
        </w:tc>
      </w:tr>
      <w:tr>
        <w:tc>
          <w:tcPr>
            <w:tcW w:type="dxa" w:w="4536"/>
          </w:tcPr>
          <w:p>
            <w:r>
              <w:t>`--output FILE`</w:t>
            </w:r>
          </w:p>
        </w:tc>
        <w:tc>
          <w:tcPr>
            <w:tcW w:type="dxa" w:w="4536"/>
          </w:tcPr>
          <w:p>
            <w:r>
              <w:t>Output HTML path (default: next to exp-root)</w:t>
            </w:r>
          </w:p>
        </w:tc>
      </w:tr>
      <w:tr>
        <w:tc>
          <w:tcPr>
            <w:tcW w:type="dxa" w:w="4536"/>
          </w:tcPr>
          <w:p>
            <w:r>
              <w:t>`--title TEXT`</w:t>
            </w:r>
          </w:p>
        </w:tc>
        <w:tc>
          <w:tcPr>
            <w:tcW w:type="dxa" w:w="4536"/>
          </w:tcPr>
          <w:p>
            <w:r>
              <w:t>Dashboard title string</w:t>
            </w:r>
          </w:p>
        </w:tc>
      </w:tr>
      <w:tr>
        <w:tc>
          <w:tcPr>
            <w:tcW w:type="dxa" w:w="4536"/>
          </w:tcPr>
          <w:p>
            <w:r>
              <w:t>`--verbose`</w:t>
            </w:r>
          </w:p>
        </w:tc>
        <w:tc>
          <w:tcPr>
            <w:tcW w:type="dxa" w:w="4536"/>
          </w:tcPr>
          <w:p>
            <w:r>
              <w:t>Enable DEBUG-level logging</w:t>
            </w:r>
          </w:p>
        </w:tc>
      </w:tr>
    </w:tbl>
    <w:p/>
    <w:p>
      <w:pPr>
        <w:spacing w:before="40" w:after="80"/>
      </w:pPr>
      <w:r/>
      <w:r>
        <w:rPr>
          <w:b/>
        </w:rPr>
        <w:t>Three operation modes:</w:t>
      </w:r>
      <w:r/>
    </w:p>
    <w:p>
      <w:pPr>
        <w:spacing w:before="40" w:after="80"/>
      </w:pPr>
      <w:r>
        <w:t xml:space="preserve">1. </w:t>
      </w:r>
      <w:r>
        <w:rPr>
          <w:b/>
        </w:rPr>
        <w:t>`--exp-root`</w:t>
      </w:r>
      <w:r>
        <w:t xml:space="preserve"> — Scans one root directory for all SSPs automatically. Most common use case.</w:t>
      </w:r>
    </w:p>
    <w:p>
      <w:pPr>
        <w:spacing w:before="40" w:after="80"/>
      </w:pPr>
      <w:r>
        <w:t xml:space="preserve">2. </w:t>
      </w:r>
      <w:r>
        <w:rPr>
          <w:b/>
        </w:rPr>
        <w:t>`--ssp-dir`</w:t>
      </w:r>
      <w:r>
        <w:t xml:space="preserve"> (one or more) — Explicitly lists SSP folders from separate runs. Used when SSPs live in different locations.</w:t>
      </w:r>
    </w:p>
    <w:p>
      <w:pPr>
        <w:spacing w:before="40" w:after="80"/>
      </w:pPr>
      <w:r>
        <w:t xml:space="preserve">3. </w:t>
      </w:r>
      <w:r>
        <w:rPr>
          <w:b/>
        </w:rPr>
        <w:t>`--single-nc-file`</w:t>
      </w:r>
      <w:r>
        <w:t xml:space="preserve"> — Single-file mode. Bypasses all discovery and goes straight to `load_single_nc`.</w:t>
      </w:r>
    </w:p>
    <w:p>
      <w:pPr>
        <w:spacing w:before="40" w:after="80"/>
      </w:pPr>
      <w:r/>
      <w:r>
        <w:rPr>
          <w:b/>
        </w:rPr>
        <w:t>Default output path logic:</w:t>
      </w:r>
      <w:r>
        <w:t xml:space="preserve"> If `--output` is not provided, the HTML is written next to the experiment root (or the first SSP dir). This ensures the output is always recoverable — it is never written to a path that disappears when a Docker container exits.</w:t>
      </w:r>
    </w:p>
    <w:p>
      <w:pPr>
        <w:pStyle w:val="Heading1"/>
        <w:spacing w:before="200" w:after="80"/>
      </w:pPr>
      <w:r>
        <w:t>14. Running the Dashboard</w:t>
      </w:r>
    </w:p>
    <w:p>
      <w:pPr>
        <w:pStyle w:val="Heading3"/>
        <w:spacing w:before="120" w:after="80"/>
      </w:pPr>
      <w:r>
        <w:t>Local Python (recommended for development)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conda run -n ve3FACTS python facts_dashboard.py \</w:t>
        <w:br/>
        <w:t xml:space="preserve">    --exp-root /path/to/exp.alt.emis/ \</w:t>
        <w:br/>
        <w:t xml:space="preserve">    --output dashboard.html</w:t>
        <w:br/>
        <w:t>open dashboard.html</w:t>
      </w:r>
    </w:p>
    <w:p>
      <w:pPr>
        <w:pStyle w:val="Heading3"/>
        <w:spacing w:before="120" w:after="80"/>
      </w:pPr>
      <w:r>
        <w:t>Docker (no local Python install needed)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cd facts.plotting.dashboard/</w:t>
        <w:br/>
        <w:t>bash docker/build.sh                        # build image once</w:t>
        <w:br/>
        <w:t>bash docker/run.sh --exp-root /path/to/exp/ # generate dashboard</w:t>
      </w:r>
    </w:p>
    <w:p>
      <w:pPr>
        <w:pStyle w:val="Heading3"/>
        <w:spacing w:before="120" w:after="80"/>
      </w:pPr>
      <w:r>
        <w:t>Amarel HPC (Singularity, no Docker)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module load singularity/3.1.0</w:t>
        <w:br/>
        <w:t>singularity exec --bind /path/to/data:/mnt/data ~/singularity/facts-viz.sif \</w:t>
        <w:br/>
        <w:t xml:space="preserve">    python facts_dashboard.py \</w:t>
        <w:br/>
        <w:t xml:space="preserve">    --exp-root /mnt/data/exp.alt.emis/ \</w:t>
        <w:br/>
        <w:t xml:space="preserve">    --output /mnt/data/dashboard.html</w:t>
      </w:r>
    </w:p>
    <w:p>
      <w:pPr>
        <w:pStyle w:val="Heading1"/>
        <w:spacing w:before="200" w:after="80"/>
      </w:pPr>
      <w:r>
        <w:t>15. Function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Line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268"/>
          </w:tcPr>
          <w:p>
            <w:r>
              <w:rPr>
                <w:b/>
              </w:rPr>
              <w:t>One-line purpose</w:t>
            </w:r>
          </w:p>
        </w:tc>
      </w:tr>
      <w:tr>
        <w:tc>
          <w:tcPr>
            <w:tcW w:type="dxa" w:w="2268"/>
          </w:tcPr>
          <w:p>
            <w:r>
              <w:t>`_r1`</w:t>
            </w:r>
          </w:p>
        </w:tc>
        <w:tc>
          <w:tcPr>
            <w:tcW w:type="dxa" w:w="2268"/>
          </w:tcPr>
          <w:p>
            <w:r>
              <w:t>234</w:t>
            </w:r>
          </w:p>
        </w:tc>
        <w:tc>
          <w:tcPr>
            <w:tcW w:type="dxa" w:w="2268"/>
          </w:tcPr>
          <w:p>
            <w:r>
              <w:t>Utility</w:t>
            </w:r>
          </w:p>
        </w:tc>
        <w:tc>
          <w:tcPr>
            <w:tcW w:type="dxa" w:w="2268"/>
          </w:tcPr>
          <w:p>
            <w:r>
              <w:t>Round float array to 1 dp for data compaction</w:t>
            </w:r>
          </w:p>
        </w:tc>
      </w:tr>
      <w:tr>
        <w:tc>
          <w:tcPr>
            <w:tcW w:type="dxa" w:w="2268"/>
          </w:tcPr>
          <w:p>
            <w:r>
              <w:t>`_count_nc_locations`</w:t>
            </w:r>
          </w:p>
        </w:tc>
        <w:tc>
          <w:tcPr>
            <w:tcW w:type="dxa" w:w="2268"/>
          </w:tcPr>
          <w:p>
            <w:r>
              <w:t>251</w:t>
            </w:r>
          </w:p>
        </w:tc>
        <w:tc>
          <w:tcPr>
            <w:tcW w:type="dxa" w:w="2268"/>
          </w:tcPr>
          <w:p>
            <w:r>
              <w:t>Discovery</w:t>
            </w:r>
          </w:p>
        </w:tc>
        <w:tc>
          <w:tcPr>
            <w:tcW w:type="dxa" w:w="2268"/>
          </w:tcPr>
          <w:p>
            <w:r>
              <w:t>Count tide gauge locations in a .nc file</w:t>
            </w:r>
          </w:p>
        </w:tc>
      </w:tr>
      <w:tr>
        <w:tc>
          <w:tcPr>
            <w:tcW w:type="dxa" w:w="2268"/>
          </w:tcPr>
          <w:p>
            <w:r>
              <w:t>`collect_ssp_entries`</w:t>
            </w:r>
          </w:p>
        </w:tc>
        <w:tc>
          <w:tcPr>
            <w:tcW w:type="dxa" w:w="2268"/>
          </w:tcPr>
          <w:p>
            <w:r>
              <w:t>270</w:t>
            </w:r>
          </w:p>
        </w:tc>
        <w:tc>
          <w:tcPr>
            <w:tcW w:type="dxa" w:w="2268"/>
          </w:tcPr>
          <w:p>
            <w:r>
              <w:t>Discovery</w:t>
            </w:r>
          </w:p>
        </w:tc>
        <w:tc>
          <w:tcPr>
            <w:tcW w:type="dxa" w:w="2268"/>
          </w:tcPr>
          <w:p>
            <w:r>
              <w:t>Find all SSP output directories</w:t>
            </w:r>
          </w:p>
        </w:tc>
      </w:tr>
      <w:tr>
        <w:tc>
          <w:tcPr>
            <w:tcW w:type="dxa" w:w="2268"/>
          </w:tcPr>
          <w:p>
            <w:r>
              <w:t>`discover_workflows`</w:t>
            </w:r>
          </w:p>
        </w:tc>
        <w:tc>
          <w:tcPr>
            <w:tcW w:type="dxa" w:w="2268"/>
          </w:tcPr>
          <w:p>
            <w:r>
              <w:t>352</w:t>
            </w:r>
          </w:p>
        </w:tc>
        <w:tc>
          <w:tcPr>
            <w:tcW w:type="dxa" w:w="2268"/>
          </w:tcPr>
          <w:p>
            <w:r>
              <w:t>Discovery</w:t>
            </w:r>
          </w:p>
        </w:tc>
        <w:tc>
          <w:tcPr>
            <w:tcW w:type="dxa" w:w="2268"/>
          </w:tcPr>
          <w:p>
            <w:r>
              <w:t>Find which workflow IDs are present</w:t>
            </w:r>
          </w:p>
        </w:tc>
      </w:tr>
      <w:tr>
        <w:tc>
          <w:tcPr>
            <w:tcW w:type="dxa" w:w="2268"/>
          </w:tcPr>
          <w:p>
            <w:r>
              <w:t>`load_location_list`</w:t>
            </w:r>
          </w:p>
        </w:tc>
        <w:tc>
          <w:tcPr>
            <w:tcW w:type="dxa" w:w="2268"/>
          </w:tcPr>
          <w:p>
            <w:r>
              <w:t>378</w:t>
            </w:r>
          </w:p>
        </w:tc>
        <w:tc>
          <w:tcPr>
            <w:tcW w:type="dxa" w:w="2268"/>
          </w:tcPr>
          <w:p>
            <w:r>
              <w:t>Discovery</w:t>
            </w:r>
          </w:p>
        </w:tc>
        <w:tc>
          <w:tcPr>
            <w:tcW w:type="dxa" w:w="2268"/>
          </w:tcPr>
          <w:p>
            <w:r>
              <w:t>Read tide gauge station list from location.lst</w:t>
            </w:r>
          </w:p>
        </w:tc>
      </w:tr>
      <w:tr>
        <w:tc>
          <w:tcPr>
            <w:tcW w:type="dxa" w:w="2268"/>
          </w:tcPr>
          <w:p>
            <w:r>
              <w:t>`compute_quantiles`</w:t>
            </w:r>
          </w:p>
        </w:tc>
        <w:tc>
          <w:tcPr>
            <w:tcW w:type="dxa" w:w="2268"/>
          </w:tcPr>
          <w:p>
            <w:r>
              <w:t>405</w:t>
            </w:r>
          </w:p>
        </w:tc>
        <w:tc>
          <w:tcPr>
            <w:tcW w:type="dxa" w:w="2268"/>
          </w:tcPr>
          <w:p>
            <w:r>
              <w:t>Loading</w:t>
            </w:r>
          </w:p>
        </w:tc>
        <w:tc>
          <w:tcPr>
            <w:tcW w:type="dxa" w:w="2268"/>
          </w:tcPr>
          <w:p>
            <w:r>
              <w:t>Open .nc file and compute p5/p17/p50/p83/p95</w:t>
            </w:r>
          </w:p>
        </w:tc>
      </w:tr>
      <w:tr>
        <w:tc>
          <w:tcPr>
            <w:tcW w:type="dxa" w:w="2268"/>
          </w:tcPr>
          <w:p>
            <w:r>
              <w:t>`compute_quantiles_sum`</w:t>
            </w:r>
          </w:p>
        </w:tc>
        <w:tc>
          <w:tcPr>
            <w:tcW w:type="dxa" w:w="2268"/>
          </w:tcPr>
          <w:p>
            <w:r>
              <w:t>432</w:t>
            </w:r>
          </w:p>
        </w:tc>
        <w:tc>
          <w:tcPr>
            <w:tcW w:type="dxa" w:w="2268"/>
          </w:tcPr>
          <w:p>
            <w:r>
              <w:t>Loading</w:t>
            </w:r>
          </w:p>
        </w:tc>
        <w:tc>
          <w:tcPr>
            <w:tcW w:type="dxa" w:w="2268"/>
          </w:tcPr>
          <w:p>
            <w:r>
              <w:t>Sum multiple .nc files then compute quantiles</w:t>
            </w:r>
          </w:p>
        </w:tc>
      </w:tr>
      <w:tr>
        <w:tc>
          <w:tcPr>
            <w:tcW w:type="dxa" w:w="2268"/>
          </w:tcPr>
          <w:p>
            <w:r>
              <w:t>`_store_result`</w:t>
            </w:r>
          </w:p>
        </w:tc>
        <w:tc>
          <w:tcPr>
            <w:tcW w:type="dxa" w:w="2268"/>
          </w:tcPr>
          <w:p>
            <w:r>
              <w:t>465</w:t>
            </w:r>
          </w:p>
        </w:tc>
        <w:tc>
          <w:tcPr>
            <w:tcW w:type="dxa" w:w="2268"/>
          </w:tcPr>
          <w:p>
            <w:r>
              <w:t>Loading</w:t>
            </w:r>
          </w:p>
        </w:tc>
        <w:tc>
          <w:tcPr>
            <w:tcW w:type="dxa" w:w="2268"/>
          </w:tcPr>
          <w:p>
            <w:r>
              <w:t>Write quantile result into data_dict</w:t>
            </w:r>
          </w:p>
        </w:tc>
      </w:tr>
      <w:tr>
        <w:tc>
          <w:tcPr>
            <w:tcW w:type="dxa" w:w="2268"/>
          </w:tcPr>
          <w:p>
            <w:r>
              <w:t>`_infer_component_from_stem`</w:t>
            </w:r>
          </w:p>
        </w:tc>
        <w:tc>
          <w:tcPr>
            <w:tcW w:type="dxa" w:w="2268"/>
          </w:tcPr>
          <w:p>
            <w:r>
              <w:t>506</w:t>
            </w:r>
          </w:p>
        </w:tc>
        <w:tc>
          <w:tcPr>
            <w:tcW w:type="dxa" w:w="2268"/>
          </w:tcPr>
          <w:p>
            <w:r>
              <w:t>Single-NC</w:t>
            </w:r>
          </w:p>
        </w:tc>
        <w:tc>
          <w:tcPr>
            <w:tcW w:type="dxa" w:w="2268"/>
          </w:tcPr>
          <w:p>
            <w:r>
              <w:t>Extract component name from filename</w:t>
            </w:r>
          </w:p>
        </w:tc>
      </w:tr>
      <w:tr>
        <w:tc>
          <w:tcPr>
            <w:tcW w:type="dxa" w:w="2268"/>
          </w:tcPr>
          <w:p>
            <w:r>
              <w:t>`_infer_wf_from_stem`</w:t>
            </w:r>
          </w:p>
        </w:tc>
        <w:tc>
          <w:tcPr>
            <w:tcW w:type="dxa" w:w="2268"/>
          </w:tcPr>
          <w:p>
            <w:r>
              <w:t>536</w:t>
            </w:r>
          </w:p>
        </w:tc>
        <w:tc>
          <w:tcPr>
            <w:tcW w:type="dxa" w:w="2268"/>
          </w:tcPr>
          <w:p>
            <w:r>
              <w:t>Single-NC</w:t>
            </w:r>
          </w:p>
        </w:tc>
        <w:tc>
          <w:tcPr>
            <w:tcW w:type="dxa" w:w="2268"/>
          </w:tcPr>
          <w:p>
            <w:r>
              <w:t>Infer workflow ID from filename</w:t>
            </w:r>
          </w:p>
        </w:tc>
      </w:tr>
      <w:tr>
        <w:tc>
          <w:tcPr>
            <w:tcW w:type="dxa" w:w="2268"/>
          </w:tcPr>
          <w:p>
            <w:r>
              <w:t>`_find_best_location_lst`</w:t>
            </w:r>
          </w:p>
        </w:tc>
        <w:tc>
          <w:tcPr>
            <w:tcW w:type="dxa" w:w="2268"/>
          </w:tcPr>
          <w:p>
            <w:r>
              <w:t>558</w:t>
            </w:r>
          </w:p>
        </w:tc>
        <w:tc>
          <w:tcPr>
            <w:tcW w:type="dxa" w:w="2268"/>
          </w:tcPr>
          <w:p>
            <w:r>
              <w:t>Single-NC</w:t>
            </w:r>
          </w:p>
        </w:tc>
        <w:tc>
          <w:tcPr>
            <w:tcW w:type="dxa" w:w="2268"/>
          </w:tcPr>
          <w:p>
            <w:r>
              <w:t>Find best-matching location.lst for a .nc file</w:t>
            </w:r>
          </w:p>
        </w:tc>
      </w:tr>
      <w:tr>
        <w:tc>
          <w:tcPr>
            <w:tcW w:type="dxa" w:w="2268"/>
          </w:tcPr>
          <w:p>
            <w:r>
              <w:t>`load_single_nc`</w:t>
            </w:r>
          </w:p>
        </w:tc>
        <w:tc>
          <w:tcPr>
            <w:tcW w:type="dxa" w:w="2268"/>
          </w:tcPr>
          <w:p>
            <w:r>
              <w:t>608</w:t>
            </w:r>
          </w:p>
        </w:tc>
        <w:tc>
          <w:tcPr>
            <w:tcW w:type="dxa" w:w="2268"/>
          </w:tcPr>
          <w:p>
            <w:r>
              <w:t>Single-NC</w:t>
            </w:r>
          </w:p>
        </w:tc>
        <w:tc>
          <w:tcPr>
            <w:tcW w:type="dxa" w:w="2268"/>
          </w:tcPr>
          <w:p>
            <w:r>
              <w:t>Load one .nc file into dashboard-ready structures</w:t>
            </w:r>
          </w:p>
        </w:tc>
      </w:tr>
      <w:tr>
        <w:tc>
          <w:tcPr>
            <w:tcW w:type="dxa" w:w="2268"/>
          </w:tcPr>
          <w:p>
            <w:r>
              <w:t>`precompute_all`</w:t>
            </w:r>
          </w:p>
        </w:tc>
        <w:tc>
          <w:tcPr>
            <w:tcW w:type="dxa" w:w="2268"/>
          </w:tcPr>
          <w:p>
            <w:r>
              <w:t>707</w:t>
            </w:r>
          </w:p>
        </w:tc>
        <w:tc>
          <w:tcPr>
            <w:tcW w:type="dxa" w:w="2268"/>
          </w:tcPr>
          <w:p>
            <w:r>
              <w:t>Loading</w:t>
            </w:r>
          </w:p>
        </w:tc>
        <w:tc>
          <w:tcPr>
            <w:tcW w:type="dxa" w:w="2268"/>
          </w:tcPr>
          <w:p>
            <w:r>
              <w:t>Load all .nc files for multi-file mode</w:t>
            </w:r>
          </w:p>
        </w:tc>
      </w:tr>
      <w:tr>
        <w:tc>
          <w:tcPr>
            <w:tcW w:type="dxa" w:w="2268"/>
          </w:tcPr>
          <w:p>
            <w:r>
              <w:t>`_color_box_html`</w:t>
            </w:r>
          </w:p>
        </w:tc>
        <w:tc>
          <w:tcPr>
            <w:tcW w:type="dxa" w:w="2268"/>
          </w:tcPr>
          <w:p>
            <w:r>
              <w:t>824</w:t>
            </w:r>
          </w:p>
        </w:tc>
        <w:tc>
          <w:tcPr>
            <w:tcW w:type="dxa" w:w="2268"/>
          </w:tcPr>
          <w:p>
            <w:r>
              <w:t>HTML helpers</w:t>
            </w:r>
          </w:p>
        </w:tc>
        <w:tc>
          <w:tcPr>
            <w:tcW w:type="dxa" w:w="2268"/>
          </w:tcPr>
          <w:p>
            <w:r>
              <w:t>Colored square div for line slot display</w:t>
            </w:r>
          </w:p>
        </w:tc>
      </w:tr>
      <w:tr>
        <w:tc>
          <w:tcPr>
            <w:tcW w:type="dxa" w:w="2268"/>
          </w:tcPr>
          <w:p>
            <w:r>
              <w:t>`_style_box_html`</w:t>
            </w:r>
          </w:p>
        </w:tc>
        <w:tc>
          <w:tcPr>
            <w:tcW w:type="dxa" w:w="2268"/>
          </w:tcPr>
          <w:p>
            <w:r>
              <w:t>843</w:t>
            </w:r>
          </w:p>
        </w:tc>
        <w:tc>
          <w:tcPr>
            <w:tcW w:type="dxa" w:w="2268"/>
          </w:tcPr>
          <w:p>
            <w:r>
              <w:t>HTML helpers</w:t>
            </w:r>
          </w:p>
        </w:tc>
        <w:tc>
          <w:tcPr>
            <w:tcW w:type="dxa" w:w="2268"/>
          </w:tcPr>
          <w:p>
            <w:r>
              <w:t>Unicode line style preview string</w:t>
            </w:r>
          </w:p>
        </w:tc>
      </w:tr>
      <w:tr>
        <w:tc>
          <w:tcPr>
            <w:tcW w:type="dxa" w:w="2268"/>
          </w:tcPr>
          <w:p>
            <w:r>
              <w:t>`_loc_info_html`</w:t>
            </w:r>
          </w:p>
        </w:tc>
        <w:tc>
          <w:tcPr>
            <w:tcW w:type="dxa" w:w="2268"/>
          </w:tcPr>
          <w:p>
            <w:r>
              <w:t>848</w:t>
            </w:r>
          </w:p>
        </w:tc>
        <w:tc>
          <w:tcPr>
            <w:tcW w:type="dxa" w:w="2268"/>
          </w:tcPr>
          <w:p>
            <w:r>
              <w:t>HTML helpers</w:t>
            </w:r>
          </w:p>
        </w:tc>
        <w:tc>
          <w:tcPr>
            <w:tcW w:type="dxa" w:w="2268"/>
          </w:tcPr>
          <w:p>
            <w:r>
              <w:t>Location name/lat/lon info div</w:t>
            </w:r>
          </w:p>
        </w:tc>
      </w:tr>
      <w:tr>
        <w:tc>
          <w:tcPr>
            <w:tcW w:type="dxa" w:w="2268"/>
          </w:tcPr>
          <w:p>
            <w:r>
              <w:t>`_workflow_table_html`</w:t>
            </w:r>
          </w:p>
        </w:tc>
        <w:tc>
          <w:tcPr>
            <w:tcW w:type="dxa" w:w="2268"/>
          </w:tcPr>
          <w:p>
            <w:r>
              <w:t>860</w:t>
            </w:r>
          </w:p>
        </w:tc>
        <w:tc>
          <w:tcPr>
            <w:tcW w:type="dxa" w:w="2268"/>
          </w:tcPr>
          <w:p>
            <w:r>
              <w:t>HTML helpers</w:t>
            </w:r>
          </w:p>
        </w:tc>
        <w:tc>
          <w:tcPr>
            <w:tcW w:type="dxa" w:w="2268"/>
          </w:tcPr>
          <w:p>
            <w:r>
              <w:t>Kopp et al. 2023 workflow reference table</w:t>
            </w:r>
          </w:p>
        </w:tc>
      </w:tr>
      <w:tr>
        <w:tc>
          <w:tcPr>
            <w:tcW w:type="dxa" w:w="2268"/>
          </w:tcPr>
          <w:p>
            <w:r>
              <w:t>`_build_table_section`</w:t>
            </w:r>
          </w:p>
        </w:tc>
        <w:tc>
          <w:tcPr>
            <w:tcW w:type="dxa" w:w="2268"/>
          </w:tcPr>
          <w:p>
            <w:r>
              <w:t>913</w:t>
            </w:r>
          </w:p>
        </w:tc>
        <w:tc>
          <w:tcPr>
            <w:tcW w:type="dxa" w:w="2268"/>
          </w:tcPr>
          <w:p>
            <w:r>
              <w:t>Dashboard</w:t>
            </w:r>
          </w:p>
        </w:tc>
        <w:tc>
          <w:tcPr>
            <w:tcW w:type="dxa" w:w="2268"/>
          </w:tcPr>
          <w:p>
            <w:r>
              <w:t>Workflow × SSP summary table</w:t>
            </w:r>
          </w:p>
        </w:tc>
      </w:tr>
      <w:tr>
        <w:tc>
          <w:tcPr>
            <w:tcW w:type="dxa" w:w="2268"/>
          </w:tcPr>
          <w:p>
            <w:r>
              <w:t>`_build_component_table_section`</w:t>
            </w:r>
          </w:p>
        </w:tc>
        <w:tc>
          <w:tcPr>
            <w:tcW w:type="dxa" w:w="2268"/>
          </w:tcPr>
          <w:p>
            <w:r>
              <w:t>1082</w:t>
            </w:r>
          </w:p>
        </w:tc>
        <w:tc>
          <w:tcPr>
            <w:tcW w:type="dxa" w:w="2268"/>
          </w:tcPr>
          <w:p>
            <w:r>
              <w:t>Dashboard</w:t>
            </w:r>
          </w:p>
        </w:tc>
        <w:tc>
          <w:tcPr>
            <w:tcW w:type="dxa" w:w="2268"/>
          </w:tcPr>
          <w:p>
            <w:r>
              <w:t>Component × SSP breakdown table</w:t>
            </w:r>
          </w:p>
        </w:tc>
      </w:tr>
      <w:tr>
        <w:tc>
          <w:tcPr>
            <w:tcW w:type="dxa" w:w="2268"/>
          </w:tcPr>
          <w:p>
            <w:r>
              <w:t>`_build_stacked_bar_section`</w:t>
            </w:r>
          </w:p>
        </w:tc>
        <w:tc>
          <w:tcPr>
            <w:tcW w:type="dxa" w:w="2268"/>
          </w:tcPr>
          <w:p>
            <w:r>
              <w:t>1253</w:t>
            </w:r>
          </w:p>
        </w:tc>
        <w:tc>
          <w:tcPr>
            <w:tcW w:type="dxa" w:w="2268"/>
          </w:tcPr>
          <w:p>
            <w:r>
              <w:t>Dashboard</w:t>
            </w:r>
          </w:p>
        </w:tc>
        <w:tc>
          <w:tcPr>
            <w:tcW w:type="dxa" w:w="2268"/>
          </w:tcPr>
          <w:p>
            <w:r>
              <w:t>Grouped bar chart (locations × SSPs)</w:t>
            </w:r>
          </w:p>
        </w:tc>
      </w:tr>
      <w:tr>
        <w:tc>
          <w:tcPr>
            <w:tcW w:type="dxa" w:w="2268"/>
          </w:tcPr>
          <w:p>
            <w:r>
              <w:t>`build_dashboard`</w:t>
            </w:r>
          </w:p>
        </w:tc>
        <w:tc>
          <w:tcPr>
            <w:tcW w:type="dxa" w:w="2268"/>
          </w:tcPr>
          <w:p>
            <w:r>
              <w:t>1694</w:t>
            </w:r>
          </w:p>
        </w:tc>
        <w:tc>
          <w:tcPr>
            <w:tcW w:type="dxa" w:w="2268"/>
          </w:tcPr>
          <w:p>
            <w:r>
              <w:t>Dashboard</w:t>
            </w:r>
          </w:p>
        </w:tc>
        <w:tc>
          <w:tcPr>
            <w:tcW w:type="dxa" w:w="2268"/>
          </w:tcPr>
          <w:p>
            <w:r>
              <w:t>Main assembler — line plot + all sections → HTML</w:t>
            </w:r>
          </w:p>
        </w:tc>
      </w:tr>
      <w:tr>
        <w:tc>
          <w:tcPr>
            <w:tcW w:type="dxa" w:w="2268"/>
          </w:tcPr>
          <w:p>
            <w:r>
              <w:t>`main`</w:t>
            </w:r>
          </w:p>
        </w:tc>
        <w:tc>
          <w:tcPr>
            <w:tcW w:type="dxa" w:w="2268"/>
          </w:tcPr>
          <w:p>
            <w:r>
              <w:t>2212</w:t>
            </w:r>
          </w:p>
        </w:tc>
        <w:tc>
          <w:tcPr>
            <w:tcW w:type="dxa" w:w="2268"/>
          </w:tcPr>
          <w:p>
            <w:r>
              <w:t>CLI</w:t>
            </w:r>
          </w:p>
        </w:tc>
        <w:tc>
          <w:tcPr>
            <w:tcW w:type="dxa" w:w="2268"/>
          </w:tcPr>
          <w:p>
            <w:r>
              <w:t>Argument parsing and top-level orchestration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