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668F0">
      <w:pPr>
        <w:keepNext w:val="0"/>
        <w:keepLines w:val="0"/>
        <w:pageBreakBefore w:val="0"/>
        <w:kinsoku/>
        <w:wordWrap/>
        <w:overflowPunct/>
        <w:topLinePunct w:val="0"/>
        <w:autoSpaceDE/>
        <w:autoSpaceDN/>
        <w:bidi w:val="0"/>
        <w:adjustRightInd/>
        <w:snapToGrid/>
        <w:spacing w:before="120" w:after="30" w:line="300" w:lineRule="auto"/>
        <w:ind w:left="0" w:leftChars="0" w:firstLine="0" w:firstLineChars="0"/>
        <w:jc w:val="center"/>
        <w:textAlignment w:val="auto"/>
      </w:pPr>
      <w:bookmarkStart w:id="419" w:name="_GoBack"/>
      <w:r>
        <w:rPr>
          <w:rFonts w:hint="eastAsia" w:eastAsia="黑体"/>
          <w:lang w:eastAsia="zh-CN"/>
        </w:rPr>
        <w:drawing>
          <wp:anchor distT="0" distB="0" distL="114300" distR="114300" simplePos="0" relativeHeight="251659264" behindDoc="0" locked="0" layoutInCell="1" allowOverlap="1">
            <wp:simplePos x="0" y="0"/>
            <wp:positionH relativeFrom="column">
              <wp:posOffset>-696595</wp:posOffset>
            </wp:positionH>
            <wp:positionV relativeFrom="paragraph">
              <wp:posOffset>-914400</wp:posOffset>
            </wp:positionV>
            <wp:extent cx="7548880" cy="10685780"/>
            <wp:effectExtent l="0" t="0" r="7620" b="7620"/>
            <wp:wrapNone/>
            <wp:docPr id="3" name="图片 3" descr="商业计划书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商业计划书封面"/>
                    <pic:cNvPicPr>
                      <a:picLocks noChangeAspect="1"/>
                    </pic:cNvPicPr>
                  </pic:nvPicPr>
                  <pic:blipFill>
                    <a:blip r:embed="rId7"/>
                    <a:stretch>
                      <a:fillRect/>
                    </a:stretch>
                  </pic:blipFill>
                  <pic:spPr>
                    <a:xfrm>
                      <a:off x="0" y="0"/>
                      <a:ext cx="7548880" cy="10685780"/>
                    </a:xfrm>
                    <a:prstGeom prst="rect">
                      <a:avLst/>
                    </a:prstGeom>
                  </pic:spPr>
                </pic:pic>
              </a:graphicData>
            </a:graphic>
          </wp:anchor>
        </w:drawing>
      </w:r>
      <w:bookmarkEnd w:id="419"/>
      <w:r>
        <w:drawing>
          <wp:inline distT="0" distB="0" distL="0" distR="0">
            <wp:extent cx="1619250" cy="16192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8"/>
                    <a:srcRect/>
                    <a:stretch>
                      <a:fillRect/>
                    </a:stretch>
                  </pic:blipFill>
                  <pic:spPr>
                    <a:xfrm>
                      <a:off x="0" y="0"/>
                      <a:ext cx="1619250" cy="1619250"/>
                    </a:xfrm>
                    <a:prstGeom prst="rect">
                      <a:avLst/>
                    </a:prstGeom>
                  </pic:spPr>
                </pic:pic>
              </a:graphicData>
            </a:graphic>
          </wp:inline>
        </w:drawing>
      </w:r>
    </w:p>
    <w:p w14:paraId="76ADAEFE">
      <w:pPr>
        <w:keepNext w:val="0"/>
        <w:keepLines w:val="0"/>
        <w:pageBreakBefore w:val="0"/>
        <w:kinsoku/>
        <w:wordWrap/>
        <w:overflowPunct/>
        <w:topLinePunct w:val="0"/>
        <w:autoSpaceDE/>
        <w:autoSpaceDN/>
        <w:bidi w:val="0"/>
        <w:adjustRightInd/>
        <w:snapToGrid/>
        <w:spacing w:before="360" w:after="140" w:line="300" w:lineRule="auto"/>
        <w:ind w:left="0" w:leftChars="0" w:firstLine="0" w:firstLineChars="0"/>
        <w:jc w:val="center"/>
        <w:textAlignment w:val="auto"/>
      </w:pPr>
      <w:r>
        <w:rPr>
          <w:rFonts w:hint="eastAsia" w:ascii="黑体" w:hAnsi="黑体" w:eastAsia="黑体" w:cs="黑体"/>
          <w:b/>
          <w:bCs/>
          <w:color w:val="2B4C6F"/>
          <w:sz w:val="76"/>
          <w:szCs w:val="76"/>
        </w:rPr>
        <w:t>安行护腰</w:t>
      </w:r>
    </w:p>
    <w:p w14:paraId="032AF059">
      <w:pPr>
        <w:keepNext w:val="0"/>
        <w:keepLines w:val="0"/>
        <w:pageBreakBefore w:val="0"/>
        <w:kinsoku/>
        <w:wordWrap/>
        <w:overflowPunct/>
        <w:topLinePunct w:val="0"/>
        <w:autoSpaceDE/>
        <w:autoSpaceDN/>
        <w:bidi w:val="0"/>
        <w:adjustRightInd/>
        <w:snapToGrid/>
        <w:spacing w:before="0" w:after="100" w:line="300" w:lineRule="auto"/>
        <w:ind w:left="0" w:leftChars="0" w:firstLine="0" w:firstLineChars="0"/>
        <w:jc w:val="center"/>
        <w:textAlignment w:val="auto"/>
      </w:pPr>
      <w:r>
        <w:rPr>
          <w:rFonts w:hint="eastAsia" w:ascii="宋体" w:hAnsi="宋体" w:eastAsia="宋体" w:cs="宋体"/>
          <w:b w:val="0"/>
          <w:bCs w:val="0"/>
          <w:color w:val="1A1A1A"/>
          <w:sz w:val="30"/>
          <w:szCs w:val="30"/>
        </w:rPr>
        <w:t>面向社区居家养老的老</w:t>
      </w:r>
      <w:r>
        <w:rPr>
          <w:rFonts w:hint="eastAsia" w:ascii="宋体" w:hAnsi="宋体" w:cs="宋体"/>
          <w:b w:val="0"/>
          <w:bCs w:val="0"/>
          <w:color w:val="1A1A1A"/>
          <w:sz w:val="30"/>
          <w:szCs w:val="30"/>
          <w:lang w:eastAsia="zh-CN"/>
        </w:rPr>
        <w:t>年人</w:t>
      </w:r>
      <w:r>
        <w:rPr>
          <w:rFonts w:hint="eastAsia" w:ascii="宋体" w:hAnsi="宋体" w:eastAsia="宋体" w:cs="宋体"/>
          <w:b w:val="0"/>
          <w:bCs w:val="0"/>
          <w:color w:val="1A1A1A"/>
          <w:sz w:val="30"/>
          <w:szCs w:val="30"/>
        </w:rPr>
        <w:t>主动防跌解决方案</w:t>
      </w:r>
    </w:p>
    <w:p w14:paraId="6049328A">
      <w:pPr>
        <w:keepNext w:val="0"/>
        <w:keepLines w:val="0"/>
        <w:pageBreakBefore w:val="0"/>
        <w:kinsoku/>
        <w:wordWrap/>
        <w:overflowPunct/>
        <w:topLinePunct w:val="0"/>
        <w:autoSpaceDE/>
        <w:autoSpaceDN/>
        <w:bidi w:val="0"/>
        <w:adjustRightInd/>
        <w:snapToGrid/>
        <w:spacing w:before="280" w:after="700" w:line="300" w:lineRule="auto"/>
        <w:ind w:left="0" w:leftChars="0" w:firstLine="0" w:firstLineChars="0"/>
        <w:jc w:val="center"/>
        <w:textAlignment w:val="auto"/>
        <w:rPr>
          <w:rFonts w:hint="eastAsia" w:eastAsia="黑体"/>
          <w:lang w:eastAsia="zh-CN"/>
        </w:rPr>
      </w:pPr>
      <w:r>
        <w:rPr>
          <w:rFonts w:hint="eastAsia" w:ascii="黑体" w:hAnsi="黑体" w:eastAsia="黑体" w:cs="黑体"/>
          <w:b/>
          <w:bCs/>
          <w:color w:val="C0714A"/>
          <w:sz w:val="40"/>
          <w:szCs w:val="40"/>
        </w:rPr>
        <w:t>商业计划书</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62"/>
        <w:gridCol w:w="7138"/>
      </w:tblGrid>
      <w:tr w14:paraId="6E1D9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462" w:type="dxa"/>
            <w:tcBorders>
              <w:top w:val="single" w:color="000000" w:sz="12" w:space="0"/>
              <w:left w:val="nil"/>
              <w:bottom w:val="single" w:color="000000" w:sz="4" w:space="0"/>
              <w:right w:val="nil"/>
              <w:tl2br w:val="nil"/>
            </w:tcBorders>
            <w:shd w:val="clear" w:color="auto" w:fill="FFFFFF"/>
            <w:tcMar>
              <w:top w:w="70" w:type="dxa"/>
              <w:left w:w="100" w:type="dxa"/>
              <w:bottom w:w="70" w:type="dxa"/>
              <w:right w:w="100" w:type="dxa"/>
            </w:tcMar>
          </w:tcPr>
          <w:p w14:paraId="5F3F3F03">
            <w:pPr>
              <w:keepNext/>
              <w:keepLines w:val="0"/>
              <w:pageBreakBefore w:val="0"/>
              <w:kinsoku/>
              <w:wordWrap/>
              <w:overflowPunct/>
              <w:topLinePunct w:val="0"/>
              <w:autoSpaceDE/>
              <w:autoSpaceDN/>
              <w:bidi w:val="0"/>
              <w:adjustRightInd/>
              <w:snapToGrid/>
              <w:spacing w:before="20" w:after="20" w:line="300" w:lineRule="auto"/>
              <w:jc w:val="left"/>
              <w:textAlignment w:val="auto"/>
              <w:rPr>
                <w:b w:val="0"/>
                <w:color w:val="000000"/>
              </w:rPr>
            </w:pPr>
            <w:r>
              <w:rPr>
                <w:rFonts w:hint="eastAsia" w:ascii="宋体" w:hAnsi="宋体" w:eastAsia="宋体" w:cs="宋体"/>
                <w:b w:val="0"/>
                <w:bCs/>
                <w:color w:val="000000"/>
                <w:sz w:val="21"/>
                <w:szCs w:val="21"/>
              </w:rPr>
              <w:t>项目名称</w:t>
            </w:r>
          </w:p>
        </w:tc>
        <w:tc>
          <w:tcPr>
            <w:tcW w:w="7138" w:type="dxa"/>
            <w:tcBorders>
              <w:top w:val="single" w:color="000000" w:sz="12" w:space="0"/>
              <w:left w:val="nil"/>
              <w:bottom w:val="single" w:color="000000" w:sz="4" w:space="0"/>
              <w:right w:val="nil"/>
            </w:tcBorders>
            <w:shd w:val="clear" w:color="auto" w:fill="FFFFFF"/>
            <w:tcMar>
              <w:top w:w="70" w:type="dxa"/>
              <w:left w:w="100" w:type="dxa"/>
              <w:bottom w:w="70" w:type="dxa"/>
              <w:right w:w="100" w:type="dxa"/>
            </w:tcMar>
          </w:tcPr>
          <w:p w14:paraId="63A17F51">
            <w:pPr>
              <w:keepNext/>
              <w:keepLines w:val="0"/>
              <w:pageBreakBefore w:val="0"/>
              <w:kinsoku/>
              <w:wordWrap/>
              <w:overflowPunct/>
              <w:topLinePunct w:val="0"/>
              <w:autoSpaceDE/>
              <w:autoSpaceDN/>
              <w:bidi w:val="0"/>
              <w:adjustRightInd/>
              <w:snapToGrid/>
              <w:spacing w:before="20" w:after="20" w:line="300" w:lineRule="auto"/>
              <w:jc w:val="left"/>
              <w:textAlignment w:val="auto"/>
              <w:rPr>
                <w:b w:val="0"/>
                <w:color w:val="000000"/>
              </w:rPr>
            </w:pPr>
            <w:r>
              <w:rPr>
                <w:rFonts w:hint="eastAsia" w:ascii="宋体" w:hAnsi="宋体" w:eastAsia="宋体" w:cs="宋体"/>
                <w:b w:val="0"/>
                <w:bCs w:val="0"/>
                <w:color w:val="000000"/>
                <w:sz w:val="21"/>
                <w:szCs w:val="21"/>
              </w:rPr>
              <w:t>安行护腰——面向社区居家养老的老年主动防跌解决方案</w:t>
            </w:r>
          </w:p>
        </w:tc>
      </w:tr>
      <w:tr w14:paraId="5C6CE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62" w:type="dxa"/>
            <w:tcBorders>
              <w:top w:val="single" w:color="000000" w:sz="4" w:space="0"/>
              <w:left w:val="nil"/>
              <w:bottom w:val="nil"/>
              <w:right w:val="nil"/>
            </w:tcBorders>
            <w:shd w:val="clear" w:color="auto" w:fill="FFFFFF"/>
            <w:tcMar>
              <w:top w:w="70" w:type="dxa"/>
              <w:left w:w="100" w:type="dxa"/>
              <w:bottom w:w="70" w:type="dxa"/>
              <w:right w:w="100" w:type="dxa"/>
            </w:tcMar>
          </w:tcPr>
          <w:p w14:paraId="1FE6945F">
            <w:pPr>
              <w:keepNext/>
              <w:keepLines w:val="0"/>
              <w:pageBreakBefore w:val="0"/>
              <w:kinsoku/>
              <w:wordWrap/>
              <w:overflowPunct/>
              <w:topLinePunct w:val="0"/>
              <w:autoSpaceDE/>
              <w:autoSpaceDN/>
              <w:bidi w:val="0"/>
              <w:adjustRightInd/>
              <w:snapToGrid/>
              <w:spacing w:before="20" w:after="20" w:line="300" w:lineRule="auto"/>
              <w:jc w:val="left"/>
              <w:textAlignment w:val="auto"/>
              <w:rPr>
                <w:b w:val="0"/>
                <w:color w:val="000000"/>
              </w:rPr>
            </w:pPr>
            <w:r>
              <w:rPr>
                <w:rFonts w:hint="eastAsia" w:ascii="宋体" w:hAnsi="宋体" w:eastAsia="宋体" w:cs="宋体"/>
                <w:b w:val="0"/>
                <w:bCs/>
                <w:color w:val="000000"/>
                <w:sz w:val="21"/>
                <w:szCs w:val="21"/>
              </w:rPr>
              <w:t>参赛赛道</w:t>
            </w:r>
          </w:p>
        </w:tc>
        <w:tc>
          <w:tcPr>
            <w:tcW w:w="7138" w:type="dxa"/>
            <w:tcBorders>
              <w:top w:val="single" w:color="000000" w:sz="4" w:space="0"/>
              <w:left w:val="nil"/>
              <w:bottom w:val="nil"/>
              <w:right w:val="nil"/>
            </w:tcBorders>
            <w:shd w:val="clear" w:color="auto" w:fill="FFFFFF"/>
            <w:tcMar>
              <w:top w:w="70" w:type="dxa"/>
              <w:left w:w="100" w:type="dxa"/>
              <w:bottom w:w="70" w:type="dxa"/>
              <w:right w:w="100" w:type="dxa"/>
            </w:tcMar>
          </w:tcPr>
          <w:p w14:paraId="6E8044B4">
            <w:pPr>
              <w:keepNext/>
              <w:keepLines w:val="0"/>
              <w:pageBreakBefore w:val="0"/>
              <w:kinsoku/>
              <w:wordWrap/>
              <w:overflowPunct/>
              <w:topLinePunct w:val="0"/>
              <w:autoSpaceDE/>
              <w:autoSpaceDN/>
              <w:bidi w:val="0"/>
              <w:adjustRightInd/>
              <w:snapToGrid/>
              <w:spacing w:before="20" w:after="20" w:line="300" w:lineRule="auto"/>
              <w:jc w:val="left"/>
              <w:textAlignment w:val="auto"/>
              <w:rPr>
                <w:b w:val="0"/>
                <w:color w:val="000000"/>
              </w:rPr>
            </w:pPr>
            <w:r>
              <w:rPr>
                <w:rFonts w:hint="eastAsia" w:ascii="宋体" w:hAnsi="宋体" w:eastAsia="宋体" w:cs="宋体"/>
                <w:b w:val="0"/>
                <w:bCs w:val="0"/>
                <w:color w:val="000000"/>
                <w:sz w:val="21"/>
                <w:szCs w:val="21"/>
              </w:rPr>
              <w:t>中国国际大学生创新大赛（2026·青年红色筑梦之旅赛道·创意组</w:t>
            </w:r>
          </w:p>
        </w:tc>
      </w:tr>
      <w:tr w14:paraId="2CF8B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62" w:type="dxa"/>
            <w:tcBorders>
              <w:top w:val="nil"/>
              <w:left w:val="nil"/>
              <w:bottom w:val="nil"/>
              <w:right w:val="nil"/>
            </w:tcBorders>
            <w:shd w:val="clear" w:color="auto" w:fill="FFFFFF"/>
            <w:tcMar>
              <w:top w:w="70" w:type="dxa"/>
              <w:left w:w="100" w:type="dxa"/>
              <w:bottom w:w="70" w:type="dxa"/>
              <w:right w:w="100" w:type="dxa"/>
            </w:tcMar>
          </w:tcPr>
          <w:p w14:paraId="237A4F02">
            <w:pPr>
              <w:keepNext/>
              <w:keepLines w:val="0"/>
              <w:pageBreakBefore w:val="0"/>
              <w:kinsoku/>
              <w:wordWrap/>
              <w:overflowPunct/>
              <w:topLinePunct w:val="0"/>
              <w:autoSpaceDE/>
              <w:autoSpaceDN/>
              <w:bidi w:val="0"/>
              <w:adjustRightInd/>
              <w:snapToGrid/>
              <w:spacing w:before="20" w:after="20" w:line="300" w:lineRule="auto"/>
              <w:jc w:val="left"/>
              <w:textAlignment w:val="auto"/>
              <w:rPr>
                <w:b w:val="0"/>
                <w:color w:val="000000"/>
              </w:rPr>
            </w:pPr>
            <w:r>
              <w:rPr>
                <w:rFonts w:hint="eastAsia" w:ascii="宋体" w:hAnsi="宋体" w:eastAsia="宋体" w:cs="宋体"/>
                <w:b w:val="0"/>
                <w:bCs/>
                <w:color w:val="000000"/>
                <w:sz w:val="21"/>
                <w:szCs w:val="21"/>
              </w:rPr>
              <w:t>申报单位</w:t>
            </w:r>
          </w:p>
        </w:tc>
        <w:tc>
          <w:tcPr>
            <w:tcW w:w="7138" w:type="dxa"/>
            <w:tcBorders>
              <w:top w:val="nil"/>
              <w:left w:val="nil"/>
              <w:bottom w:val="nil"/>
              <w:right w:val="nil"/>
            </w:tcBorders>
            <w:shd w:val="clear" w:color="auto" w:fill="FFFFFF"/>
            <w:tcMar>
              <w:top w:w="70" w:type="dxa"/>
              <w:left w:w="100" w:type="dxa"/>
              <w:bottom w:w="70" w:type="dxa"/>
              <w:right w:w="100" w:type="dxa"/>
            </w:tcMar>
          </w:tcPr>
          <w:p w14:paraId="67CF969F">
            <w:pPr>
              <w:keepNext/>
              <w:keepLines w:val="0"/>
              <w:pageBreakBefore w:val="0"/>
              <w:kinsoku/>
              <w:wordWrap/>
              <w:overflowPunct/>
              <w:topLinePunct w:val="0"/>
              <w:autoSpaceDE/>
              <w:autoSpaceDN/>
              <w:bidi w:val="0"/>
              <w:adjustRightInd/>
              <w:snapToGrid/>
              <w:spacing w:before="20" w:after="20" w:line="300" w:lineRule="auto"/>
              <w:jc w:val="left"/>
              <w:textAlignment w:val="auto"/>
              <w:rPr>
                <w:b w:val="0"/>
                <w:color w:val="000000"/>
              </w:rPr>
            </w:pPr>
            <w:r>
              <w:rPr>
                <w:rFonts w:hint="eastAsia" w:ascii="宋体" w:hAnsi="宋体" w:eastAsia="宋体" w:cs="宋体"/>
                <w:b w:val="0"/>
                <w:bCs w:val="0"/>
                <w:color w:val="000000"/>
                <w:sz w:val="21"/>
                <w:szCs w:val="21"/>
              </w:rPr>
              <w:t>北京体育大学</w:t>
            </w:r>
          </w:p>
        </w:tc>
      </w:tr>
      <w:tr w14:paraId="7D4E3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62" w:type="dxa"/>
            <w:tcBorders>
              <w:top w:val="nil"/>
              <w:left w:val="nil"/>
              <w:bottom w:val="nil"/>
              <w:right w:val="nil"/>
            </w:tcBorders>
            <w:shd w:val="clear" w:color="auto" w:fill="FFFFFF"/>
            <w:tcMar>
              <w:top w:w="70" w:type="dxa"/>
              <w:left w:w="100" w:type="dxa"/>
              <w:bottom w:w="70" w:type="dxa"/>
              <w:right w:w="100" w:type="dxa"/>
            </w:tcMar>
          </w:tcPr>
          <w:p w14:paraId="2729C8AD">
            <w:pPr>
              <w:keepNext/>
              <w:keepLines w:val="0"/>
              <w:pageBreakBefore w:val="0"/>
              <w:kinsoku/>
              <w:wordWrap/>
              <w:overflowPunct/>
              <w:topLinePunct w:val="0"/>
              <w:autoSpaceDE/>
              <w:autoSpaceDN/>
              <w:bidi w:val="0"/>
              <w:adjustRightInd/>
              <w:snapToGrid/>
              <w:spacing w:before="20" w:after="20" w:line="300" w:lineRule="auto"/>
              <w:jc w:val="left"/>
              <w:textAlignment w:val="auto"/>
              <w:rPr>
                <w:b w:val="0"/>
                <w:color w:val="000000"/>
              </w:rPr>
            </w:pPr>
            <w:r>
              <w:rPr>
                <w:rFonts w:hint="eastAsia" w:ascii="宋体" w:hAnsi="宋体" w:eastAsia="宋体" w:cs="宋体"/>
                <w:b w:val="0"/>
                <w:bCs/>
                <w:color w:val="000000"/>
                <w:sz w:val="21"/>
                <w:szCs w:val="21"/>
              </w:rPr>
              <w:t>团队构成</w:t>
            </w:r>
          </w:p>
        </w:tc>
        <w:tc>
          <w:tcPr>
            <w:tcW w:w="7138" w:type="dxa"/>
            <w:tcBorders>
              <w:top w:val="nil"/>
              <w:left w:val="nil"/>
              <w:bottom w:val="nil"/>
              <w:right w:val="nil"/>
            </w:tcBorders>
            <w:shd w:val="clear" w:color="auto" w:fill="FFFFFF"/>
            <w:tcMar>
              <w:top w:w="70" w:type="dxa"/>
              <w:left w:w="100" w:type="dxa"/>
              <w:bottom w:w="70" w:type="dxa"/>
              <w:right w:w="100" w:type="dxa"/>
            </w:tcMar>
          </w:tcPr>
          <w:p w14:paraId="68508217">
            <w:pPr>
              <w:keepNext/>
              <w:keepLines w:val="0"/>
              <w:pageBreakBefore w:val="0"/>
              <w:kinsoku/>
              <w:wordWrap/>
              <w:overflowPunct/>
              <w:topLinePunct w:val="0"/>
              <w:autoSpaceDE/>
              <w:autoSpaceDN/>
              <w:bidi w:val="0"/>
              <w:adjustRightInd/>
              <w:snapToGrid/>
              <w:spacing w:before="20" w:after="20" w:line="300" w:lineRule="auto"/>
              <w:jc w:val="left"/>
              <w:textAlignment w:val="auto"/>
              <w:rPr>
                <w:b w:val="0"/>
                <w:color w:val="000000"/>
              </w:rPr>
            </w:pPr>
            <w:r>
              <w:rPr>
                <w:rFonts w:hint="eastAsia" w:ascii="宋体" w:hAnsi="宋体" w:eastAsia="宋体" w:cs="宋体"/>
                <w:b w:val="0"/>
                <w:bCs w:val="0"/>
                <w:color w:val="000000"/>
                <w:sz w:val="21"/>
                <w:szCs w:val="21"/>
              </w:rPr>
              <w:t>12名本科生，分属5个学院，与中央财经大学、中国科学院大学学生成员跨校协同</w:t>
            </w:r>
          </w:p>
        </w:tc>
      </w:tr>
      <w:tr w14:paraId="1A8F4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62" w:type="dxa"/>
            <w:tcBorders>
              <w:top w:val="nil"/>
              <w:left w:val="nil"/>
              <w:bottom w:val="nil"/>
              <w:right w:val="nil"/>
            </w:tcBorders>
            <w:shd w:val="clear" w:color="auto" w:fill="FFFFFF"/>
            <w:tcMar>
              <w:top w:w="70" w:type="dxa"/>
              <w:left w:w="100" w:type="dxa"/>
              <w:bottom w:w="70" w:type="dxa"/>
              <w:right w:w="100" w:type="dxa"/>
            </w:tcMar>
          </w:tcPr>
          <w:p w14:paraId="1ED69B9B">
            <w:pPr>
              <w:keepNext/>
              <w:keepLines w:val="0"/>
              <w:pageBreakBefore w:val="0"/>
              <w:kinsoku/>
              <w:wordWrap/>
              <w:overflowPunct/>
              <w:topLinePunct w:val="0"/>
              <w:autoSpaceDE/>
              <w:autoSpaceDN/>
              <w:bidi w:val="0"/>
              <w:adjustRightInd/>
              <w:snapToGrid/>
              <w:spacing w:before="20" w:after="20" w:line="300" w:lineRule="auto"/>
              <w:jc w:val="left"/>
              <w:textAlignment w:val="auto"/>
              <w:rPr>
                <w:b w:val="0"/>
                <w:color w:val="000000"/>
              </w:rPr>
            </w:pPr>
            <w:r>
              <w:rPr>
                <w:rFonts w:hint="eastAsia" w:ascii="宋体" w:hAnsi="宋体" w:eastAsia="宋体" w:cs="宋体"/>
                <w:b w:val="0"/>
                <w:bCs/>
                <w:color w:val="000000"/>
                <w:sz w:val="21"/>
                <w:szCs w:val="21"/>
              </w:rPr>
              <w:t>指导教师</w:t>
            </w:r>
          </w:p>
        </w:tc>
        <w:tc>
          <w:tcPr>
            <w:tcW w:w="7138" w:type="dxa"/>
            <w:tcBorders>
              <w:top w:val="nil"/>
              <w:left w:val="nil"/>
              <w:bottom w:val="nil"/>
              <w:right w:val="nil"/>
            </w:tcBorders>
            <w:shd w:val="clear" w:color="auto" w:fill="FFFFFF"/>
            <w:tcMar>
              <w:top w:w="70" w:type="dxa"/>
              <w:left w:w="100" w:type="dxa"/>
              <w:bottom w:w="70" w:type="dxa"/>
              <w:right w:w="100" w:type="dxa"/>
            </w:tcMar>
          </w:tcPr>
          <w:p w14:paraId="7B614D6D">
            <w:pPr>
              <w:keepNext/>
              <w:keepLines w:val="0"/>
              <w:pageBreakBefore w:val="0"/>
              <w:kinsoku/>
              <w:wordWrap/>
              <w:overflowPunct/>
              <w:topLinePunct w:val="0"/>
              <w:autoSpaceDE/>
              <w:autoSpaceDN/>
              <w:bidi w:val="0"/>
              <w:adjustRightInd/>
              <w:snapToGrid/>
              <w:spacing w:before="20" w:after="20" w:line="300" w:lineRule="auto"/>
              <w:jc w:val="left"/>
              <w:textAlignment w:val="auto"/>
              <w:rPr>
                <w:b w:val="0"/>
                <w:color w:val="000000"/>
              </w:rPr>
            </w:pPr>
            <w:r>
              <w:rPr>
                <w:rFonts w:hint="eastAsia" w:ascii="宋体" w:hAnsi="宋体" w:eastAsia="宋体" w:cs="宋体"/>
                <w:b w:val="0"/>
                <w:bCs w:val="0"/>
                <w:color w:val="000000"/>
                <w:sz w:val="21"/>
                <w:szCs w:val="21"/>
              </w:rPr>
              <w:t>宗寿鑫（体育工程学院）、阮槟（运动医学与康复学院）</w:t>
            </w:r>
          </w:p>
        </w:tc>
      </w:tr>
      <w:tr w14:paraId="4EA8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62" w:type="dxa"/>
            <w:tcBorders>
              <w:top w:val="nil"/>
              <w:left w:val="nil"/>
              <w:bottom w:val="nil"/>
              <w:right w:val="nil"/>
            </w:tcBorders>
            <w:shd w:val="clear" w:color="auto" w:fill="FFFFFF"/>
            <w:tcMar>
              <w:top w:w="70" w:type="dxa"/>
              <w:left w:w="100" w:type="dxa"/>
              <w:bottom w:w="70" w:type="dxa"/>
              <w:right w:w="100" w:type="dxa"/>
            </w:tcMar>
          </w:tcPr>
          <w:p w14:paraId="7BB04FE7">
            <w:pPr>
              <w:keepNext/>
              <w:keepLines w:val="0"/>
              <w:pageBreakBefore w:val="0"/>
              <w:kinsoku/>
              <w:wordWrap/>
              <w:overflowPunct/>
              <w:topLinePunct w:val="0"/>
              <w:autoSpaceDE/>
              <w:autoSpaceDN/>
              <w:bidi w:val="0"/>
              <w:adjustRightInd/>
              <w:snapToGrid/>
              <w:spacing w:before="20" w:after="20" w:line="300" w:lineRule="auto"/>
              <w:jc w:val="left"/>
              <w:textAlignment w:val="auto"/>
              <w:rPr>
                <w:b w:val="0"/>
                <w:color w:val="000000"/>
              </w:rPr>
            </w:pPr>
            <w:r>
              <w:rPr>
                <w:rFonts w:hint="eastAsia" w:ascii="宋体" w:hAnsi="宋体" w:eastAsia="宋体" w:cs="宋体"/>
                <w:b w:val="0"/>
                <w:bCs/>
                <w:color w:val="000000"/>
                <w:sz w:val="21"/>
                <w:szCs w:val="21"/>
              </w:rPr>
              <w:t>项目阶段</w:t>
            </w:r>
          </w:p>
        </w:tc>
        <w:tc>
          <w:tcPr>
            <w:tcW w:w="7138" w:type="dxa"/>
            <w:tcBorders>
              <w:top w:val="nil"/>
              <w:left w:val="nil"/>
              <w:bottom w:val="nil"/>
              <w:right w:val="nil"/>
            </w:tcBorders>
            <w:shd w:val="clear" w:color="auto" w:fill="FFFFFF"/>
            <w:tcMar>
              <w:top w:w="70" w:type="dxa"/>
              <w:left w:w="100" w:type="dxa"/>
              <w:bottom w:w="70" w:type="dxa"/>
              <w:right w:w="100" w:type="dxa"/>
            </w:tcMar>
          </w:tcPr>
          <w:p w14:paraId="6C0D7DDB">
            <w:pPr>
              <w:keepNext/>
              <w:keepLines w:val="0"/>
              <w:pageBreakBefore w:val="0"/>
              <w:kinsoku/>
              <w:wordWrap/>
              <w:overflowPunct/>
              <w:topLinePunct w:val="0"/>
              <w:autoSpaceDE/>
              <w:autoSpaceDN/>
              <w:bidi w:val="0"/>
              <w:adjustRightInd/>
              <w:snapToGrid/>
              <w:spacing w:before="20" w:after="20" w:line="300" w:lineRule="auto"/>
              <w:jc w:val="left"/>
              <w:textAlignment w:val="auto"/>
              <w:rPr>
                <w:b w:val="0"/>
                <w:color w:val="000000"/>
              </w:rPr>
            </w:pPr>
            <w:r>
              <w:rPr>
                <w:rFonts w:hint="eastAsia" w:ascii="宋体" w:hAnsi="宋体" w:eastAsia="宋体" w:cs="宋体"/>
                <w:b w:val="0"/>
                <w:bCs w:val="0"/>
                <w:color w:val="000000"/>
                <w:sz w:val="21"/>
                <w:szCs w:val="21"/>
              </w:rPr>
              <w:t>概念验证阶段（TRL 3—4）</w:t>
            </w:r>
          </w:p>
        </w:tc>
      </w:tr>
      <w:tr w14:paraId="448C9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62" w:type="dxa"/>
            <w:tcBorders>
              <w:top w:val="nil"/>
              <w:left w:val="nil"/>
              <w:bottom w:val="single" w:color="000000" w:sz="12" w:space="0"/>
              <w:right w:val="nil"/>
            </w:tcBorders>
            <w:shd w:val="clear" w:color="auto" w:fill="FFFFFF"/>
            <w:tcMar>
              <w:top w:w="70" w:type="dxa"/>
              <w:left w:w="100" w:type="dxa"/>
              <w:bottom w:w="70" w:type="dxa"/>
              <w:right w:w="100" w:type="dxa"/>
            </w:tcMar>
          </w:tcPr>
          <w:p w14:paraId="4945591B">
            <w:pPr>
              <w:keepNext/>
              <w:keepLines w:val="0"/>
              <w:pageBreakBefore w:val="0"/>
              <w:kinsoku/>
              <w:wordWrap/>
              <w:overflowPunct/>
              <w:topLinePunct w:val="0"/>
              <w:autoSpaceDE/>
              <w:autoSpaceDN/>
              <w:bidi w:val="0"/>
              <w:adjustRightInd/>
              <w:snapToGrid/>
              <w:spacing w:before="20" w:after="20" w:line="300" w:lineRule="auto"/>
              <w:jc w:val="left"/>
              <w:textAlignment w:val="auto"/>
              <w:rPr>
                <w:b w:val="0"/>
                <w:color w:val="000000"/>
              </w:rPr>
            </w:pPr>
            <w:r>
              <w:rPr>
                <w:rFonts w:hint="eastAsia" w:ascii="宋体" w:hAnsi="宋体" w:eastAsia="宋体" w:cs="宋体"/>
                <w:b w:val="0"/>
                <w:bCs/>
                <w:color w:val="000000"/>
                <w:sz w:val="21"/>
                <w:szCs w:val="21"/>
              </w:rPr>
              <w:t>编制日期</w:t>
            </w:r>
          </w:p>
        </w:tc>
        <w:tc>
          <w:tcPr>
            <w:tcW w:w="7138" w:type="dxa"/>
            <w:tcBorders>
              <w:top w:val="nil"/>
              <w:left w:val="nil"/>
              <w:bottom w:val="single" w:color="000000" w:sz="12" w:space="0"/>
              <w:right w:val="nil"/>
            </w:tcBorders>
            <w:shd w:val="clear" w:color="auto" w:fill="FFFFFF"/>
            <w:tcMar>
              <w:top w:w="70" w:type="dxa"/>
              <w:left w:w="100" w:type="dxa"/>
              <w:bottom w:w="70" w:type="dxa"/>
              <w:right w:w="100" w:type="dxa"/>
            </w:tcMar>
          </w:tcPr>
          <w:p w14:paraId="5FBB5625">
            <w:pPr>
              <w:keepNext/>
              <w:keepLines w:val="0"/>
              <w:pageBreakBefore w:val="0"/>
              <w:kinsoku/>
              <w:wordWrap/>
              <w:overflowPunct/>
              <w:topLinePunct w:val="0"/>
              <w:autoSpaceDE/>
              <w:autoSpaceDN/>
              <w:bidi w:val="0"/>
              <w:adjustRightInd/>
              <w:snapToGrid/>
              <w:spacing w:before="20" w:after="20" w:line="300" w:lineRule="auto"/>
              <w:jc w:val="left"/>
              <w:textAlignment w:val="auto"/>
              <w:rPr>
                <w:b w:val="0"/>
                <w:color w:val="000000"/>
              </w:rPr>
            </w:pPr>
            <w:r>
              <w:rPr>
                <w:rFonts w:hint="eastAsia" w:ascii="宋体" w:hAnsi="宋体" w:eastAsia="宋体" w:cs="宋体"/>
                <w:b w:val="0"/>
                <w:bCs w:val="0"/>
                <w:color w:val="000000"/>
                <w:sz w:val="21"/>
                <w:szCs w:val="21"/>
              </w:rPr>
              <w:t>2026年9月</w:t>
            </w:r>
          </w:p>
        </w:tc>
      </w:tr>
    </w:tbl>
    <w:p w14:paraId="623E70B6">
      <w:pPr>
        <w:keepNext w:val="0"/>
        <w:keepLines w:val="0"/>
        <w:pageBreakBefore w:val="0"/>
        <w:kinsoku/>
        <w:wordWrap/>
        <w:overflowPunct/>
        <w:topLinePunct w:val="0"/>
        <w:autoSpaceDE/>
        <w:autoSpaceDN/>
        <w:bidi w:val="0"/>
        <w:adjustRightInd/>
        <w:snapToGrid/>
        <w:spacing w:line="300" w:lineRule="auto"/>
        <w:ind w:left="0" w:leftChars="0" w:firstLine="0" w:firstLineChars="0"/>
        <w:textAlignment w:val="auto"/>
      </w:pPr>
      <w:r>
        <w:br w:type="page"/>
      </w:r>
    </w:p>
    <w:sdt>
      <w:sdtPr>
        <w:alias w:val="目录"/>
        <w:id w:val="147464058"/>
      </w:sdtPr>
      <w:sdtContent>
        <w:sdt>
          <w:sdtPr>
            <w:id w:val="147463301"/>
            <w15:color w:val="DBDBDB"/>
            <w:docPartObj>
              <w:docPartGallery w:val="Table of Contents"/>
              <w:docPartUnique/>
            </w:docPartObj>
          </w:sdtPr>
          <w:sdtContent>
            <w:p w14:paraId="6A569486">
              <w:pPr>
                <w:keepNext w:val="0"/>
                <w:keepLines w:val="0"/>
                <w:pageBreakBefore w:val="0"/>
                <w:kinsoku/>
                <w:wordWrap/>
                <w:overflowPunct/>
                <w:topLinePunct w:val="0"/>
                <w:autoSpaceDE/>
                <w:autoSpaceDN/>
                <w:bidi w:val="0"/>
                <w:adjustRightInd/>
                <w:snapToGrid/>
                <w:spacing w:line="300" w:lineRule="auto"/>
                <w:ind w:firstLine="480" w:firstLineChars="200"/>
                <w:textAlignment w:val="auto"/>
              </w:pPr>
            </w:p>
            <w:p w14:paraId="1D660D6F">
              <w:pPr>
                <w:keepNext w:val="0"/>
                <w:keepLines w:val="0"/>
                <w:pageBreakBefore w:val="0"/>
                <w:kinsoku/>
                <w:wordWrap/>
                <w:overflowPunct/>
                <w:topLinePunct w:val="0"/>
                <w:autoSpaceDE/>
                <w:autoSpaceDN/>
                <w:bidi w:val="0"/>
                <w:adjustRightInd/>
                <w:snapToGrid/>
                <w:spacing w:line="300" w:lineRule="auto"/>
                <w:ind w:left="0" w:leftChars="0" w:firstLine="0" w:firstLineChars="0"/>
                <w:jc w:val="center"/>
                <w:textAlignment w:val="auto"/>
                <w:rPr>
                  <w:sz w:val="32"/>
                  <w:szCs w:val="32"/>
                </w:rPr>
              </w:pPr>
              <w:r>
                <w:rPr>
                  <w:rFonts w:hint="eastAsia"/>
                  <w:sz w:val="32"/>
                  <w:szCs w:val="32"/>
                </w:rPr>
                <w:t>目录</w:t>
              </w:r>
            </w:p>
            <w:p w14:paraId="68E46674">
              <w:pPr>
                <w:pStyle w:val="11"/>
                <w:tabs>
                  <w:tab w:val="right" w:leader="dot" w:pos="9746"/>
                </w:tabs>
              </w:pPr>
              <w:r>
                <w:fldChar w:fldCharType="begin"/>
              </w:r>
              <w:r>
                <w:instrText xml:space="preserve">TOC\o"1-3"\h\u</w:instrText>
              </w:r>
              <w:r>
                <w:fldChar w:fldCharType="separate"/>
              </w:r>
              <w:r>
                <w:fldChar w:fldCharType="begin"/>
              </w:r>
              <w:r>
                <w:instrText xml:space="preserve"> HYPERLINK \l _Toc14105 </w:instrText>
              </w:r>
              <w:r>
                <w:fldChar w:fldCharType="separate"/>
              </w:r>
              <w:r>
                <w:rPr>
                  <w:rFonts w:hint="default"/>
                </w:rPr>
                <w:t xml:space="preserve">1. </w:t>
              </w:r>
              <w:r>
                <w:rPr>
                  <w:rFonts w:hint="eastAsia"/>
                </w:rPr>
                <w:t>项目概要</w:t>
              </w:r>
              <w:r>
                <w:tab/>
              </w:r>
              <w:r>
                <w:fldChar w:fldCharType="begin"/>
              </w:r>
              <w:r>
                <w:instrText xml:space="preserve"> PAGEREF _Toc14105 \h </w:instrText>
              </w:r>
              <w:r>
                <w:fldChar w:fldCharType="separate"/>
              </w:r>
              <w:r>
                <w:t>8</w:t>
              </w:r>
              <w:r>
                <w:fldChar w:fldCharType="end"/>
              </w:r>
              <w:r>
                <w:fldChar w:fldCharType="end"/>
              </w:r>
            </w:p>
            <w:p w14:paraId="365605C1">
              <w:pPr>
                <w:pStyle w:val="13"/>
                <w:tabs>
                  <w:tab w:val="right" w:leader="dot" w:pos="9746"/>
                </w:tabs>
              </w:pPr>
              <w:r>
                <w:fldChar w:fldCharType="begin"/>
              </w:r>
              <w:r>
                <w:instrText xml:space="preserve"> HYPERLINK \l _Toc18418 </w:instrText>
              </w:r>
              <w:r>
                <w:fldChar w:fldCharType="separate"/>
              </w:r>
              <w:r>
                <w:rPr>
                  <w:rFonts w:hint="eastAsia"/>
                </w:rPr>
                <w:t>1.1项目来源</w:t>
              </w:r>
              <w:r>
                <w:tab/>
              </w:r>
              <w:r>
                <w:fldChar w:fldCharType="begin"/>
              </w:r>
              <w:r>
                <w:instrText xml:space="preserve"> PAGEREF _Toc18418 \h </w:instrText>
              </w:r>
              <w:r>
                <w:fldChar w:fldCharType="separate"/>
              </w:r>
              <w:r>
                <w:t>8</w:t>
              </w:r>
              <w:r>
                <w:fldChar w:fldCharType="end"/>
              </w:r>
              <w:r>
                <w:fldChar w:fldCharType="end"/>
              </w:r>
            </w:p>
            <w:p w14:paraId="5A653576">
              <w:pPr>
                <w:pStyle w:val="13"/>
                <w:tabs>
                  <w:tab w:val="right" w:leader="dot" w:pos="9746"/>
                </w:tabs>
              </w:pPr>
              <w:r>
                <w:fldChar w:fldCharType="begin"/>
              </w:r>
              <w:r>
                <w:instrText xml:space="preserve"> HYPERLINK \l _Toc8382 </w:instrText>
              </w:r>
              <w:r>
                <w:fldChar w:fldCharType="separate"/>
              </w:r>
              <w:r>
                <w:rPr>
                  <w:rFonts w:hint="eastAsia"/>
                </w:rPr>
                <w:t>1.2我们要解决的问题</w:t>
              </w:r>
              <w:r>
                <w:tab/>
              </w:r>
              <w:r>
                <w:fldChar w:fldCharType="begin"/>
              </w:r>
              <w:r>
                <w:instrText xml:space="preserve"> PAGEREF _Toc8382 \h </w:instrText>
              </w:r>
              <w:r>
                <w:fldChar w:fldCharType="separate"/>
              </w:r>
              <w:r>
                <w:t>8</w:t>
              </w:r>
              <w:r>
                <w:fldChar w:fldCharType="end"/>
              </w:r>
              <w:r>
                <w:fldChar w:fldCharType="end"/>
              </w:r>
            </w:p>
            <w:p w14:paraId="42EEE12C">
              <w:pPr>
                <w:pStyle w:val="13"/>
                <w:tabs>
                  <w:tab w:val="right" w:leader="dot" w:pos="9746"/>
                </w:tabs>
              </w:pPr>
              <w:r>
                <w:fldChar w:fldCharType="begin"/>
              </w:r>
              <w:r>
                <w:instrText xml:space="preserve"> HYPERLINK \l _Toc30251 </w:instrText>
              </w:r>
              <w:r>
                <w:fldChar w:fldCharType="separate"/>
              </w:r>
              <w:r>
                <w:rPr>
                  <w:rFonts w:hint="eastAsia"/>
                </w:rPr>
                <w:t>1.3解决方案</w:t>
              </w:r>
              <w:r>
                <w:tab/>
              </w:r>
              <w:r>
                <w:fldChar w:fldCharType="begin"/>
              </w:r>
              <w:r>
                <w:instrText xml:space="preserve"> PAGEREF _Toc30251 \h </w:instrText>
              </w:r>
              <w:r>
                <w:fldChar w:fldCharType="separate"/>
              </w:r>
              <w:r>
                <w:t>8</w:t>
              </w:r>
              <w:r>
                <w:fldChar w:fldCharType="end"/>
              </w:r>
              <w:r>
                <w:fldChar w:fldCharType="end"/>
              </w:r>
            </w:p>
            <w:p w14:paraId="3B9E3E57">
              <w:pPr>
                <w:pStyle w:val="13"/>
                <w:tabs>
                  <w:tab w:val="right" w:leader="dot" w:pos="9746"/>
                </w:tabs>
              </w:pPr>
              <w:r>
                <w:fldChar w:fldCharType="begin"/>
              </w:r>
              <w:r>
                <w:instrText xml:space="preserve"> HYPERLINK \l _Toc23043 </w:instrText>
              </w:r>
              <w:r>
                <w:fldChar w:fldCharType="separate"/>
              </w:r>
              <w:r>
                <w:rPr>
                  <w:rFonts w:hint="eastAsia"/>
                </w:rPr>
                <w:t>1.4当前进展与阶段认定</w:t>
              </w:r>
              <w:r>
                <w:tab/>
              </w:r>
              <w:r>
                <w:fldChar w:fldCharType="begin"/>
              </w:r>
              <w:r>
                <w:instrText xml:space="preserve"> PAGEREF _Toc23043 \h </w:instrText>
              </w:r>
              <w:r>
                <w:fldChar w:fldCharType="separate"/>
              </w:r>
              <w:r>
                <w:t>9</w:t>
              </w:r>
              <w:r>
                <w:fldChar w:fldCharType="end"/>
              </w:r>
              <w:r>
                <w:fldChar w:fldCharType="end"/>
              </w:r>
            </w:p>
            <w:p w14:paraId="3AFF2BEB">
              <w:pPr>
                <w:pStyle w:val="13"/>
                <w:tabs>
                  <w:tab w:val="right" w:leader="dot" w:pos="9746"/>
                </w:tabs>
              </w:pPr>
              <w:r>
                <w:fldChar w:fldCharType="begin"/>
              </w:r>
              <w:r>
                <w:instrText xml:space="preserve"> HYPERLINK \l _Toc5360 </w:instrText>
              </w:r>
              <w:r>
                <w:fldChar w:fldCharType="separate"/>
              </w:r>
              <w:r>
                <w:rPr>
                  <w:rFonts w:hint="eastAsia"/>
                </w:rPr>
                <w:t>1.5市场与商业模式</w:t>
              </w:r>
              <w:r>
                <w:tab/>
              </w:r>
              <w:r>
                <w:fldChar w:fldCharType="begin"/>
              </w:r>
              <w:r>
                <w:instrText xml:space="preserve"> PAGEREF _Toc5360 \h </w:instrText>
              </w:r>
              <w:r>
                <w:fldChar w:fldCharType="separate"/>
              </w:r>
              <w:r>
                <w:t>10</w:t>
              </w:r>
              <w:r>
                <w:fldChar w:fldCharType="end"/>
              </w:r>
              <w:r>
                <w:fldChar w:fldCharType="end"/>
              </w:r>
            </w:p>
            <w:p w14:paraId="281633B2">
              <w:pPr>
                <w:pStyle w:val="13"/>
                <w:tabs>
                  <w:tab w:val="right" w:leader="dot" w:pos="9746"/>
                </w:tabs>
              </w:pPr>
              <w:r>
                <w:fldChar w:fldCharType="begin"/>
              </w:r>
              <w:r>
                <w:instrText xml:space="preserve"> HYPERLINK \l _Toc13568 </w:instrText>
              </w:r>
              <w:r>
                <w:fldChar w:fldCharType="separate"/>
              </w:r>
              <w:r>
                <w:rPr>
                  <w:rFonts w:hint="eastAsia"/>
                </w:rPr>
                <w:t>1.6三年规划与关键结论</w:t>
              </w:r>
              <w:r>
                <w:tab/>
              </w:r>
              <w:r>
                <w:fldChar w:fldCharType="begin"/>
              </w:r>
              <w:r>
                <w:instrText xml:space="preserve"> PAGEREF _Toc13568 \h </w:instrText>
              </w:r>
              <w:r>
                <w:fldChar w:fldCharType="separate"/>
              </w:r>
              <w:r>
                <w:t>10</w:t>
              </w:r>
              <w:r>
                <w:fldChar w:fldCharType="end"/>
              </w:r>
              <w:r>
                <w:fldChar w:fldCharType="end"/>
              </w:r>
            </w:p>
            <w:p w14:paraId="5198C514">
              <w:pPr>
                <w:pStyle w:val="13"/>
                <w:tabs>
                  <w:tab w:val="right" w:leader="dot" w:pos="9746"/>
                </w:tabs>
              </w:pPr>
              <w:r>
                <w:fldChar w:fldCharType="begin"/>
              </w:r>
              <w:r>
                <w:instrText xml:space="preserve"> HYPERLINK \l _Toc5565 </w:instrText>
              </w:r>
              <w:r>
                <w:fldChar w:fldCharType="separate"/>
              </w:r>
              <w:r>
                <w:rPr>
                  <w:rFonts w:hint="eastAsia"/>
                </w:rPr>
                <w:t>1.7核心结论</w:t>
              </w:r>
              <w:r>
                <w:tab/>
              </w:r>
              <w:r>
                <w:fldChar w:fldCharType="begin"/>
              </w:r>
              <w:r>
                <w:instrText xml:space="preserve"> PAGEREF _Toc5565 \h </w:instrText>
              </w:r>
              <w:r>
                <w:fldChar w:fldCharType="separate"/>
              </w:r>
              <w:r>
                <w:t>11</w:t>
              </w:r>
              <w:r>
                <w:fldChar w:fldCharType="end"/>
              </w:r>
              <w:r>
                <w:fldChar w:fldCharType="end"/>
              </w:r>
            </w:p>
            <w:p w14:paraId="2E1C7CFC">
              <w:pPr>
                <w:pStyle w:val="11"/>
                <w:tabs>
                  <w:tab w:val="right" w:leader="dot" w:pos="9746"/>
                </w:tabs>
              </w:pPr>
              <w:r>
                <w:fldChar w:fldCharType="begin"/>
              </w:r>
              <w:r>
                <w:instrText xml:space="preserve"> HYPERLINK \l _Toc22124 </w:instrText>
              </w:r>
              <w:r>
                <w:fldChar w:fldCharType="separate"/>
              </w:r>
              <w:r>
                <w:rPr>
                  <w:rFonts w:hint="default"/>
                </w:rPr>
                <w:t xml:space="preserve">2. </w:t>
              </w:r>
              <w:r>
                <w:rPr>
                  <w:rFonts w:hint="eastAsia"/>
                </w:rPr>
                <w:t>项目背景与市场分析</w:t>
              </w:r>
              <w:r>
                <w:tab/>
              </w:r>
              <w:r>
                <w:fldChar w:fldCharType="begin"/>
              </w:r>
              <w:r>
                <w:instrText xml:space="preserve"> PAGEREF _Toc22124 \h </w:instrText>
              </w:r>
              <w:r>
                <w:fldChar w:fldCharType="separate"/>
              </w:r>
              <w:r>
                <w:t>12</w:t>
              </w:r>
              <w:r>
                <w:fldChar w:fldCharType="end"/>
              </w:r>
              <w:r>
                <w:fldChar w:fldCharType="end"/>
              </w:r>
            </w:p>
            <w:p w14:paraId="1603BE31">
              <w:pPr>
                <w:pStyle w:val="13"/>
                <w:tabs>
                  <w:tab w:val="right" w:leader="dot" w:pos="9746"/>
                </w:tabs>
              </w:pPr>
              <w:r>
                <w:fldChar w:fldCharType="begin"/>
              </w:r>
              <w:r>
                <w:instrText xml:space="preserve"> HYPERLINK \l _Toc15001 </w:instrText>
              </w:r>
              <w:r>
                <w:fldChar w:fldCharType="separate"/>
              </w:r>
              <w:r>
                <w:rPr>
                  <w:rFonts w:hint="eastAsia"/>
                </w:rPr>
                <w:t>2.1宏观环境分析</w:t>
              </w:r>
              <w:r>
                <w:tab/>
              </w:r>
              <w:r>
                <w:fldChar w:fldCharType="begin"/>
              </w:r>
              <w:r>
                <w:instrText xml:space="preserve"> PAGEREF _Toc15001 \h </w:instrText>
              </w:r>
              <w:r>
                <w:fldChar w:fldCharType="separate"/>
              </w:r>
              <w:r>
                <w:t>12</w:t>
              </w:r>
              <w:r>
                <w:fldChar w:fldCharType="end"/>
              </w:r>
              <w:r>
                <w:fldChar w:fldCharType="end"/>
              </w:r>
            </w:p>
            <w:p w14:paraId="0811C6D7">
              <w:pPr>
                <w:pStyle w:val="9"/>
                <w:tabs>
                  <w:tab w:val="right" w:leader="dot" w:pos="9746"/>
                </w:tabs>
              </w:pPr>
              <w:r>
                <w:fldChar w:fldCharType="begin"/>
              </w:r>
              <w:r>
                <w:instrText xml:space="preserve"> HYPERLINK \l _Toc28305 </w:instrText>
              </w:r>
              <w:r>
                <w:fldChar w:fldCharType="separate"/>
              </w:r>
              <w:r>
                <w:rPr>
                  <w:rFonts w:hint="eastAsia"/>
                </w:rPr>
                <w:t>2.1.1政策环境</w:t>
              </w:r>
              <w:r>
                <w:tab/>
              </w:r>
              <w:r>
                <w:fldChar w:fldCharType="begin"/>
              </w:r>
              <w:r>
                <w:instrText xml:space="preserve"> PAGEREF _Toc28305 \h </w:instrText>
              </w:r>
              <w:r>
                <w:fldChar w:fldCharType="separate"/>
              </w:r>
              <w:r>
                <w:t>12</w:t>
              </w:r>
              <w:r>
                <w:fldChar w:fldCharType="end"/>
              </w:r>
              <w:r>
                <w:fldChar w:fldCharType="end"/>
              </w:r>
            </w:p>
            <w:p w14:paraId="5AC24345">
              <w:pPr>
                <w:pStyle w:val="9"/>
                <w:tabs>
                  <w:tab w:val="right" w:leader="dot" w:pos="9746"/>
                </w:tabs>
              </w:pPr>
              <w:r>
                <w:fldChar w:fldCharType="begin"/>
              </w:r>
              <w:r>
                <w:instrText xml:space="preserve"> HYPERLINK \l _Toc30621 </w:instrText>
              </w:r>
              <w:r>
                <w:fldChar w:fldCharType="separate"/>
              </w:r>
              <w:r>
                <w:rPr>
                  <w:rFonts w:hint="eastAsia"/>
                </w:rPr>
                <w:t>2.1.2经济环境</w:t>
              </w:r>
              <w:r>
                <w:tab/>
              </w:r>
              <w:r>
                <w:fldChar w:fldCharType="begin"/>
              </w:r>
              <w:r>
                <w:instrText xml:space="preserve"> PAGEREF _Toc30621 \h </w:instrText>
              </w:r>
              <w:r>
                <w:fldChar w:fldCharType="separate"/>
              </w:r>
              <w:r>
                <w:t>13</w:t>
              </w:r>
              <w:r>
                <w:fldChar w:fldCharType="end"/>
              </w:r>
              <w:r>
                <w:fldChar w:fldCharType="end"/>
              </w:r>
            </w:p>
            <w:p w14:paraId="30A9FCA8">
              <w:pPr>
                <w:pStyle w:val="9"/>
                <w:tabs>
                  <w:tab w:val="right" w:leader="dot" w:pos="9746"/>
                </w:tabs>
              </w:pPr>
              <w:r>
                <w:fldChar w:fldCharType="begin"/>
              </w:r>
              <w:r>
                <w:instrText xml:space="preserve"> HYPERLINK \l _Toc23120 </w:instrText>
              </w:r>
              <w:r>
                <w:fldChar w:fldCharType="separate"/>
              </w:r>
              <w:r>
                <w:rPr>
                  <w:rFonts w:hint="eastAsia"/>
                </w:rPr>
                <w:t>2.1.3社会环境</w:t>
              </w:r>
              <w:r>
                <w:tab/>
              </w:r>
              <w:r>
                <w:fldChar w:fldCharType="begin"/>
              </w:r>
              <w:r>
                <w:instrText xml:space="preserve"> PAGEREF _Toc23120 \h </w:instrText>
              </w:r>
              <w:r>
                <w:fldChar w:fldCharType="separate"/>
              </w:r>
              <w:r>
                <w:t>14</w:t>
              </w:r>
              <w:r>
                <w:fldChar w:fldCharType="end"/>
              </w:r>
              <w:r>
                <w:fldChar w:fldCharType="end"/>
              </w:r>
            </w:p>
            <w:p w14:paraId="2A34E30A">
              <w:pPr>
                <w:pStyle w:val="9"/>
                <w:tabs>
                  <w:tab w:val="right" w:leader="dot" w:pos="9746"/>
                </w:tabs>
              </w:pPr>
              <w:r>
                <w:fldChar w:fldCharType="begin"/>
              </w:r>
              <w:r>
                <w:instrText xml:space="preserve"> HYPERLINK \l _Toc12966 </w:instrText>
              </w:r>
              <w:r>
                <w:fldChar w:fldCharType="separate"/>
              </w:r>
              <w:r>
                <w:rPr>
                  <w:rFonts w:hint="eastAsia"/>
                </w:rPr>
                <w:t>2.1.4技术环境</w:t>
              </w:r>
              <w:r>
                <w:tab/>
              </w:r>
              <w:r>
                <w:fldChar w:fldCharType="begin"/>
              </w:r>
              <w:r>
                <w:instrText xml:space="preserve"> PAGEREF _Toc12966 \h </w:instrText>
              </w:r>
              <w:r>
                <w:fldChar w:fldCharType="separate"/>
              </w:r>
              <w:r>
                <w:t>16</w:t>
              </w:r>
              <w:r>
                <w:fldChar w:fldCharType="end"/>
              </w:r>
              <w:r>
                <w:fldChar w:fldCharType="end"/>
              </w:r>
            </w:p>
            <w:p w14:paraId="4688134B">
              <w:pPr>
                <w:pStyle w:val="13"/>
                <w:tabs>
                  <w:tab w:val="right" w:leader="dot" w:pos="9746"/>
                </w:tabs>
              </w:pPr>
              <w:r>
                <w:fldChar w:fldCharType="begin"/>
              </w:r>
              <w:r>
                <w:instrText xml:space="preserve"> HYPERLINK \l _Toc31367 </w:instrText>
              </w:r>
              <w:r>
                <w:fldChar w:fldCharType="separate"/>
              </w:r>
              <w:r>
                <w:rPr>
                  <w:rFonts w:hint="eastAsia"/>
                </w:rPr>
                <w:t>2.2一线调研与目标用户画像</w:t>
              </w:r>
              <w:r>
                <w:tab/>
              </w:r>
              <w:r>
                <w:fldChar w:fldCharType="begin"/>
              </w:r>
              <w:r>
                <w:instrText xml:space="preserve"> PAGEREF _Toc31367 \h </w:instrText>
              </w:r>
              <w:r>
                <w:fldChar w:fldCharType="separate"/>
              </w:r>
              <w:r>
                <w:t>17</w:t>
              </w:r>
              <w:r>
                <w:fldChar w:fldCharType="end"/>
              </w:r>
              <w:r>
                <w:fldChar w:fldCharType="end"/>
              </w:r>
            </w:p>
            <w:p w14:paraId="0272BDFE">
              <w:pPr>
                <w:pStyle w:val="9"/>
                <w:tabs>
                  <w:tab w:val="right" w:leader="dot" w:pos="9746"/>
                </w:tabs>
              </w:pPr>
              <w:r>
                <w:fldChar w:fldCharType="begin"/>
              </w:r>
              <w:r>
                <w:instrText xml:space="preserve"> HYPERLINK \l _Toc31146 </w:instrText>
              </w:r>
              <w:r>
                <w:fldChar w:fldCharType="separate"/>
              </w:r>
              <w:r>
                <w:rPr>
                  <w:rFonts w:hint="eastAsia"/>
                </w:rPr>
                <w:t>2.2.1调研设计</w:t>
              </w:r>
              <w:r>
                <w:tab/>
              </w:r>
              <w:r>
                <w:fldChar w:fldCharType="begin"/>
              </w:r>
              <w:r>
                <w:instrText xml:space="preserve"> PAGEREF _Toc31146 \h </w:instrText>
              </w:r>
              <w:r>
                <w:fldChar w:fldCharType="separate"/>
              </w:r>
              <w:r>
                <w:t>17</w:t>
              </w:r>
              <w:r>
                <w:fldChar w:fldCharType="end"/>
              </w:r>
              <w:r>
                <w:fldChar w:fldCharType="end"/>
              </w:r>
            </w:p>
            <w:p w14:paraId="3633E373">
              <w:pPr>
                <w:pStyle w:val="9"/>
                <w:tabs>
                  <w:tab w:val="right" w:leader="dot" w:pos="9746"/>
                </w:tabs>
              </w:pPr>
              <w:r>
                <w:fldChar w:fldCharType="begin"/>
              </w:r>
              <w:r>
                <w:instrText xml:space="preserve"> HYPERLINK \l _Toc23457 </w:instrText>
              </w:r>
              <w:r>
                <w:fldChar w:fldCharType="separate"/>
              </w:r>
              <w:r>
                <w:rPr>
                  <w:rFonts w:hint="eastAsia"/>
                </w:rPr>
                <w:t>2.2.2主要调研发现</w:t>
              </w:r>
              <w:r>
                <w:tab/>
              </w:r>
              <w:r>
                <w:fldChar w:fldCharType="begin"/>
              </w:r>
              <w:r>
                <w:instrText xml:space="preserve"> PAGEREF _Toc23457 \h </w:instrText>
              </w:r>
              <w:r>
                <w:fldChar w:fldCharType="separate"/>
              </w:r>
              <w:r>
                <w:t>17</w:t>
              </w:r>
              <w:r>
                <w:fldChar w:fldCharType="end"/>
              </w:r>
              <w:r>
                <w:fldChar w:fldCharType="end"/>
              </w:r>
            </w:p>
            <w:p w14:paraId="37015834">
              <w:pPr>
                <w:pStyle w:val="9"/>
                <w:tabs>
                  <w:tab w:val="right" w:leader="dot" w:pos="9746"/>
                </w:tabs>
              </w:pPr>
              <w:r>
                <w:fldChar w:fldCharType="begin"/>
              </w:r>
              <w:r>
                <w:instrText xml:space="preserve"> HYPERLINK \l _Toc11401 </w:instrText>
              </w:r>
              <w:r>
                <w:fldChar w:fldCharType="separate"/>
              </w:r>
              <w:r>
                <w:rPr>
                  <w:rFonts w:hint="eastAsia"/>
                </w:rPr>
                <w:t>2.2.3统计口径与结论边界</w:t>
              </w:r>
              <w:r>
                <w:tab/>
              </w:r>
              <w:r>
                <w:fldChar w:fldCharType="begin"/>
              </w:r>
              <w:r>
                <w:instrText xml:space="preserve"> PAGEREF _Toc11401 \h </w:instrText>
              </w:r>
              <w:r>
                <w:fldChar w:fldCharType="separate"/>
              </w:r>
              <w:r>
                <w:t>19</w:t>
              </w:r>
              <w:r>
                <w:fldChar w:fldCharType="end"/>
              </w:r>
              <w:r>
                <w:fldChar w:fldCharType="end"/>
              </w:r>
            </w:p>
            <w:p w14:paraId="0FB444A6">
              <w:pPr>
                <w:pStyle w:val="9"/>
                <w:tabs>
                  <w:tab w:val="right" w:leader="dot" w:pos="9746"/>
                </w:tabs>
              </w:pPr>
              <w:r>
                <w:fldChar w:fldCharType="begin"/>
              </w:r>
              <w:r>
                <w:instrText xml:space="preserve"> HYPERLINK \l _Toc22165 </w:instrText>
              </w:r>
              <w:r>
                <w:fldChar w:fldCharType="separate"/>
              </w:r>
              <w:r>
                <w:rPr>
                  <w:rFonts w:hint="eastAsia"/>
                </w:rPr>
                <w:t>2.2.4目标用户画像</w:t>
              </w:r>
              <w:r>
                <w:tab/>
              </w:r>
              <w:r>
                <w:fldChar w:fldCharType="begin"/>
              </w:r>
              <w:r>
                <w:instrText xml:space="preserve"> PAGEREF _Toc22165 \h </w:instrText>
              </w:r>
              <w:r>
                <w:fldChar w:fldCharType="separate"/>
              </w:r>
              <w:r>
                <w:t>19</w:t>
              </w:r>
              <w:r>
                <w:fldChar w:fldCharType="end"/>
              </w:r>
              <w:r>
                <w:fldChar w:fldCharType="end"/>
              </w:r>
            </w:p>
            <w:p w14:paraId="2D788718">
              <w:pPr>
                <w:pStyle w:val="13"/>
                <w:tabs>
                  <w:tab w:val="right" w:leader="dot" w:pos="9746"/>
                </w:tabs>
              </w:pPr>
              <w:r>
                <w:fldChar w:fldCharType="begin"/>
              </w:r>
              <w:r>
                <w:instrText xml:space="preserve"> HYPERLINK \l _Toc16021 </w:instrText>
              </w:r>
              <w:r>
                <w:fldChar w:fldCharType="separate"/>
              </w:r>
              <w:r>
                <w:rPr>
                  <w:rFonts w:hint="eastAsia"/>
                </w:rPr>
                <w:t>2.3市场规模测算</w:t>
              </w:r>
              <w:r>
                <w:tab/>
              </w:r>
              <w:r>
                <w:fldChar w:fldCharType="begin"/>
              </w:r>
              <w:r>
                <w:instrText xml:space="preserve"> PAGEREF _Toc16021 \h </w:instrText>
              </w:r>
              <w:r>
                <w:fldChar w:fldCharType="separate"/>
              </w:r>
              <w:r>
                <w:t>20</w:t>
              </w:r>
              <w:r>
                <w:fldChar w:fldCharType="end"/>
              </w:r>
              <w:r>
                <w:fldChar w:fldCharType="end"/>
              </w:r>
            </w:p>
            <w:p w14:paraId="1223621E">
              <w:pPr>
                <w:pStyle w:val="9"/>
                <w:tabs>
                  <w:tab w:val="right" w:leader="dot" w:pos="9746"/>
                </w:tabs>
              </w:pPr>
              <w:r>
                <w:fldChar w:fldCharType="begin"/>
              </w:r>
              <w:r>
                <w:instrText xml:space="preserve"> HYPERLINK \l _Toc24283 </w:instrText>
              </w:r>
              <w:r>
                <w:fldChar w:fldCharType="separate"/>
              </w:r>
              <w:r>
                <w:rPr>
                  <w:rFonts w:hint="eastAsia"/>
                </w:rPr>
                <w:t>2.3.1三层市场口径</w:t>
              </w:r>
              <w:r>
                <w:tab/>
              </w:r>
              <w:r>
                <w:fldChar w:fldCharType="begin"/>
              </w:r>
              <w:r>
                <w:instrText xml:space="preserve"> PAGEREF _Toc24283 \h </w:instrText>
              </w:r>
              <w:r>
                <w:fldChar w:fldCharType="separate"/>
              </w:r>
              <w:r>
                <w:t>20</w:t>
              </w:r>
              <w:r>
                <w:fldChar w:fldCharType="end"/>
              </w:r>
              <w:r>
                <w:fldChar w:fldCharType="end"/>
              </w:r>
            </w:p>
            <w:p w14:paraId="60A4C5B9">
              <w:pPr>
                <w:pStyle w:val="9"/>
                <w:tabs>
                  <w:tab w:val="right" w:leader="dot" w:pos="9746"/>
                </w:tabs>
              </w:pPr>
              <w:r>
                <w:fldChar w:fldCharType="begin"/>
              </w:r>
              <w:r>
                <w:instrText xml:space="preserve"> HYPERLINK \l _Toc5413 </w:instrText>
              </w:r>
              <w:r>
                <w:fldChar w:fldCharType="separate"/>
              </w:r>
              <w:r>
                <w:rPr>
                  <w:rFonts w:hint="eastAsia"/>
                </w:rPr>
                <w:t>2.3.2测算的边界说明</w:t>
              </w:r>
              <w:r>
                <w:tab/>
              </w:r>
              <w:r>
                <w:fldChar w:fldCharType="begin"/>
              </w:r>
              <w:r>
                <w:instrText xml:space="preserve"> PAGEREF _Toc5413 \h </w:instrText>
              </w:r>
              <w:r>
                <w:fldChar w:fldCharType="separate"/>
              </w:r>
              <w:r>
                <w:t>21</w:t>
              </w:r>
              <w:r>
                <w:fldChar w:fldCharType="end"/>
              </w:r>
              <w:r>
                <w:fldChar w:fldCharType="end"/>
              </w:r>
            </w:p>
            <w:p w14:paraId="1AC1051B">
              <w:pPr>
                <w:pStyle w:val="13"/>
                <w:tabs>
                  <w:tab w:val="right" w:leader="dot" w:pos="9746"/>
                </w:tabs>
              </w:pPr>
              <w:r>
                <w:fldChar w:fldCharType="begin"/>
              </w:r>
              <w:r>
                <w:instrText xml:space="preserve"> HYPERLINK \l _Toc3369 </w:instrText>
              </w:r>
              <w:r>
                <w:fldChar w:fldCharType="separate"/>
              </w:r>
              <w:r>
                <w:rPr>
                  <w:rFonts w:hint="eastAsia"/>
                </w:rPr>
                <w:t>2.4现有解决方案的三重缺陷</w:t>
              </w:r>
              <w:r>
                <w:tab/>
              </w:r>
              <w:r>
                <w:fldChar w:fldCharType="begin"/>
              </w:r>
              <w:r>
                <w:instrText xml:space="preserve"> PAGEREF _Toc3369 \h </w:instrText>
              </w:r>
              <w:r>
                <w:fldChar w:fldCharType="separate"/>
              </w:r>
              <w:r>
                <w:t>21</w:t>
              </w:r>
              <w:r>
                <w:fldChar w:fldCharType="end"/>
              </w:r>
              <w:r>
                <w:fldChar w:fldCharType="end"/>
              </w:r>
            </w:p>
            <w:p w14:paraId="7BBF576F">
              <w:pPr>
                <w:pStyle w:val="9"/>
                <w:tabs>
                  <w:tab w:val="right" w:leader="dot" w:pos="9746"/>
                </w:tabs>
              </w:pPr>
              <w:r>
                <w:fldChar w:fldCharType="begin"/>
              </w:r>
              <w:r>
                <w:instrText xml:space="preserve"> HYPERLINK \l _Toc29673 </w:instrText>
              </w:r>
              <w:r>
                <w:fldChar w:fldCharType="separate"/>
              </w:r>
              <w:r>
                <w:rPr>
                  <w:rFonts w:hint="eastAsia"/>
                </w:rPr>
                <w:t>三重缺陷的实质</w:t>
              </w:r>
              <w:r>
                <w:tab/>
              </w:r>
              <w:r>
                <w:fldChar w:fldCharType="begin"/>
              </w:r>
              <w:r>
                <w:instrText xml:space="preserve"> PAGEREF _Toc29673 \h </w:instrText>
              </w:r>
              <w:r>
                <w:fldChar w:fldCharType="separate"/>
              </w:r>
              <w:r>
                <w:t>21</w:t>
              </w:r>
              <w:r>
                <w:fldChar w:fldCharType="end"/>
              </w:r>
              <w:r>
                <w:fldChar w:fldCharType="end"/>
              </w:r>
            </w:p>
            <w:p w14:paraId="1F3201DB">
              <w:pPr>
                <w:pStyle w:val="13"/>
                <w:tabs>
                  <w:tab w:val="right" w:leader="dot" w:pos="9746"/>
                </w:tabs>
              </w:pPr>
              <w:r>
                <w:fldChar w:fldCharType="begin"/>
              </w:r>
              <w:r>
                <w:instrText xml:space="preserve"> HYPERLINK \l _Toc13554 </w:instrText>
              </w:r>
              <w:r>
                <w:fldChar w:fldCharType="separate"/>
              </w:r>
              <w:r>
                <w:rPr>
                  <w:rFonts w:hint="eastAsia"/>
                </w:rPr>
                <w:t>2.5项目机会窗口</w:t>
              </w:r>
              <w:r>
                <w:tab/>
              </w:r>
              <w:r>
                <w:fldChar w:fldCharType="begin"/>
              </w:r>
              <w:r>
                <w:instrText xml:space="preserve"> PAGEREF _Toc13554 \h </w:instrText>
              </w:r>
              <w:r>
                <w:fldChar w:fldCharType="separate"/>
              </w:r>
              <w:r>
                <w:t>22</w:t>
              </w:r>
              <w:r>
                <w:fldChar w:fldCharType="end"/>
              </w:r>
              <w:r>
                <w:fldChar w:fldCharType="end"/>
              </w:r>
            </w:p>
            <w:p w14:paraId="3CC42231">
              <w:pPr>
                <w:pStyle w:val="9"/>
                <w:tabs>
                  <w:tab w:val="right" w:leader="dot" w:pos="9746"/>
                </w:tabs>
              </w:pPr>
              <w:r>
                <w:fldChar w:fldCharType="begin"/>
              </w:r>
              <w:r>
                <w:instrText xml:space="preserve"> HYPERLINK \l _Toc11498 </w:instrText>
              </w:r>
              <w:r>
                <w:fldChar w:fldCharType="separate"/>
              </w:r>
              <w:r>
                <w:rPr>
                  <w:rFonts w:hint="eastAsia"/>
                </w:rPr>
                <w:t>2.5.1政策端：从鼓励产业到建设体系</w:t>
              </w:r>
              <w:r>
                <w:tab/>
              </w:r>
              <w:r>
                <w:fldChar w:fldCharType="begin"/>
              </w:r>
              <w:r>
                <w:instrText xml:space="preserve"> PAGEREF _Toc11498 \h </w:instrText>
              </w:r>
              <w:r>
                <w:fldChar w:fldCharType="separate"/>
              </w:r>
              <w:r>
                <w:t>22</w:t>
              </w:r>
              <w:r>
                <w:fldChar w:fldCharType="end"/>
              </w:r>
              <w:r>
                <w:fldChar w:fldCharType="end"/>
              </w:r>
            </w:p>
            <w:p w14:paraId="116A4E10">
              <w:pPr>
                <w:pStyle w:val="9"/>
                <w:tabs>
                  <w:tab w:val="right" w:leader="dot" w:pos="9746"/>
                </w:tabs>
              </w:pPr>
              <w:r>
                <w:fldChar w:fldCharType="begin"/>
              </w:r>
              <w:r>
                <w:instrText xml:space="preserve"> HYPERLINK \l _Toc763 </w:instrText>
              </w:r>
              <w:r>
                <w:fldChar w:fldCharType="separate"/>
              </w:r>
              <w:r>
                <w:rPr>
                  <w:rFonts w:hint="eastAsia"/>
                </w:rPr>
                <w:t>2.5.2需求端：老人并不排斥智能设备，门槛在使用体验</w:t>
              </w:r>
              <w:r>
                <w:tab/>
              </w:r>
              <w:r>
                <w:fldChar w:fldCharType="begin"/>
              </w:r>
              <w:r>
                <w:instrText xml:space="preserve"> PAGEREF _Toc763 \h </w:instrText>
              </w:r>
              <w:r>
                <w:fldChar w:fldCharType="separate"/>
              </w:r>
              <w:r>
                <w:t>22</w:t>
              </w:r>
              <w:r>
                <w:fldChar w:fldCharType="end"/>
              </w:r>
              <w:r>
                <w:fldChar w:fldCharType="end"/>
              </w:r>
            </w:p>
            <w:p w14:paraId="55224101">
              <w:pPr>
                <w:pStyle w:val="9"/>
                <w:tabs>
                  <w:tab w:val="right" w:leader="dot" w:pos="9746"/>
                </w:tabs>
              </w:pPr>
              <w:r>
                <w:fldChar w:fldCharType="begin"/>
              </w:r>
              <w:r>
                <w:instrText xml:space="preserve"> HYPERLINK \l _Toc14665 </w:instrText>
              </w:r>
              <w:r>
                <w:fldChar w:fldCharType="separate"/>
              </w:r>
              <w:r>
                <w:rPr>
                  <w:rFonts w:hint="eastAsia"/>
                </w:rPr>
                <w:t>2.5.3竞争端：真正的空白在哪里</w:t>
              </w:r>
              <w:r>
                <w:tab/>
              </w:r>
              <w:r>
                <w:fldChar w:fldCharType="begin"/>
              </w:r>
              <w:r>
                <w:instrText xml:space="preserve"> PAGEREF _Toc14665 \h </w:instrText>
              </w:r>
              <w:r>
                <w:fldChar w:fldCharType="separate"/>
              </w:r>
              <w:r>
                <w:t>22</w:t>
              </w:r>
              <w:r>
                <w:fldChar w:fldCharType="end"/>
              </w:r>
              <w:r>
                <w:fldChar w:fldCharType="end"/>
              </w:r>
            </w:p>
            <w:p w14:paraId="32F23E64">
              <w:pPr>
                <w:pStyle w:val="11"/>
                <w:tabs>
                  <w:tab w:val="right" w:leader="dot" w:pos="9746"/>
                </w:tabs>
              </w:pPr>
              <w:r>
                <w:fldChar w:fldCharType="begin"/>
              </w:r>
              <w:r>
                <w:instrText xml:space="preserve"> HYPERLINK \l _Toc21896 </w:instrText>
              </w:r>
              <w:r>
                <w:fldChar w:fldCharType="separate"/>
              </w:r>
              <w:r>
                <w:rPr>
                  <w:rFonts w:hint="default"/>
                </w:rPr>
                <w:t xml:space="preserve">3. </w:t>
              </w:r>
              <w:r>
                <w:rPr>
                  <w:rFonts w:hint="eastAsia"/>
                </w:rPr>
                <w:t>产品与技术</w:t>
              </w:r>
              <w:r>
                <w:tab/>
              </w:r>
              <w:r>
                <w:fldChar w:fldCharType="begin"/>
              </w:r>
              <w:r>
                <w:instrText xml:space="preserve"> PAGEREF _Toc21896 \h </w:instrText>
              </w:r>
              <w:r>
                <w:fldChar w:fldCharType="separate"/>
              </w:r>
              <w:r>
                <w:t>23</w:t>
              </w:r>
              <w:r>
                <w:fldChar w:fldCharType="end"/>
              </w:r>
              <w:r>
                <w:fldChar w:fldCharType="end"/>
              </w:r>
            </w:p>
            <w:p w14:paraId="6F41EC92">
              <w:pPr>
                <w:pStyle w:val="13"/>
                <w:tabs>
                  <w:tab w:val="right" w:leader="dot" w:pos="9746"/>
                </w:tabs>
              </w:pPr>
              <w:r>
                <w:fldChar w:fldCharType="begin"/>
              </w:r>
              <w:r>
                <w:instrText xml:space="preserve"> HYPERLINK \l _Toc18753 </w:instrText>
              </w:r>
              <w:r>
                <w:fldChar w:fldCharType="separate"/>
              </w:r>
              <w:r>
                <w:rPr>
                  <w:rFonts w:hint="eastAsia"/>
                </w:rPr>
                <w:t>3.1产品定位与形态</w:t>
              </w:r>
              <w:r>
                <w:tab/>
              </w:r>
              <w:r>
                <w:fldChar w:fldCharType="begin"/>
              </w:r>
              <w:r>
                <w:instrText xml:space="preserve"> PAGEREF _Toc18753 \h </w:instrText>
              </w:r>
              <w:r>
                <w:fldChar w:fldCharType="separate"/>
              </w:r>
              <w:r>
                <w:t>23</w:t>
              </w:r>
              <w:r>
                <w:fldChar w:fldCharType="end"/>
              </w:r>
              <w:r>
                <w:fldChar w:fldCharType="end"/>
              </w:r>
            </w:p>
            <w:p w14:paraId="29205CE6">
              <w:pPr>
                <w:pStyle w:val="9"/>
                <w:tabs>
                  <w:tab w:val="right" w:leader="dot" w:pos="9746"/>
                </w:tabs>
              </w:pPr>
              <w:r>
                <w:fldChar w:fldCharType="begin"/>
              </w:r>
              <w:r>
                <w:instrText xml:space="preserve"> HYPERLINK \l _Toc17126 </w:instrText>
              </w:r>
              <w:r>
                <w:fldChar w:fldCharType="separate"/>
              </w:r>
              <w:r>
                <w:rPr>
                  <w:rFonts w:hint="eastAsia"/>
                </w:rPr>
                <w:t>3.1.1一句话定位</w:t>
              </w:r>
              <w:r>
                <w:tab/>
              </w:r>
              <w:r>
                <w:fldChar w:fldCharType="begin"/>
              </w:r>
              <w:r>
                <w:instrText xml:space="preserve"> PAGEREF _Toc17126 \h </w:instrText>
              </w:r>
              <w:r>
                <w:fldChar w:fldCharType="separate"/>
              </w:r>
              <w:r>
                <w:t>23</w:t>
              </w:r>
              <w:r>
                <w:fldChar w:fldCharType="end"/>
              </w:r>
              <w:r>
                <w:fldChar w:fldCharType="end"/>
              </w:r>
            </w:p>
            <w:p w14:paraId="143C4C69">
              <w:pPr>
                <w:pStyle w:val="9"/>
                <w:tabs>
                  <w:tab w:val="right" w:leader="dot" w:pos="9746"/>
                </w:tabs>
              </w:pPr>
              <w:r>
                <w:fldChar w:fldCharType="begin"/>
              </w:r>
              <w:r>
                <w:instrText xml:space="preserve"> HYPERLINK \l _Toc3321 </w:instrText>
              </w:r>
              <w:r>
                <w:fldChar w:fldCharType="separate"/>
              </w:r>
              <w:r>
                <w:rPr>
                  <w:rFonts w:hint="eastAsia"/>
                </w:rPr>
                <w:t>3.1.2为什么是护腰而不是护髋裤</w:t>
              </w:r>
              <w:r>
                <w:tab/>
              </w:r>
              <w:r>
                <w:fldChar w:fldCharType="begin"/>
              </w:r>
              <w:r>
                <w:instrText xml:space="preserve"> PAGEREF _Toc3321 \h </w:instrText>
              </w:r>
              <w:r>
                <w:fldChar w:fldCharType="separate"/>
              </w:r>
              <w:r>
                <w:t>23</w:t>
              </w:r>
              <w:r>
                <w:fldChar w:fldCharType="end"/>
              </w:r>
              <w:r>
                <w:fldChar w:fldCharType="end"/>
              </w:r>
            </w:p>
            <w:p w14:paraId="1310AC0D">
              <w:pPr>
                <w:pStyle w:val="9"/>
                <w:tabs>
                  <w:tab w:val="right" w:leader="dot" w:pos="9746"/>
                </w:tabs>
              </w:pPr>
              <w:r>
                <w:fldChar w:fldCharType="begin"/>
              </w:r>
              <w:r>
                <w:instrText xml:space="preserve"> HYPERLINK \l _Toc10596 </w:instrText>
              </w:r>
              <w:r>
                <w:fldChar w:fldCharType="separate"/>
              </w:r>
              <w:r>
                <w:rPr>
                  <w:rFonts w:hint="eastAsia"/>
                </w:rPr>
                <w:t>3.1.3防护部位的确定</w:t>
              </w:r>
              <w:r>
                <w:tab/>
              </w:r>
              <w:r>
                <w:fldChar w:fldCharType="begin"/>
              </w:r>
              <w:r>
                <w:instrText xml:space="preserve"> PAGEREF _Toc10596 \h </w:instrText>
              </w:r>
              <w:r>
                <w:fldChar w:fldCharType="separate"/>
              </w:r>
              <w:r>
                <w:t>24</w:t>
              </w:r>
              <w:r>
                <w:fldChar w:fldCharType="end"/>
              </w:r>
              <w:r>
                <w:fldChar w:fldCharType="end"/>
              </w:r>
            </w:p>
            <w:p w14:paraId="40137765">
              <w:pPr>
                <w:pStyle w:val="9"/>
                <w:tabs>
                  <w:tab w:val="right" w:leader="dot" w:pos="9746"/>
                </w:tabs>
              </w:pPr>
              <w:r>
                <w:fldChar w:fldCharType="begin"/>
              </w:r>
              <w:r>
                <w:instrText xml:space="preserve"> HYPERLINK \l _Toc17706 </w:instrText>
              </w:r>
              <w:r>
                <w:fldChar w:fldCharType="separate"/>
              </w:r>
              <w:r>
                <w:rPr>
                  <w:rFonts w:hint="eastAsia"/>
                </w:rPr>
                <w:t>3.1.4产品属性与合规定位</w:t>
              </w:r>
              <w:r>
                <w:tab/>
              </w:r>
              <w:r>
                <w:fldChar w:fldCharType="begin"/>
              </w:r>
              <w:r>
                <w:instrText xml:space="preserve"> PAGEREF _Toc17706 \h </w:instrText>
              </w:r>
              <w:r>
                <w:fldChar w:fldCharType="separate"/>
              </w:r>
              <w:r>
                <w:t>25</w:t>
              </w:r>
              <w:r>
                <w:fldChar w:fldCharType="end"/>
              </w:r>
              <w:r>
                <w:fldChar w:fldCharType="end"/>
              </w:r>
            </w:p>
            <w:p w14:paraId="58F99C91">
              <w:pPr>
                <w:pStyle w:val="13"/>
                <w:tabs>
                  <w:tab w:val="right" w:leader="dot" w:pos="9746"/>
                </w:tabs>
              </w:pPr>
              <w:r>
                <w:fldChar w:fldCharType="begin"/>
              </w:r>
              <w:r>
                <w:instrText xml:space="preserve"> HYPERLINK \l _Toc15352 </w:instrText>
              </w:r>
              <w:r>
                <w:fldChar w:fldCharType="separate"/>
              </w:r>
              <w:r>
                <w:rPr>
                  <w:rFonts w:hint="eastAsia"/>
                </w:rPr>
                <w:t>3.2一期核心功能</w:t>
              </w:r>
              <w:r>
                <w:tab/>
              </w:r>
              <w:r>
                <w:fldChar w:fldCharType="begin"/>
              </w:r>
              <w:r>
                <w:instrText xml:space="preserve"> PAGEREF _Toc15352 \h </w:instrText>
              </w:r>
              <w:r>
                <w:fldChar w:fldCharType="separate"/>
              </w:r>
              <w:r>
                <w:t>25</w:t>
              </w:r>
              <w:r>
                <w:fldChar w:fldCharType="end"/>
              </w:r>
              <w:r>
                <w:fldChar w:fldCharType="end"/>
              </w:r>
            </w:p>
            <w:p w14:paraId="221D8652">
              <w:pPr>
                <w:pStyle w:val="9"/>
                <w:tabs>
                  <w:tab w:val="right" w:leader="dot" w:pos="9746"/>
                </w:tabs>
              </w:pPr>
              <w:r>
                <w:fldChar w:fldCharType="begin"/>
              </w:r>
              <w:r>
                <w:instrText xml:space="preserve"> HYPERLINK \l _Toc24993 </w:instrText>
              </w:r>
              <w:r>
                <w:fldChar w:fldCharType="separate"/>
              </w:r>
              <w:r>
                <w:rPr>
                  <w:rFonts w:hint="eastAsia"/>
                </w:rPr>
                <w:t>3.2.1核心卖点：临跌倒风险识别与主动气囊缓冲防护</w:t>
              </w:r>
              <w:r>
                <w:tab/>
              </w:r>
              <w:r>
                <w:fldChar w:fldCharType="begin"/>
              </w:r>
              <w:r>
                <w:instrText xml:space="preserve"> PAGEREF _Toc24993 \h </w:instrText>
              </w:r>
              <w:r>
                <w:fldChar w:fldCharType="separate"/>
              </w:r>
              <w:r>
                <w:t>25</w:t>
              </w:r>
              <w:r>
                <w:fldChar w:fldCharType="end"/>
              </w:r>
              <w:r>
                <w:fldChar w:fldCharType="end"/>
              </w:r>
            </w:p>
            <w:p w14:paraId="0EF696A1">
              <w:pPr>
                <w:pStyle w:val="9"/>
                <w:tabs>
                  <w:tab w:val="right" w:leader="dot" w:pos="9746"/>
                </w:tabs>
              </w:pPr>
              <w:r>
                <w:fldChar w:fldCharType="begin"/>
              </w:r>
              <w:r>
                <w:instrText xml:space="preserve"> HYPERLINK \l _Toc22816 </w:instrText>
              </w:r>
              <w:r>
                <w:fldChar w:fldCharType="separate"/>
              </w:r>
              <w:r>
                <w:rPr>
                  <w:rFonts w:hint="eastAsia"/>
                </w:rPr>
                <w:t>3.2.2闭环收尾：跌倒后协同响应</w:t>
              </w:r>
              <w:r>
                <w:tab/>
              </w:r>
              <w:r>
                <w:fldChar w:fldCharType="begin"/>
              </w:r>
              <w:r>
                <w:instrText xml:space="preserve"> PAGEREF _Toc22816 \h </w:instrText>
              </w:r>
              <w:r>
                <w:fldChar w:fldCharType="separate"/>
              </w:r>
              <w:r>
                <w:t>25</w:t>
              </w:r>
              <w:r>
                <w:fldChar w:fldCharType="end"/>
              </w:r>
              <w:r>
                <w:fldChar w:fldCharType="end"/>
              </w:r>
            </w:p>
            <w:p w14:paraId="63AAA3A2">
              <w:pPr>
                <w:pStyle w:val="9"/>
                <w:tabs>
                  <w:tab w:val="right" w:leader="dot" w:pos="9746"/>
                </w:tabs>
              </w:pPr>
              <w:r>
                <w:fldChar w:fldCharType="begin"/>
              </w:r>
              <w:r>
                <w:instrText xml:space="preserve"> HYPERLINK \l _Toc25891 </w:instrText>
              </w:r>
              <w:r>
                <w:fldChar w:fldCharType="separate"/>
              </w:r>
              <w:r>
                <w:rPr>
                  <w:rFonts w:hint="eastAsia"/>
                </w:rPr>
                <w:t>3.2.3依从性设计</w:t>
              </w:r>
              <w:r>
                <w:tab/>
              </w:r>
              <w:r>
                <w:fldChar w:fldCharType="begin"/>
              </w:r>
              <w:r>
                <w:instrText xml:space="preserve"> PAGEREF _Toc25891 \h </w:instrText>
              </w:r>
              <w:r>
                <w:fldChar w:fldCharType="separate"/>
              </w:r>
              <w:r>
                <w:t>26</w:t>
              </w:r>
              <w:r>
                <w:fldChar w:fldCharType="end"/>
              </w:r>
              <w:r>
                <w:fldChar w:fldCharType="end"/>
              </w:r>
            </w:p>
            <w:p w14:paraId="3B6A91B0">
              <w:pPr>
                <w:pStyle w:val="9"/>
                <w:tabs>
                  <w:tab w:val="right" w:leader="dot" w:pos="9746"/>
                </w:tabs>
              </w:pPr>
              <w:r>
                <w:fldChar w:fldCharType="begin"/>
              </w:r>
              <w:r>
                <w:instrText xml:space="preserve"> HYPERLINK \l _Toc9669 </w:instrText>
              </w:r>
              <w:r>
                <w:fldChar w:fldCharType="separate"/>
              </w:r>
              <w:r>
                <w:rPr>
                  <w:rFonts w:hint="eastAsia"/>
                </w:rPr>
                <w:t>3.2.4功能边界与分代规划</w:t>
              </w:r>
              <w:r>
                <w:tab/>
              </w:r>
              <w:r>
                <w:fldChar w:fldCharType="begin"/>
              </w:r>
              <w:r>
                <w:instrText xml:space="preserve"> PAGEREF _Toc9669 \h </w:instrText>
              </w:r>
              <w:r>
                <w:fldChar w:fldCharType="separate"/>
              </w:r>
              <w:r>
                <w:t>26</w:t>
              </w:r>
              <w:r>
                <w:fldChar w:fldCharType="end"/>
              </w:r>
              <w:r>
                <w:fldChar w:fldCharType="end"/>
              </w:r>
            </w:p>
            <w:p w14:paraId="7EB31074">
              <w:pPr>
                <w:pStyle w:val="13"/>
                <w:tabs>
                  <w:tab w:val="right" w:leader="dot" w:pos="9746"/>
                </w:tabs>
              </w:pPr>
              <w:r>
                <w:fldChar w:fldCharType="begin"/>
              </w:r>
              <w:r>
                <w:instrText xml:space="preserve"> HYPERLINK \l _Toc16717 </w:instrText>
              </w:r>
              <w:r>
                <w:fldChar w:fldCharType="separate"/>
              </w:r>
              <w:r>
                <w:rPr>
                  <w:rFonts w:hint="eastAsia"/>
                </w:rPr>
                <w:t>3.3配套软件与服务平台</w:t>
              </w:r>
              <w:r>
                <w:tab/>
              </w:r>
              <w:r>
                <w:fldChar w:fldCharType="begin"/>
              </w:r>
              <w:r>
                <w:instrText xml:space="preserve"> PAGEREF _Toc16717 \h </w:instrText>
              </w:r>
              <w:r>
                <w:fldChar w:fldCharType="separate"/>
              </w:r>
              <w:r>
                <w:t>26</w:t>
              </w:r>
              <w:r>
                <w:fldChar w:fldCharType="end"/>
              </w:r>
              <w:r>
                <w:fldChar w:fldCharType="end"/>
              </w:r>
            </w:p>
            <w:p w14:paraId="340B0BFA">
              <w:pPr>
                <w:pStyle w:val="9"/>
                <w:tabs>
                  <w:tab w:val="right" w:leader="dot" w:pos="9746"/>
                </w:tabs>
              </w:pPr>
              <w:r>
                <w:fldChar w:fldCharType="begin"/>
              </w:r>
              <w:r>
                <w:instrText xml:space="preserve"> HYPERLINK \l _Toc29729 </w:instrText>
              </w:r>
              <w:r>
                <w:fldChar w:fldCharType="separate"/>
              </w:r>
              <w:r>
                <w:rPr>
                  <w:rFonts w:hint="eastAsia"/>
                </w:rPr>
                <w:t>3.3.1软件在产品体系中的位置</w:t>
              </w:r>
              <w:r>
                <w:tab/>
              </w:r>
              <w:r>
                <w:fldChar w:fldCharType="begin"/>
              </w:r>
              <w:r>
                <w:instrText xml:space="preserve"> PAGEREF _Toc29729 \h </w:instrText>
              </w:r>
              <w:r>
                <w:fldChar w:fldCharType="separate"/>
              </w:r>
              <w:r>
                <w:t>26</w:t>
              </w:r>
              <w:r>
                <w:fldChar w:fldCharType="end"/>
              </w:r>
              <w:r>
                <w:fldChar w:fldCharType="end"/>
              </w:r>
            </w:p>
            <w:p w14:paraId="4DF36CE1">
              <w:pPr>
                <w:pStyle w:val="9"/>
                <w:tabs>
                  <w:tab w:val="right" w:leader="dot" w:pos="9746"/>
                </w:tabs>
              </w:pPr>
              <w:r>
                <w:fldChar w:fldCharType="begin"/>
              </w:r>
              <w:r>
                <w:instrText xml:space="preserve"> HYPERLINK \l _Toc12877 </w:instrText>
              </w:r>
              <w:r>
                <w:fldChar w:fldCharType="separate"/>
              </w:r>
              <w:r>
                <w:rPr>
                  <w:rFonts w:hint="eastAsia"/>
                </w:rPr>
                <w:t>3.3.2网页端管理平台</w:t>
              </w:r>
              <w:r>
                <w:tab/>
              </w:r>
              <w:r>
                <w:fldChar w:fldCharType="begin"/>
              </w:r>
              <w:r>
                <w:instrText xml:space="preserve"> PAGEREF _Toc12877 \h </w:instrText>
              </w:r>
              <w:r>
                <w:fldChar w:fldCharType="separate"/>
              </w:r>
              <w:r>
                <w:t>26</w:t>
              </w:r>
              <w:r>
                <w:fldChar w:fldCharType="end"/>
              </w:r>
              <w:r>
                <w:fldChar w:fldCharType="end"/>
              </w:r>
            </w:p>
            <w:p w14:paraId="390294D7">
              <w:pPr>
                <w:pStyle w:val="9"/>
                <w:tabs>
                  <w:tab w:val="right" w:leader="dot" w:pos="9746"/>
                </w:tabs>
              </w:pPr>
              <w:r>
                <w:fldChar w:fldCharType="begin"/>
              </w:r>
              <w:r>
                <w:instrText xml:space="preserve"> HYPERLINK \l _Toc32512 </w:instrText>
              </w:r>
              <w:r>
                <w:fldChar w:fldCharType="separate"/>
              </w:r>
              <w:r>
                <w:rPr>
                  <w:rFonts w:hint="eastAsia"/>
                </w:rPr>
                <w:t>3.3.3移动端应用</w:t>
              </w:r>
              <w:r>
                <w:tab/>
              </w:r>
              <w:r>
                <w:fldChar w:fldCharType="begin"/>
              </w:r>
              <w:r>
                <w:instrText xml:space="preserve"> PAGEREF _Toc32512 \h </w:instrText>
              </w:r>
              <w:r>
                <w:fldChar w:fldCharType="separate"/>
              </w:r>
              <w:r>
                <w:t>28</w:t>
              </w:r>
              <w:r>
                <w:fldChar w:fldCharType="end"/>
              </w:r>
              <w:r>
                <w:fldChar w:fldCharType="end"/>
              </w:r>
            </w:p>
            <w:p w14:paraId="45837A23">
              <w:pPr>
                <w:pStyle w:val="9"/>
                <w:tabs>
                  <w:tab w:val="right" w:leader="dot" w:pos="9746"/>
                </w:tabs>
              </w:pPr>
              <w:r>
                <w:fldChar w:fldCharType="begin"/>
              </w:r>
              <w:r>
                <w:instrText xml:space="preserve"> HYPERLINK \l _Toc8631 </w:instrText>
              </w:r>
              <w:r>
                <w:fldChar w:fldCharType="separate"/>
              </w:r>
              <w:r>
                <w:rPr>
                  <w:rFonts w:hint="eastAsia"/>
                </w:rPr>
                <w:t>3.3.4数据输出的边界</w:t>
              </w:r>
              <w:r>
                <w:tab/>
              </w:r>
              <w:r>
                <w:fldChar w:fldCharType="begin"/>
              </w:r>
              <w:r>
                <w:instrText xml:space="preserve"> PAGEREF _Toc8631 \h </w:instrText>
              </w:r>
              <w:r>
                <w:fldChar w:fldCharType="separate"/>
              </w:r>
              <w:r>
                <w:t>28</w:t>
              </w:r>
              <w:r>
                <w:fldChar w:fldCharType="end"/>
              </w:r>
              <w:r>
                <w:fldChar w:fldCharType="end"/>
              </w:r>
            </w:p>
            <w:p w14:paraId="330F657B">
              <w:pPr>
                <w:pStyle w:val="13"/>
                <w:tabs>
                  <w:tab w:val="right" w:leader="dot" w:pos="9746"/>
                </w:tabs>
              </w:pPr>
              <w:r>
                <w:fldChar w:fldCharType="begin"/>
              </w:r>
              <w:r>
                <w:instrText xml:space="preserve"> HYPERLINK \l _Toc973 </w:instrText>
              </w:r>
              <w:r>
                <w:fldChar w:fldCharType="separate"/>
              </w:r>
              <w:r>
                <w:rPr>
                  <w:rFonts w:hint="eastAsia"/>
                </w:rPr>
                <w:t>3.4技术路线与系统架构</w:t>
              </w:r>
              <w:r>
                <w:tab/>
              </w:r>
              <w:r>
                <w:fldChar w:fldCharType="begin"/>
              </w:r>
              <w:r>
                <w:instrText xml:space="preserve"> PAGEREF _Toc973 \h </w:instrText>
              </w:r>
              <w:r>
                <w:fldChar w:fldCharType="separate"/>
              </w:r>
              <w:r>
                <w:t>28</w:t>
              </w:r>
              <w:r>
                <w:fldChar w:fldCharType="end"/>
              </w:r>
              <w:r>
                <w:fldChar w:fldCharType="end"/>
              </w:r>
            </w:p>
            <w:p w14:paraId="2AD72950">
              <w:pPr>
                <w:pStyle w:val="13"/>
                <w:tabs>
                  <w:tab w:val="right" w:leader="dot" w:pos="9746"/>
                </w:tabs>
              </w:pPr>
              <w:r>
                <w:fldChar w:fldCharType="begin"/>
              </w:r>
              <w:r>
                <w:instrText xml:space="preserve"> HYPERLINK \l _Toc4298 </w:instrText>
              </w:r>
              <w:r>
                <w:fldChar w:fldCharType="separate"/>
              </w:r>
              <w:r>
                <w:rPr>
                  <w:rFonts w:hint="eastAsia"/>
                </w:rPr>
                <w:t>3.5关键技术难点与解决思路</w:t>
              </w:r>
              <w:r>
                <w:tab/>
              </w:r>
              <w:r>
                <w:fldChar w:fldCharType="begin"/>
              </w:r>
              <w:r>
                <w:instrText xml:space="preserve"> PAGEREF _Toc4298 \h </w:instrText>
              </w:r>
              <w:r>
                <w:fldChar w:fldCharType="separate"/>
              </w:r>
              <w:r>
                <w:t>30</w:t>
              </w:r>
              <w:r>
                <w:fldChar w:fldCharType="end"/>
              </w:r>
              <w:r>
                <w:fldChar w:fldCharType="end"/>
              </w:r>
            </w:p>
            <w:p w14:paraId="0EE051AC">
              <w:pPr>
                <w:pStyle w:val="13"/>
                <w:tabs>
                  <w:tab w:val="right" w:leader="dot" w:pos="9746"/>
                </w:tabs>
              </w:pPr>
              <w:r>
                <w:fldChar w:fldCharType="begin"/>
              </w:r>
              <w:r>
                <w:instrText xml:space="preserve"> HYPERLINK \l _Toc23116 </w:instrText>
              </w:r>
              <w:r>
                <w:fldChar w:fldCharType="separate"/>
              </w:r>
              <w:r>
                <w:rPr>
                  <w:rFonts w:hint="eastAsia"/>
                </w:rPr>
                <w:t>3.6数据基础、验证方案与当前进展</w:t>
              </w:r>
              <w:r>
                <w:tab/>
              </w:r>
              <w:r>
                <w:fldChar w:fldCharType="begin"/>
              </w:r>
              <w:r>
                <w:instrText xml:space="preserve"> PAGEREF _Toc23116 \h </w:instrText>
              </w:r>
              <w:r>
                <w:fldChar w:fldCharType="separate"/>
              </w:r>
              <w:r>
                <w:t>31</w:t>
              </w:r>
              <w:r>
                <w:fldChar w:fldCharType="end"/>
              </w:r>
              <w:r>
                <w:fldChar w:fldCharType="end"/>
              </w:r>
            </w:p>
            <w:p w14:paraId="70E56280">
              <w:pPr>
                <w:pStyle w:val="9"/>
                <w:tabs>
                  <w:tab w:val="right" w:leader="dot" w:pos="9746"/>
                </w:tabs>
              </w:pPr>
              <w:r>
                <w:fldChar w:fldCharType="begin"/>
              </w:r>
              <w:r>
                <w:instrText xml:space="preserve"> HYPERLINK \l _Toc19913 </w:instrText>
              </w:r>
              <w:r>
                <w:fldChar w:fldCharType="separate"/>
              </w:r>
              <w:r>
                <w:rPr>
                  <w:rFonts w:hint="eastAsia"/>
                </w:rPr>
                <w:t>3.6.1项目当前阶段认定</w:t>
              </w:r>
              <w:r>
                <w:tab/>
              </w:r>
              <w:r>
                <w:fldChar w:fldCharType="begin"/>
              </w:r>
              <w:r>
                <w:instrText xml:space="preserve"> PAGEREF _Toc19913 \h </w:instrText>
              </w:r>
              <w:r>
                <w:fldChar w:fldCharType="separate"/>
              </w:r>
              <w:r>
                <w:t>31</w:t>
              </w:r>
              <w:r>
                <w:fldChar w:fldCharType="end"/>
              </w:r>
              <w:r>
                <w:fldChar w:fldCharType="end"/>
              </w:r>
            </w:p>
            <w:p w14:paraId="518DCBA8">
              <w:pPr>
                <w:pStyle w:val="9"/>
                <w:tabs>
                  <w:tab w:val="right" w:leader="dot" w:pos="9746"/>
                </w:tabs>
              </w:pPr>
              <w:r>
                <w:fldChar w:fldCharType="begin"/>
              </w:r>
              <w:r>
                <w:instrText xml:space="preserve"> HYPERLINK \l _Toc24311 </w:instrText>
              </w:r>
              <w:r>
                <w:fldChar w:fldCharType="separate"/>
              </w:r>
              <w:r>
                <w:rPr>
                  <w:rFonts w:hint="eastAsia"/>
                </w:rPr>
                <w:t>3.6.2第一阶段：基于公开数据集的算法基线验证</w:t>
              </w:r>
              <w:r>
                <w:tab/>
              </w:r>
              <w:r>
                <w:fldChar w:fldCharType="begin"/>
              </w:r>
              <w:r>
                <w:instrText xml:space="preserve"> PAGEREF _Toc24311 \h </w:instrText>
              </w:r>
              <w:r>
                <w:fldChar w:fldCharType="separate"/>
              </w:r>
              <w:r>
                <w:t>32</w:t>
              </w:r>
              <w:r>
                <w:fldChar w:fldCharType="end"/>
              </w:r>
              <w:r>
                <w:fldChar w:fldCharType="end"/>
              </w:r>
            </w:p>
            <w:p w14:paraId="4BD8ED4B">
              <w:pPr>
                <w:pStyle w:val="9"/>
                <w:tabs>
                  <w:tab w:val="right" w:leader="dot" w:pos="9746"/>
                </w:tabs>
              </w:pPr>
              <w:r>
                <w:fldChar w:fldCharType="begin"/>
              </w:r>
              <w:r>
                <w:instrText xml:space="preserve"> HYPERLINK \l _Toc5481 </w:instrText>
              </w:r>
              <w:r>
                <w:fldChar w:fldCharType="separate"/>
              </w:r>
              <w:r>
                <w:rPr>
                  <w:rFonts w:hint="eastAsia"/>
                </w:rPr>
                <w:t>3.6.3数据来源合规性审查</w:t>
              </w:r>
              <w:r>
                <w:tab/>
              </w:r>
              <w:r>
                <w:fldChar w:fldCharType="begin"/>
              </w:r>
              <w:r>
                <w:instrText xml:space="preserve"> PAGEREF _Toc5481 \h </w:instrText>
              </w:r>
              <w:r>
                <w:fldChar w:fldCharType="separate"/>
              </w:r>
              <w:r>
                <w:t>32</w:t>
              </w:r>
              <w:r>
                <w:fldChar w:fldCharType="end"/>
              </w:r>
              <w:r>
                <w:fldChar w:fldCharType="end"/>
              </w:r>
            </w:p>
            <w:p w14:paraId="1B1FD349">
              <w:pPr>
                <w:pStyle w:val="9"/>
                <w:tabs>
                  <w:tab w:val="right" w:leader="dot" w:pos="9746"/>
                </w:tabs>
              </w:pPr>
              <w:r>
                <w:fldChar w:fldCharType="begin"/>
              </w:r>
              <w:r>
                <w:instrText xml:space="preserve"> HYPERLINK \l _Toc27983 </w:instrText>
              </w:r>
              <w:r>
                <w:fldChar w:fldCharType="separate"/>
              </w:r>
              <w:r>
                <w:rPr>
                  <w:rFonts w:hint="eastAsia"/>
                </w:rPr>
                <w:t>3.6.4第二阶段：自有数据采集</w:t>
              </w:r>
              <w:r>
                <w:tab/>
              </w:r>
              <w:r>
                <w:fldChar w:fldCharType="begin"/>
              </w:r>
              <w:r>
                <w:instrText xml:space="preserve"> PAGEREF _Toc27983 \h </w:instrText>
              </w:r>
              <w:r>
                <w:fldChar w:fldCharType="separate"/>
              </w:r>
              <w:r>
                <w:t>33</w:t>
              </w:r>
              <w:r>
                <w:fldChar w:fldCharType="end"/>
              </w:r>
              <w:r>
                <w:fldChar w:fldCharType="end"/>
              </w:r>
            </w:p>
            <w:p w14:paraId="65A6C8C5">
              <w:pPr>
                <w:pStyle w:val="9"/>
                <w:tabs>
                  <w:tab w:val="right" w:leader="dot" w:pos="9746"/>
                </w:tabs>
              </w:pPr>
              <w:r>
                <w:fldChar w:fldCharType="begin"/>
              </w:r>
              <w:r>
                <w:instrText xml:space="preserve"> HYPERLINK \l _Toc2142 </w:instrText>
              </w:r>
              <w:r>
                <w:fldChar w:fldCharType="separate"/>
              </w:r>
              <w:r>
                <w:rPr>
                  <w:rFonts w:hint="eastAsia"/>
                </w:rPr>
                <w:t>3.6.5实验验证方案</w:t>
              </w:r>
              <w:r>
                <w:tab/>
              </w:r>
              <w:r>
                <w:fldChar w:fldCharType="begin"/>
              </w:r>
              <w:r>
                <w:instrText xml:space="preserve"> PAGEREF _Toc2142 \h </w:instrText>
              </w:r>
              <w:r>
                <w:fldChar w:fldCharType="separate"/>
              </w:r>
              <w:r>
                <w:t>34</w:t>
              </w:r>
              <w:r>
                <w:fldChar w:fldCharType="end"/>
              </w:r>
              <w:r>
                <w:fldChar w:fldCharType="end"/>
              </w:r>
            </w:p>
            <w:p w14:paraId="0B32F073">
              <w:pPr>
                <w:pStyle w:val="9"/>
                <w:tabs>
                  <w:tab w:val="right" w:leader="dot" w:pos="9746"/>
                </w:tabs>
              </w:pPr>
              <w:r>
                <w:fldChar w:fldCharType="begin"/>
              </w:r>
              <w:r>
                <w:instrText xml:space="preserve"> HYPERLINK \l _Toc20894 </w:instrText>
              </w:r>
              <w:r>
                <w:fldChar w:fldCharType="separate"/>
              </w:r>
              <w:r>
                <w:rPr>
                  <w:rFonts w:hint="eastAsia"/>
                </w:rPr>
                <w:t>3.6.6当前完成度</w:t>
              </w:r>
              <w:r>
                <w:tab/>
              </w:r>
              <w:r>
                <w:fldChar w:fldCharType="begin"/>
              </w:r>
              <w:r>
                <w:instrText xml:space="preserve"> PAGEREF _Toc20894 \h </w:instrText>
              </w:r>
              <w:r>
                <w:fldChar w:fldCharType="separate"/>
              </w:r>
              <w:r>
                <w:t>35</w:t>
              </w:r>
              <w:r>
                <w:fldChar w:fldCharType="end"/>
              </w:r>
              <w:r>
                <w:fldChar w:fldCharType="end"/>
              </w:r>
            </w:p>
            <w:p w14:paraId="15D5E3F5">
              <w:pPr>
                <w:pStyle w:val="13"/>
                <w:tabs>
                  <w:tab w:val="right" w:leader="dot" w:pos="9746"/>
                </w:tabs>
              </w:pPr>
              <w:r>
                <w:fldChar w:fldCharType="begin"/>
              </w:r>
              <w:r>
                <w:instrText xml:space="preserve"> HYPERLINK \l _Toc24197 </w:instrText>
              </w:r>
              <w:r>
                <w:fldChar w:fldCharType="separate"/>
              </w:r>
              <w:r>
                <w:rPr>
                  <w:rFonts w:hint="eastAsia"/>
                </w:rPr>
                <w:t>3.7技术资产与竞争壁垒</w:t>
              </w:r>
              <w:r>
                <w:tab/>
              </w:r>
              <w:r>
                <w:fldChar w:fldCharType="begin"/>
              </w:r>
              <w:r>
                <w:instrText xml:space="preserve"> PAGEREF _Toc24197 \h </w:instrText>
              </w:r>
              <w:r>
                <w:fldChar w:fldCharType="separate"/>
              </w:r>
              <w:r>
                <w:t>36</w:t>
              </w:r>
              <w:r>
                <w:fldChar w:fldCharType="end"/>
              </w:r>
              <w:r>
                <w:fldChar w:fldCharType="end"/>
              </w:r>
            </w:p>
            <w:p w14:paraId="1967C2F1">
              <w:pPr>
                <w:pStyle w:val="9"/>
                <w:tabs>
                  <w:tab w:val="right" w:leader="dot" w:pos="9746"/>
                </w:tabs>
              </w:pPr>
              <w:r>
                <w:fldChar w:fldCharType="begin"/>
              </w:r>
              <w:r>
                <w:instrText xml:space="preserve"> HYPERLINK \l _Toc5640 </w:instrText>
              </w:r>
              <w:r>
                <w:fldChar w:fldCharType="separate"/>
              </w:r>
              <w:r>
                <w:rPr>
                  <w:rFonts w:hint="eastAsia"/>
                </w:rPr>
                <w:t>3.7.1资产一：运动生物力学驱动的特征工程方法论</w:t>
              </w:r>
              <w:r>
                <w:tab/>
              </w:r>
              <w:r>
                <w:fldChar w:fldCharType="begin"/>
              </w:r>
              <w:r>
                <w:instrText xml:space="preserve"> PAGEREF _Toc5640 \h </w:instrText>
              </w:r>
              <w:r>
                <w:fldChar w:fldCharType="separate"/>
              </w:r>
              <w:r>
                <w:t>36</w:t>
              </w:r>
              <w:r>
                <w:fldChar w:fldCharType="end"/>
              </w:r>
              <w:r>
                <w:fldChar w:fldCharType="end"/>
              </w:r>
            </w:p>
            <w:p w14:paraId="50FEF2EC">
              <w:pPr>
                <w:pStyle w:val="9"/>
                <w:tabs>
                  <w:tab w:val="right" w:leader="dot" w:pos="9746"/>
                </w:tabs>
              </w:pPr>
              <w:r>
                <w:fldChar w:fldCharType="begin"/>
              </w:r>
              <w:r>
                <w:instrText xml:space="preserve"> HYPERLINK \l _Toc19529 </w:instrText>
              </w:r>
              <w:r>
                <w:fldChar w:fldCharType="separate"/>
              </w:r>
              <w:r>
                <w:rPr>
                  <w:rFonts w:hint="eastAsia"/>
                </w:rPr>
                <w:t>3.7.2资产二：本土老年危险步态多模态数据集</w:t>
              </w:r>
              <w:r>
                <w:tab/>
              </w:r>
              <w:r>
                <w:fldChar w:fldCharType="begin"/>
              </w:r>
              <w:r>
                <w:instrText xml:space="preserve"> PAGEREF _Toc19529 \h </w:instrText>
              </w:r>
              <w:r>
                <w:fldChar w:fldCharType="separate"/>
              </w:r>
              <w:r>
                <w:t>37</w:t>
              </w:r>
              <w:r>
                <w:fldChar w:fldCharType="end"/>
              </w:r>
              <w:r>
                <w:fldChar w:fldCharType="end"/>
              </w:r>
            </w:p>
            <w:p w14:paraId="59EC5599">
              <w:pPr>
                <w:pStyle w:val="9"/>
                <w:tabs>
                  <w:tab w:val="right" w:leader="dot" w:pos="9746"/>
                </w:tabs>
              </w:pPr>
              <w:r>
                <w:fldChar w:fldCharType="begin"/>
              </w:r>
              <w:r>
                <w:instrText xml:space="preserve"> HYPERLINK \l _Toc27864 </w:instrText>
              </w:r>
              <w:r>
                <w:fldChar w:fldCharType="separate"/>
              </w:r>
              <w:r>
                <w:rPr>
                  <w:rFonts w:hint="eastAsia"/>
                </w:rPr>
                <w:t>3.7.3资产三：端侧轻量化推理框架</w:t>
              </w:r>
              <w:r>
                <w:tab/>
              </w:r>
              <w:r>
                <w:fldChar w:fldCharType="begin"/>
              </w:r>
              <w:r>
                <w:instrText xml:space="preserve"> PAGEREF _Toc27864 \h </w:instrText>
              </w:r>
              <w:r>
                <w:fldChar w:fldCharType="separate"/>
              </w:r>
              <w:r>
                <w:t>37</w:t>
              </w:r>
              <w:r>
                <w:fldChar w:fldCharType="end"/>
              </w:r>
              <w:r>
                <w:fldChar w:fldCharType="end"/>
              </w:r>
            </w:p>
            <w:p w14:paraId="085D7A87">
              <w:pPr>
                <w:pStyle w:val="9"/>
                <w:tabs>
                  <w:tab w:val="right" w:leader="dot" w:pos="9746"/>
                </w:tabs>
              </w:pPr>
              <w:r>
                <w:fldChar w:fldCharType="begin"/>
              </w:r>
              <w:r>
                <w:instrText xml:space="preserve"> HYPERLINK \l _Toc29738 </w:instrText>
              </w:r>
              <w:r>
                <w:fldChar w:fldCharType="separate"/>
              </w:r>
              <w:r>
                <w:rPr>
                  <w:rFonts w:hint="eastAsia"/>
                </w:rPr>
                <w:t>3.7.4技术资产的可迁移性：从防跌到运动损伤防护</w:t>
              </w:r>
              <w:r>
                <w:tab/>
              </w:r>
              <w:r>
                <w:fldChar w:fldCharType="begin"/>
              </w:r>
              <w:r>
                <w:instrText xml:space="preserve"> PAGEREF _Toc29738 \h </w:instrText>
              </w:r>
              <w:r>
                <w:fldChar w:fldCharType="separate"/>
              </w:r>
              <w:r>
                <w:t>37</w:t>
              </w:r>
              <w:r>
                <w:fldChar w:fldCharType="end"/>
              </w:r>
              <w:r>
                <w:fldChar w:fldCharType="end"/>
              </w:r>
            </w:p>
            <w:p w14:paraId="14C38347">
              <w:pPr>
                <w:pStyle w:val="13"/>
                <w:tabs>
                  <w:tab w:val="right" w:leader="dot" w:pos="9746"/>
                </w:tabs>
              </w:pPr>
              <w:r>
                <w:fldChar w:fldCharType="begin"/>
              </w:r>
              <w:r>
                <w:instrText xml:space="preserve"> HYPERLINK \l _Toc19043 </w:instrText>
              </w:r>
              <w:r>
                <w:fldChar w:fldCharType="separate"/>
              </w:r>
              <w:r>
                <w:rPr>
                  <w:rFonts w:hint="eastAsia"/>
                </w:rPr>
                <w:t>3.8知识产权与学术产出</w:t>
              </w:r>
              <w:r>
                <w:tab/>
              </w:r>
              <w:r>
                <w:fldChar w:fldCharType="begin"/>
              </w:r>
              <w:r>
                <w:instrText xml:space="preserve"> PAGEREF _Toc19043 \h </w:instrText>
              </w:r>
              <w:r>
                <w:fldChar w:fldCharType="separate"/>
              </w:r>
              <w:r>
                <w:t>38</w:t>
              </w:r>
              <w:r>
                <w:fldChar w:fldCharType="end"/>
              </w:r>
              <w:r>
                <w:fldChar w:fldCharType="end"/>
              </w:r>
            </w:p>
            <w:p w14:paraId="2AE6FDC5">
              <w:pPr>
                <w:pStyle w:val="11"/>
                <w:tabs>
                  <w:tab w:val="right" w:leader="dot" w:pos="9746"/>
                </w:tabs>
              </w:pPr>
              <w:r>
                <w:fldChar w:fldCharType="begin"/>
              </w:r>
              <w:r>
                <w:instrText xml:space="preserve"> HYPERLINK \l _Toc19864 </w:instrText>
              </w:r>
              <w:r>
                <w:fldChar w:fldCharType="separate"/>
              </w:r>
              <w:r>
                <w:rPr>
                  <w:rFonts w:hint="default"/>
                </w:rPr>
                <w:t xml:space="preserve">4. </w:t>
              </w:r>
              <w:r>
                <w:rPr>
                  <w:rFonts w:hint="eastAsia"/>
                </w:rPr>
                <w:t>商业模式</w:t>
              </w:r>
              <w:r>
                <w:tab/>
              </w:r>
              <w:r>
                <w:fldChar w:fldCharType="begin"/>
              </w:r>
              <w:r>
                <w:instrText xml:space="preserve"> PAGEREF _Toc19864 \h </w:instrText>
              </w:r>
              <w:r>
                <w:fldChar w:fldCharType="separate"/>
              </w:r>
              <w:r>
                <w:t>40</w:t>
              </w:r>
              <w:r>
                <w:fldChar w:fldCharType="end"/>
              </w:r>
              <w:r>
                <w:fldChar w:fldCharType="end"/>
              </w:r>
            </w:p>
            <w:p w14:paraId="12D78C29">
              <w:pPr>
                <w:pStyle w:val="13"/>
                <w:tabs>
                  <w:tab w:val="right" w:leader="dot" w:pos="9746"/>
                </w:tabs>
              </w:pPr>
              <w:r>
                <w:fldChar w:fldCharType="begin"/>
              </w:r>
              <w:r>
                <w:instrText xml:space="preserve"> HYPERLINK \l _Toc4873 </w:instrText>
              </w:r>
              <w:r>
                <w:fldChar w:fldCharType="separate"/>
              </w:r>
              <w:r>
                <w:rPr>
                  <w:rFonts w:hint="eastAsia"/>
                </w:rPr>
                <w:t>4.1目标客户与用户画像</w:t>
              </w:r>
              <w:r>
                <w:tab/>
              </w:r>
              <w:r>
                <w:fldChar w:fldCharType="begin"/>
              </w:r>
              <w:r>
                <w:instrText xml:space="preserve"> PAGEREF _Toc4873 \h </w:instrText>
              </w:r>
              <w:r>
                <w:fldChar w:fldCharType="separate"/>
              </w:r>
              <w:r>
                <w:t>40</w:t>
              </w:r>
              <w:r>
                <w:fldChar w:fldCharType="end"/>
              </w:r>
              <w:r>
                <w:fldChar w:fldCharType="end"/>
              </w:r>
            </w:p>
            <w:p w14:paraId="76B6AC9C">
              <w:pPr>
                <w:pStyle w:val="9"/>
                <w:tabs>
                  <w:tab w:val="right" w:leader="dot" w:pos="9746"/>
                </w:tabs>
              </w:pPr>
              <w:r>
                <w:fldChar w:fldCharType="begin"/>
              </w:r>
              <w:r>
                <w:instrText xml:space="preserve"> HYPERLINK \l _Toc29562 </w:instrText>
              </w:r>
              <w:r>
                <w:fldChar w:fldCharType="separate"/>
              </w:r>
              <w:r>
                <w:rPr>
                  <w:rFonts w:hint="eastAsia"/>
                </w:rPr>
                <w:t>4.1.1付费方与使用方分离的双边结构</w:t>
              </w:r>
              <w:r>
                <w:tab/>
              </w:r>
              <w:r>
                <w:fldChar w:fldCharType="begin"/>
              </w:r>
              <w:r>
                <w:instrText xml:space="preserve"> PAGEREF _Toc29562 \h </w:instrText>
              </w:r>
              <w:r>
                <w:fldChar w:fldCharType="separate"/>
              </w:r>
              <w:r>
                <w:t>40</w:t>
              </w:r>
              <w:r>
                <w:fldChar w:fldCharType="end"/>
              </w:r>
              <w:r>
                <w:fldChar w:fldCharType="end"/>
              </w:r>
            </w:p>
            <w:p w14:paraId="09B175F4">
              <w:pPr>
                <w:pStyle w:val="9"/>
                <w:tabs>
                  <w:tab w:val="right" w:leader="dot" w:pos="9746"/>
                </w:tabs>
              </w:pPr>
              <w:r>
                <w:fldChar w:fldCharType="begin"/>
              </w:r>
              <w:r>
                <w:instrText xml:space="preserve"> HYPERLINK \l _Toc9739 </w:instrText>
              </w:r>
              <w:r>
                <w:fldChar w:fldCharType="separate"/>
              </w:r>
              <w:r>
                <w:rPr>
                  <w:rFonts w:hint="eastAsia"/>
                </w:rPr>
                <w:t>4.1.2三类客户画像</w:t>
              </w:r>
              <w:r>
                <w:tab/>
              </w:r>
              <w:r>
                <w:fldChar w:fldCharType="begin"/>
              </w:r>
              <w:r>
                <w:instrText xml:space="preserve"> PAGEREF _Toc9739 \h </w:instrText>
              </w:r>
              <w:r>
                <w:fldChar w:fldCharType="separate"/>
              </w:r>
              <w:r>
                <w:t>40</w:t>
              </w:r>
              <w:r>
                <w:fldChar w:fldCharType="end"/>
              </w:r>
              <w:r>
                <w:fldChar w:fldCharType="end"/>
              </w:r>
            </w:p>
            <w:p w14:paraId="07FB0E9C">
              <w:pPr>
                <w:pStyle w:val="13"/>
                <w:tabs>
                  <w:tab w:val="right" w:leader="dot" w:pos="9746"/>
                </w:tabs>
              </w:pPr>
              <w:r>
                <w:fldChar w:fldCharType="begin"/>
              </w:r>
              <w:r>
                <w:instrText xml:space="preserve"> HYPERLINK \l _Toc8218 </w:instrText>
              </w:r>
              <w:r>
                <w:fldChar w:fldCharType="separate"/>
              </w:r>
              <w:r>
                <w:rPr>
                  <w:rFonts w:hint="eastAsia"/>
                </w:rPr>
                <w:t>4.2业务闭环：社区防跌安全服务模式</w:t>
              </w:r>
              <w:r>
                <w:tab/>
              </w:r>
              <w:r>
                <w:fldChar w:fldCharType="begin"/>
              </w:r>
              <w:r>
                <w:instrText xml:space="preserve"> PAGEREF _Toc8218 \h </w:instrText>
              </w:r>
              <w:r>
                <w:fldChar w:fldCharType="separate"/>
              </w:r>
              <w:r>
                <w:t>41</w:t>
              </w:r>
              <w:r>
                <w:fldChar w:fldCharType="end"/>
              </w:r>
              <w:r>
                <w:fldChar w:fldCharType="end"/>
              </w:r>
            </w:p>
            <w:p w14:paraId="27D65D0A">
              <w:pPr>
                <w:pStyle w:val="9"/>
                <w:tabs>
                  <w:tab w:val="right" w:leader="dot" w:pos="9746"/>
                </w:tabs>
              </w:pPr>
              <w:r>
                <w:fldChar w:fldCharType="begin"/>
              </w:r>
              <w:r>
                <w:instrText xml:space="preserve"> HYPERLINK \l _Toc5208 </w:instrText>
              </w:r>
              <w:r>
                <w:fldChar w:fldCharType="separate"/>
              </w:r>
              <w:r>
                <w:rPr>
                  <w:rFonts w:hint="eastAsia"/>
                </w:rPr>
                <w:t>4.2.1服务闭环的七个环节</w:t>
              </w:r>
              <w:r>
                <w:tab/>
              </w:r>
              <w:r>
                <w:fldChar w:fldCharType="begin"/>
              </w:r>
              <w:r>
                <w:instrText xml:space="preserve"> PAGEREF _Toc5208 \h </w:instrText>
              </w:r>
              <w:r>
                <w:fldChar w:fldCharType="separate"/>
              </w:r>
              <w:r>
                <w:t>41</w:t>
              </w:r>
              <w:r>
                <w:fldChar w:fldCharType="end"/>
              </w:r>
              <w:r>
                <w:fldChar w:fldCharType="end"/>
              </w:r>
            </w:p>
            <w:p w14:paraId="0F13B9EF">
              <w:pPr>
                <w:pStyle w:val="9"/>
                <w:tabs>
                  <w:tab w:val="right" w:leader="dot" w:pos="9746"/>
                </w:tabs>
              </w:pPr>
              <w:r>
                <w:fldChar w:fldCharType="begin"/>
              </w:r>
              <w:r>
                <w:instrText xml:space="preserve"> HYPERLINK \l _Toc2383 </w:instrText>
              </w:r>
              <w:r>
                <w:fldChar w:fldCharType="separate"/>
              </w:r>
              <w:r>
                <w:rPr>
                  <w:rFonts w:hint="eastAsia"/>
                </w:rPr>
                <w:t>4.2.2单个社区的落地实施节奏</w:t>
              </w:r>
              <w:r>
                <w:tab/>
              </w:r>
              <w:r>
                <w:fldChar w:fldCharType="begin"/>
              </w:r>
              <w:r>
                <w:instrText xml:space="preserve"> PAGEREF _Toc2383 \h </w:instrText>
              </w:r>
              <w:r>
                <w:fldChar w:fldCharType="separate"/>
              </w:r>
              <w:r>
                <w:t>43</w:t>
              </w:r>
              <w:r>
                <w:fldChar w:fldCharType="end"/>
              </w:r>
              <w:r>
                <w:fldChar w:fldCharType="end"/>
              </w:r>
            </w:p>
            <w:p w14:paraId="5D20F4BD">
              <w:pPr>
                <w:pStyle w:val="13"/>
                <w:tabs>
                  <w:tab w:val="right" w:leader="dot" w:pos="9746"/>
                </w:tabs>
              </w:pPr>
              <w:r>
                <w:fldChar w:fldCharType="begin"/>
              </w:r>
              <w:r>
                <w:instrText xml:space="preserve"> HYPERLINK \l _Toc2688 </w:instrText>
              </w:r>
              <w:r>
                <w:fldChar w:fldCharType="separate"/>
              </w:r>
              <w:r>
                <w:rPr>
                  <w:rFonts w:hint="eastAsia"/>
                </w:rPr>
                <w:t>4.3四项模式创新</w:t>
              </w:r>
              <w:r>
                <w:tab/>
              </w:r>
              <w:r>
                <w:fldChar w:fldCharType="begin"/>
              </w:r>
              <w:r>
                <w:instrText xml:space="preserve"> PAGEREF _Toc2688 \h </w:instrText>
              </w:r>
              <w:r>
                <w:fldChar w:fldCharType="separate"/>
              </w:r>
              <w:r>
                <w:t>44</w:t>
              </w:r>
              <w:r>
                <w:fldChar w:fldCharType="end"/>
              </w:r>
              <w:r>
                <w:fldChar w:fldCharType="end"/>
              </w:r>
            </w:p>
            <w:p w14:paraId="757A85C6">
              <w:pPr>
                <w:pStyle w:val="9"/>
                <w:tabs>
                  <w:tab w:val="right" w:leader="dot" w:pos="9746"/>
                </w:tabs>
              </w:pPr>
              <w:r>
                <w:fldChar w:fldCharType="begin"/>
              </w:r>
              <w:r>
                <w:instrText xml:space="preserve"> HYPERLINK \l _Toc10014 </w:instrText>
              </w:r>
              <w:r>
                <w:fldChar w:fldCharType="separate"/>
              </w:r>
              <w:r>
                <w:rPr>
                  <w:rFonts w:hint="eastAsia"/>
                </w:rPr>
                <w:t>4.3.1社区跌倒热力图与适老化环境改造建议</w:t>
              </w:r>
              <w:r>
                <w:tab/>
              </w:r>
              <w:r>
                <w:fldChar w:fldCharType="begin"/>
              </w:r>
              <w:r>
                <w:instrText xml:space="preserve"> PAGEREF _Toc10014 \h </w:instrText>
              </w:r>
              <w:r>
                <w:fldChar w:fldCharType="separate"/>
              </w:r>
              <w:r>
                <w:t>44</w:t>
              </w:r>
              <w:r>
                <w:fldChar w:fldCharType="end"/>
              </w:r>
              <w:r>
                <w:fldChar w:fldCharType="end"/>
              </w:r>
            </w:p>
            <w:p w14:paraId="2E7943B4">
              <w:pPr>
                <w:pStyle w:val="9"/>
                <w:tabs>
                  <w:tab w:val="right" w:leader="dot" w:pos="9746"/>
                </w:tabs>
              </w:pPr>
              <w:r>
                <w:fldChar w:fldCharType="begin"/>
              </w:r>
              <w:r>
                <w:instrText xml:space="preserve"> HYPERLINK \l _Toc28516 </w:instrText>
              </w:r>
              <w:r>
                <w:fldChar w:fldCharType="separate"/>
              </w:r>
              <w:r>
                <w:rPr>
                  <w:rFonts w:hint="eastAsia"/>
                </w:rPr>
                <w:t>4.3.2社区网格协同响应</w:t>
              </w:r>
              <w:r>
                <w:tab/>
              </w:r>
              <w:r>
                <w:fldChar w:fldCharType="begin"/>
              </w:r>
              <w:r>
                <w:instrText xml:space="preserve"> PAGEREF _Toc28516 \h </w:instrText>
              </w:r>
              <w:r>
                <w:fldChar w:fldCharType="separate"/>
              </w:r>
              <w:r>
                <w:t>45</w:t>
              </w:r>
              <w:r>
                <w:fldChar w:fldCharType="end"/>
              </w:r>
              <w:r>
                <w:fldChar w:fldCharType="end"/>
              </w:r>
            </w:p>
            <w:p w14:paraId="4DEB9836">
              <w:pPr>
                <w:pStyle w:val="9"/>
                <w:tabs>
                  <w:tab w:val="right" w:leader="dot" w:pos="9746"/>
                </w:tabs>
              </w:pPr>
              <w:r>
                <w:fldChar w:fldCharType="begin"/>
              </w:r>
              <w:r>
                <w:instrText xml:space="preserve"> HYPERLINK \l _Toc34 </w:instrText>
              </w:r>
              <w:r>
                <w:fldChar w:fldCharType="separate"/>
              </w:r>
              <w:r>
                <w:rPr>
                  <w:rFonts w:hint="eastAsia"/>
                </w:rPr>
                <w:t>4.3.3佩戴依从性的社区激励机制</w:t>
              </w:r>
              <w:r>
                <w:tab/>
              </w:r>
              <w:r>
                <w:fldChar w:fldCharType="begin"/>
              </w:r>
              <w:r>
                <w:instrText xml:space="preserve"> PAGEREF _Toc34 \h </w:instrText>
              </w:r>
              <w:r>
                <w:fldChar w:fldCharType="separate"/>
              </w:r>
              <w:r>
                <w:t>45</w:t>
              </w:r>
              <w:r>
                <w:fldChar w:fldCharType="end"/>
              </w:r>
              <w:r>
                <w:fldChar w:fldCharType="end"/>
              </w:r>
            </w:p>
            <w:p w14:paraId="1A52727D">
              <w:pPr>
                <w:pStyle w:val="9"/>
                <w:tabs>
                  <w:tab w:val="right" w:leader="dot" w:pos="9746"/>
                </w:tabs>
              </w:pPr>
              <w:r>
                <w:fldChar w:fldCharType="begin"/>
              </w:r>
              <w:r>
                <w:instrText xml:space="preserve"> HYPERLINK \l _Toc1385 </w:instrText>
              </w:r>
              <w:r>
                <w:fldChar w:fldCharType="separate"/>
              </w:r>
              <w:r>
                <w:rPr>
                  <w:rFonts w:hint="eastAsia"/>
                </w:rPr>
                <w:t>4.3.4无耗材的持有成本结构</w:t>
              </w:r>
              <w:r>
                <w:tab/>
              </w:r>
              <w:r>
                <w:fldChar w:fldCharType="begin"/>
              </w:r>
              <w:r>
                <w:instrText xml:space="preserve"> PAGEREF _Toc1385 \h </w:instrText>
              </w:r>
              <w:r>
                <w:fldChar w:fldCharType="separate"/>
              </w:r>
              <w:r>
                <w:t>45</w:t>
              </w:r>
              <w:r>
                <w:fldChar w:fldCharType="end"/>
              </w:r>
              <w:r>
                <w:fldChar w:fldCharType="end"/>
              </w:r>
            </w:p>
            <w:p w14:paraId="4F7335E1">
              <w:pPr>
                <w:pStyle w:val="13"/>
                <w:tabs>
                  <w:tab w:val="right" w:leader="dot" w:pos="9746"/>
                </w:tabs>
              </w:pPr>
              <w:r>
                <w:fldChar w:fldCharType="begin"/>
              </w:r>
              <w:r>
                <w:instrText xml:space="preserve"> HYPERLINK \l _Toc12926 </w:instrText>
              </w:r>
              <w:r>
                <w:fldChar w:fldCharType="separate"/>
              </w:r>
              <w:r>
                <w:rPr>
                  <w:rFonts w:hint="eastAsia"/>
                </w:rPr>
                <w:t>4.4盈利模式与成本结构</w:t>
              </w:r>
              <w:r>
                <w:tab/>
              </w:r>
              <w:r>
                <w:fldChar w:fldCharType="begin"/>
              </w:r>
              <w:r>
                <w:instrText xml:space="preserve"> PAGEREF _Toc12926 \h </w:instrText>
              </w:r>
              <w:r>
                <w:fldChar w:fldCharType="separate"/>
              </w:r>
              <w:r>
                <w:t>46</w:t>
              </w:r>
              <w:r>
                <w:fldChar w:fldCharType="end"/>
              </w:r>
              <w:r>
                <w:fldChar w:fldCharType="end"/>
              </w:r>
            </w:p>
            <w:p w14:paraId="26F759DE">
              <w:pPr>
                <w:pStyle w:val="9"/>
                <w:tabs>
                  <w:tab w:val="right" w:leader="dot" w:pos="9746"/>
                </w:tabs>
              </w:pPr>
              <w:r>
                <w:fldChar w:fldCharType="begin"/>
              </w:r>
              <w:r>
                <w:instrText xml:space="preserve"> HYPERLINK \l _Toc2610 </w:instrText>
              </w:r>
              <w:r>
                <w:fldChar w:fldCharType="separate"/>
              </w:r>
              <w:r>
                <w:rPr>
                  <w:rFonts w:hint="eastAsia"/>
                </w:rPr>
                <w:t>4.4.1收入结构</w:t>
              </w:r>
              <w:r>
                <w:tab/>
              </w:r>
              <w:r>
                <w:fldChar w:fldCharType="begin"/>
              </w:r>
              <w:r>
                <w:instrText xml:space="preserve"> PAGEREF _Toc2610 \h </w:instrText>
              </w:r>
              <w:r>
                <w:fldChar w:fldCharType="separate"/>
              </w:r>
              <w:r>
                <w:t>46</w:t>
              </w:r>
              <w:r>
                <w:fldChar w:fldCharType="end"/>
              </w:r>
              <w:r>
                <w:fldChar w:fldCharType="end"/>
              </w:r>
            </w:p>
            <w:p w14:paraId="44B44215">
              <w:pPr>
                <w:pStyle w:val="9"/>
                <w:tabs>
                  <w:tab w:val="right" w:leader="dot" w:pos="9746"/>
                </w:tabs>
              </w:pPr>
              <w:r>
                <w:fldChar w:fldCharType="begin"/>
              </w:r>
              <w:r>
                <w:instrText xml:space="preserve"> HYPERLINK \l _Toc25900 </w:instrText>
              </w:r>
              <w:r>
                <w:fldChar w:fldCharType="separate"/>
              </w:r>
              <w:r>
                <w:rPr>
                  <w:rFonts w:hint="eastAsia"/>
                </w:rPr>
                <w:t>4.4.2硬件成本测算</w:t>
              </w:r>
              <w:r>
                <w:tab/>
              </w:r>
              <w:r>
                <w:fldChar w:fldCharType="begin"/>
              </w:r>
              <w:r>
                <w:instrText xml:space="preserve"> PAGEREF _Toc25900 \h </w:instrText>
              </w:r>
              <w:r>
                <w:fldChar w:fldCharType="separate"/>
              </w:r>
              <w:r>
                <w:t>46</w:t>
              </w:r>
              <w:r>
                <w:fldChar w:fldCharType="end"/>
              </w:r>
              <w:r>
                <w:fldChar w:fldCharType="end"/>
              </w:r>
            </w:p>
            <w:p w14:paraId="1287E033">
              <w:pPr>
                <w:pStyle w:val="9"/>
                <w:tabs>
                  <w:tab w:val="right" w:leader="dot" w:pos="9746"/>
                </w:tabs>
              </w:pPr>
              <w:r>
                <w:fldChar w:fldCharType="begin"/>
              </w:r>
              <w:r>
                <w:instrText xml:space="preserve"> HYPERLINK \l _Toc28971 </w:instrText>
              </w:r>
              <w:r>
                <w:fldChar w:fldCharType="separate"/>
              </w:r>
              <w:r>
                <w:rPr>
                  <w:rFonts w:hint="eastAsia"/>
                </w:rPr>
                <w:t>4.4.3规模化降本路径</w:t>
              </w:r>
              <w:r>
                <w:tab/>
              </w:r>
              <w:r>
                <w:fldChar w:fldCharType="begin"/>
              </w:r>
              <w:r>
                <w:instrText xml:space="preserve"> PAGEREF _Toc28971 \h </w:instrText>
              </w:r>
              <w:r>
                <w:fldChar w:fldCharType="separate"/>
              </w:r>
              <w:r>
                <w:t>49</w:t>
              </w:r>
              <w:r>
                <w:fldChar w:fldCharType="end"/>
              </w:r>
              <w:r>
                <w:fldChar w:fldCharType="end"/>
              </w:r>
            </w:p>
            <w:p w14:paraId="33AA5495">
              <w:pPr>
                <w:pStyle w:val="13"/>
                <w:tabs>
                  <w:tab w:val="right" w:leader="dot" w:pos="9746"/>
                </w:tabs>
              </w:pPr>
              <w:r>
                <w:fldChar w:fldCharType="begin"/>
              </w:r>
              <w:r>
                <w:instrText xml:space="preserve"> HYPERLINK \l _Toc27868 </w:instrText>
              </w:r>
              <w:r>
                <w:fldChar w:fldCharType="separate"/>
              </w:r>
              <w:r>
                <w:rPr>
                  <w:rFonts w:hint="eastAsia"/>
                </w:rPr>
                <w:t>4.5定价策略与单位经济模型</w:t>
              </w:r>
              <w:r>
                <w:tab/>
              </w:r>
              <w:r>
                <w:fldChar w:fldCharType="begin"/>
              </w:r>
              <w:r>
                <w:instrText xml:space="preserve"> PAGEREF _Toc27868 \h </w:instrText>
              </w:r>
              <w:r>
                <w:fldChar w:fldCharType="separate"/>
              </w:r>
              <w:r>
                <w:t>50</w:t>
              </w:r>
              <w:r>
                <w:fldChar w:fldCharType="end"/>
              </w:r>
              <w:r>
                <w:fldChar w:fldCharType="end"/>
              </w:r>
            </w:p>
            <w:p w14:paraId="799F3090">
              <w:pPr>
                <w:pStyle w:val="9"/>
                <w:tabs>
                  <w:tab w:val="right" w:leader="dot" w:pos="9746"/>
                </w:tabs>
              </w:pPr>
              <w:r>
                <w:fldChar w:fldCharType="begin"/>
              </w:r>
              <w:r>
                <w:instrText xml:space="preserve"> HYPERLINK \l _Toc30571 </w:instrText>
              </w:r>
              <w:r>
                <w:fldChar w:fldCharType="separate"/>
              </w:r>
              <w:r>
                <w:rPr>
                  <w:rFonts w:hint="eastAsia"/>
                </w:rPr>
                <w:t>4.5.1价值锚点</w:t>
              </w:r>
              <w:r>
                <w:tab/>
              </w:r>
              <w:r>
                <w:fldChar w:fldCharType="begin"/>
              </w:r>
              <w:r>
                <w:instrText xml:space="preserve"> PAGEREF _Toc30571 \h </w:instrText>
              </w:r>
              <w:r>
                <w:fldChar w:fldCharType="separate"/>
              </w:r>
              <w:r>
                <w:t>50</w:t>
              </w:r>
              <w:r>
                <w:fldChar w:fldCharType="end"/>
              </w:r>
              <w:r>
                <w:fldChar w:fldCharType="end"/>
              </w:r>
            </w:p>
            <w:p w14:paraId="3408C4CD">
              <w:pPr>
                <w:pStyle w:val="9"/>
                <w:tabs>
                  <w:tab w:val="right" w:leader="dot" w:pos="9746"/>
                </w:tabs>
              </w:pPr>
              <w:r>
                <w:fldChar w:fldCharType="begin"/>
              </w:r>
              <w:r>
                <w:instrText xml:space="preserve"> HYPERLINK \l _Toc2250 </w:instrText>
              </w:r>
              <w:r>
                <w:fldChar w:fldCharType="separate"/>
              </w:r>
              <w:r>
                <w:rPr>
                  <w:rFonts w:hint="eastAsia"/>
                </w:rPr>
                <w:t>4.5.2分场景定价</w:t>
              </w:r>
              <w:r>
                <w:tab/>
              </w:r>
              <w:r>
                <w:fldChar w:fldCharType="begin"/>
              </w:r>
              <w:r>
                <w:instrText xml:space="preserve"> PAGEREF _Toc2250 \h </w:instrText>
              </w:r>
              <w:r>
                <w:fldChar w:fldCharType="separate"/>
              </w:r>
              <w:r>
                <w:t>50</w:t>
              </w:r>
              <w:r>
                <w:fldChar w:fldCharType="end"/>
              </w:r>
              <w:r>
                <w:fldChar w:fldCharType="end"/>
              </w:r>
            </w:p>
            <w:p w14:paraId="2323C2AE">
              <w:pPr>
                <w:pStyle w:val="9"/>
                <w:tabs>
                  <w:tab w:val="right" w:leader="dot" w:pos="9746"/>
                </w:tabs>
              </w:pPr>
              <w:r>
                <w:fldChar w:fldCharType="begin"/>
              </w:r>
              <w:r>
                <w:instrText xml:space="preserve"> HYPERLINK \l _Toc954 </w:instrText>
              </w:r>
              <w:r>
                <w:fldChar w:fldCharType="separate"/>
              </w:r>
              <w:r>
                <w:rPr>
                  <w:rFonts w:hint="eastAsia"/>
                </w:rPr>
                <w:t>4.5.3单社区经济模型</w:t>
              </w:r>
              <w:r>
                <w:tab/>
              </w:r>
              <w:r>
                <w:fldChar w:fldCharType="begin"/>
              </w:r>
              <w:r>
                <w:instrText xml:space="preserve"> PAGEREF _Toc954 \h </w:instrText>
              </w:r>
              <w:r>
                <w:fldChar w:fldCharType="separate"/>
              </w:r>
              <w:r>
                <w:t>51</w:t>
              </w:r>
              <w:r>
                <w:fldChar w:fldCharType="end"/>
              </w:r>
              <w:r>
                <w:fldChar w:fldCharType="end"/>
              </w:r>
            </w:p>
            <w:p w14:paraId="1F065C42">
              <w:pPr>
                <w:pStyle w:val="13"/>
                <w:tabs>
                  <w:tab w:val="right" w:leader="dot" w:pos="9746"/>
                </w:tabs>
              </w:pPr>
              <w:r>
                <w:fldChar w:fldCharType="begin"/>
              </w:r>
              <w:r>
                <w:instrText xml:space="preserve"> HYPERLINK \l _Toc32556 </w:instrText>
              </w:r>
              <w:r>
                <w:fldChar w:fldCharType="separate"/>
              </w:r>
              <w:r>
                <w:rPr>
                  <w:rFonts w:hint="eastAsia"/>
                </w:rPr>
                <w:t>4.6验证阶段的目标市场与推进路径</w:t>
              </w:r>
              <w:r>
                <w:tab/>
              </w:r>
              <w:r>
                <w:fldChar w:fldCharType="begin"/>
              </w:r>
              <w:r>
                <w:instrText xml:space="preserve"> PAGEREF _Toc32556 \h </w:instrText>
              </w:r>
              <w:r>
                <w:fldChar w:fldCharType="separate"/>
              </w:r>
              <w:r>
                <w:t>52</w:t>
              </w:r>
              <w:r>
                <w:fldChar w:fldCharType="end"/>
              </w:r>
              <w:r>
                <w:fldChar w:fldCharType="end"/>
              </w:r>
            </w:p>
            <w:p w14:paraId="0AFCE420">
              <w:pPr>
                <w:pStyle w:val="9"/>
                <w:tabs>
                  <w:tab w:val="right" w:leader="dot" w:pos="9746"/>
                </w:tabs>
              </w:pPr>
              <w:r>
                <w:fldChar w:fldCharType="begin"/>
              </w:r>
              <w:r>
                <w:instrText xml:space="preserve"> HYPERLINK \l _Toc7108 </w:instrText>
              </w:r>
              <w:r>
                <w:fldChar w:fldCharType="separate"/>
              </w:r>
              <w:r>
                <w:rPr>
                  <w:rFonts w:hint="eastAsia"/>
                </w:rPr>
                <w:t>4.6.1以北京体育大学为中心的海淀辐射路径</w:t>
              </w:r>
              <w:r>
                <w:tab/>
              </w:r>
              <w:r>
                <w:fldChar w:fldCharType="begin"/>
              </w:r>
              <w:r>
                <w:instrText xml:space="preserve"> PAGEREF _Toc7108 \h </w:instrText>
              </w:r>
              <w:r>
                <w:fldChar w:fldCharType="separate"/>
              </w:r>
              <w:r>
                <w:t>52</w:t>
              </w:r>
              <w:r>
                <w:fldChar w:fldCharType="end"/>
              </w:r>
              <w:r>
                <w:fldChar w:fldCharType="end"/>
              </w:r>
            </w:p>
            <w:p w14:paraId="7D88AB8F">
              <w:pPr>
                <w:pStyle w:val="9"/>
                <w:tabs>
                  <w:tab w:val="right" w:leader="dot" w:pos="9746"/>
                </w:tabs>
              </w:pPr>
              <w:r>
                <w:fldChar w:fldCharType="begin"/>
              </w:r>
              <w:r>
                <w:instrText xml:space="preserve"> HYPERLINK \l _Toc24102 </w:instrText>
              </w:r>
              <w:r>
                <w:fldChar w:fldCharType="separate"/>
              </w:r>
              <w:r>
                <w:rPr>
                  <w:rFonts w:hint="eastAsia"/>
                </w:rPr>
                <w:t>4.6.2三步推进路径</w:t>
              </w:r>
              <w:r>
                <w:tab/>
              </w:r>
              <w:r>
                <w:fldChar w:fldCharType="begin"/>
              </w:r>
              <w:r>
                <w:instrText xml:space="preserve"> PAGEREF _Toc24102 \h </w:instrText>
              </w:r>
              <w:r>
                <w:fldChar w:fldCharType="separate"/>
              </w:r>
              <w:r>
                <w:t>53</w:t>
              </w:r>
              <w:r>
                <w:fldChar w:fldCharType="end"/>
              </w:r>
              <w:r>
                <w:fldChar w:fldCharType="end"/>
              </w:r>
            </w:p>
            <w:p w14:paraId="60C145F6">
              <w:pPr>
                <w:pStyle w:val="9"/>
                <w:tabs>
                  <w:tab w:val="right" w:leader="dot" w:pos="9746"/>
                </w:tabs>
              </w:pPr>
              <w:r>
                <w:fldChar w:fldCharType="begin"/>
              </w:r>
              <w:r>
                <w:instrText xml:space="preserve"> HYPERLINK \l _Toc16304 </w:instrText>
              </w:r>
              <w:r>
                <w:fldChar w:fldCharType="separate"/>
              </w:r>
              <w:r>
                <w:rPr>
                  <w:rFonts w:hint="eastAsia"/>
                </w:rPr>
                <w:t>4.6.3模式的可复制性</w:t>
              </w:r>
              <w:r>
                <w:tab/>
              </w:r>
              <w:r>
                <w:fldChar w:fldCharType="begin"/>
              </w:r>
              <w:r>
                <w:instrText xml:space="preserve"> PAGEREF _Toc16304 \h </w:instrText>
              </w:r>
              <w:r>
                <w:fldChar w:fldCharType="separate"/>
              </w:r>
              <w:r>
                <w:t>53</w:t>
              </w:r>
              <w:r>
                <w:fldChar w:fldCharType="end"/>
              </w:r>
              <w:r>
                <w:fldChar w:fldCharType="end"/>
              </w:r>
            </w:p>
            <w:p w14:paraId="444A6CC9">
              <w:pPr>
                <w:pStyle w:val="11"/>
                <w:tabs>
                  <w:tab w:val="right" w:leader="dot" w:pos="9746"/>
                </w:tabs>
              </w:pPr>
              <w:r>
                <w:fldChar w:fldCharType="begin"/>
              </w:r>
              <w:r>
                <w:instrText xml:space="preserve"> HYPERLINK \l _Toc3442 </w:instrText>
              </w:r>
              <w:r>
                <w:fldChar w:fldCharType="separate"/>
              </w:r>
              <w:r>
                <w:rPr>
                  <w:rFonts w:hint="default"/>
                </w:rPr>
                <w:t xml:space="preserve">5. </w:t>
              </w:r>
              <w:r>
                <w:rPr>
                  <w:rFonts w:hint="eastAsia"/>
                </w:rPr>
                <w:t>营销与竞争策略</w:t>
              </w:r>
              <w:r>
                <w:tab/>
              </w:r>
              <w:r>
                <w:fldChar w:fldCharType="begin"/>
              </w:r>
              <w:r>
                <w:instrText xml:space="preserve"> PAGEREF _Toc3442 \h </w:instrText>
              </w:r>
              <w:r>
                <w:fldChar w:fldCharType="separate"/>
              </w:r>
              <w:r>
                <w:t>55</w:t>
              </w:r>
              <w:r>
                <w:fldChar w:fldCharType="end"/>
              </w:r>
              <w:r>
                <w:fldChar w:fldCharType="end"/>
              </w:r>
            </w:p>
            <w:p w14:paraId="2D9BA061">
              <w:pPr>
                <w:pStyle w:val="13"/>
                <w:tabs>
                  <w:tab w:val="right" w:leader="dot" w:pos="9746"/>
                </w:tabs>
              </w:pPr>
              <w:r>
                <w:fldChar w:fldCharType="begin"/>
              </w:r>
              <w:r>
                <w:instrText xml:space="preserve"> HYPERLINK \l _Toc18365 </w:instrText>
              </w:r>
              <w:r>
                <w:fldChar w:fldCharType="separate"/>
              </w:r>
              <w:r>
                <w:rPr>
                  <w:rFonts w:hint="eastAsia"/>
                </w:rPr>
                <w:t>5.1 SWOT分析</w:t>
              </w:r>
              <w:r>
                <w:tab/>
              </w:r>
              <w:r>
                <w:fldChar w:fldCharType="begin"/>
              </w:r>
              <w:r>
                <w:instrText xml:space="preserve"> PAGEREF _Toc18365 \h </w:instrText>
              </w:r>
              <w:r>
                <w:fldChar w:fldCharType="separate"/>
              </w:r>
              <w:r>
                <w:t>55</w:t>
              </w:r>
              <w:r>
                <w:fldChar w:fldCharType="end"/>
              </w:r>
              <w:r>
                <w:fldChar w:fldCharType="end"/>
              </w:r>
            </w:p>
            <w:p w14:paraId="36BFC4A2">
              <w:pPr>
                <w:pStyle w:val="9"/>
                <w:tabs>
                  <w:tab w:val="right" w:leader="dot" w:pos="9746"/>
                </w:tabs>
              </w:pPr>
              <w:r>
                <w:fldChar w:fldCharType="begin"/>
              </w:r>
              <w:r>
                <w:instrText xml:space="preserve"> HYPERLINK \l _Toc32276 </w:instrText>
              </w:r>
              <w:r>
                <w:fldChar w:fldCharType="separate"/>
              </w:r>
              <w:r>
                <w:rPr>
                  <w:rFonts w:hint="eastAsia"/>
                </w:rPr>
                <w:t>5.1.1优势</w:t>
              </w:r>
              <w:r>
                <w:tab/>
              </w:r>
              <w:r>
                <w:fldChar w:fldCharType="begin"/>
              </w:r>
              <w:r>
                <w:instrText xml:space="preserve"> PAGEREF _Toc32276 \h </w:instrText>
              </w:r>
              <w:r>
                <w:fldChar w:fldCharType="separate"/>
              </w:r>
              <w:r>
                <w:t>55</w:t>
              </w:r>
              <w:r>
                <w:fldChar w:fldCharType="end"/>
              </w:r>
              <w:r>
                <w:fldChar w:fldCharType="end"/>
              </w:r>
            </w:p>
            <w:p w14:paraId="21D0B361">
              <w:pPr>
                <w:pStyle w:val="9"/>
                <w:tabs>
                  <w:tab w:val="right" w:leader="dot" w:pos="9746"/>
                </w:tabs>
              </w:pPr>
              <w:r>
                <w:fldChar w:fldCharType="begin"/>
              </w:r>
              <w:r>
                <w:instrText xml:space="preserve"> HYPERLINK \l _Toc31644 </w:instrText>
              </w:r>
              <w:r>
                <w:fldChar w:fldCharType="separate"/>
              </w:r>
              <w:r>
                <w:rPr>
                  <w:rFonts w:hint="eastAsia"/>
                </w:rPr>
                <w:t>5.1.2劣势与应对</w:t>
              </w:r>
              <w:r>
                <w:tab/>
              </w:r>
              <w:r>
                <w:fldChar w:fldCharType="begin"/>
              </w:r>
              <w:r>
                <w:instrText xml:space="preserve"> PAGEREF _Toc31644 \h </w:instrText>
              </w:r>
              <w:r>
                <w:fldChar w:fldCharType="separate"/>
              </w:r>
              <w:r>
                <w:t>56</w:t>
              </w:r>
              <w:r>
                <w:fldChar w:fldCharType="end"/>
              </w:r>
              <w:r>
                <w:fldChar w:fldCharType="end"/>
              </w:r>
            </w:p>
            <w:p w14:paraId="34BF23D6">
              <w:pPr>
                <w:pStyle w:val="9"/>
                <w:tabs>
                  <w:tab w:val="right" w:leader="dot" w:pos="9746"/>
                </w:tabs>
              </w:pPr>
              <w:r>
                <w:fldChar w:fldCharType="begin"/>
              </w:r>
              <w:r>
                <w:instrText xml:space="preserve"> HYPERLINK \l _Toc28877 </w:instrText>
              </w:r>
              <w:r>
                <w:fldChar w:fldCharType="separate"/>
              </w:r>
              <w:r>
                <w:rPr>
                  <w:rFonts w:hint="eastAsia"/>
                </w:rPr>
                <w:t>5.1.3机会</w:t>
              </w:r>
              <w:r>
                <w:tab/>
              </w:r>
              <w:r>
                <w:fldChar w:fldCharType="begin"/>
              </w:r>
              <w:r>
                <w:instrText xml:space="preserve"> PAGEREF _Toc28877 \h </w:instrText>
              </w:r>
              <w:r>
                <w:fldChar w:fldCharType="separate"/>
              </w:r>
              <w:r>
                <w:t>57</w:t>
              </w:r>
              <w:r>
                <w:fldChar w:fldCharType="end"/>
              </w:r>
              <w:r>
                <w:fldChar w:fldCharType="end"/>
              </w:r>
            </w:p>
            <w:p w14:paraId="415EE2CD">
              <w:pPr>
                <w:pStyle w:val="9"/>
                <w:tabs>
                  <w:tab w:val="right" w:leader="dot" w:pos="9746"/>
                </w:tabs>
              </w:pPr>
              <w:r>
                <w:fldChar w:fldCharType="begin"/>
              </w:r>
              <w:r>
                <w:instrText xml:space="preserve"> HYPERLINK \l _Toc6542 </w:instrText>
              </w:r>
              <w:r>
                <w:fldChar w:fldCharType="separate"/>
              </w:r>
              <w:r>
                <w:rPr>
                  <w:rFonts w:hint="eastAsia"/>
                </w:rPr>
                <w:t>5.1.4威胁与防线</w:t>
              </w:r>
              <w:r>
                <w:tab/>
              </w:r>
              <w:r>
                <w:fldChar w:fldCharType="begin"/>
              </w:r>
              <w:r>
                <w:instrText xml:space="preserve"> PAGEREF _Toc6542 \h </w:instrText>
              </w:r>
              <w:r>
                <w:fldChar w:fldCharType="separate"/>
              </w:r>
              <w:r>
                <w:t>58</w:t>
              </w:r>
              <w:r>
                <w:fldChar w:fldCharType="end"/>
              </w:r>
              <w:r>
                <w:fldChar w:fldCharType="end"/>
              </w:r>
            </w:p>
            <w:p w14:paraId="06A7B95C">
              <w:pPr>
                <w:pStyle w:val="13"/>
                <w:tabs>
                  <w:tab w:val="right" w:leader="dot" w:pos="9746"/>
                </w:tabs>
              </w:pPr>
              <w:r>
                <w:fldChar w:fldCharType="begin"/>
              </w:r>
              <w:r>
                <w:instrText xml:space="preserve"> HYPERLINK \l _Toc20794 </w:instrText>
              </w:r>
              <w:r>
                <w:fldChar w:fldCharType="separate"/>
              </w:r>
              <w:r>
                <w:rPr>
                  <w:rFonts w:hint="eastAsia"/>
                </w:rPr>
                <w:t>5.2竞品与行业竞争结构</w:t>
              </w:r>
              <w:r>
                <w:tab/>
              </w:r>
              <w:r>
                <w:fldChar w:fldCharType="begin"/>
              </w:r>
              <w:r>
                <w:instrText xml:space="preserve"> PAGEREF _Toc20794 \h </w:instrText>
              </w:r>
              <w:r>
                <w:fldChar w:fldCharType="separate"/>
              </w:r>
              <w:r>
                <w:t>58</w:t>
              </w:r>
              <w:r>
                <w:fldChar w:fldCharType="end"/>
              </w:r>
              <w:r>
                <w:fldChar w:fldCharType="end"/>
              </w:r>
            </w:p>
            <w:p w14:paraId="7FCB5D1E">
              <w:pPr>
                <w:pStyle w:val="9"/>
                <w:tabs>
                  <w:tab w:val="right" w:leader="dot" w:pos="9746"/>
                </w:tabs>
              </w:pPr>
              <w:r>
                <w:fldChar w:fldCharType="begin"/>
              </w:r>
              <w:r>
                <w:instrText xml:space="preserve"> HYPERLINK \l _Toc29596 </w:instrText>
              </w:r>
              <w:r>
                <w:fldChar w:fldCharType="separate"/>
              </w:r>
              <w:r>
                <w:rPr>
                  <w:rFonts w:hint="eastAsia"/>
                </w:rPr>
                <w:t>5.2.1解决方案类别对比</w:t>
              </w:r>
              <w:r>
                <w:tab/>
              </w:r>
              <w:r>
                <w:fldChar w:fldCharType="begin"/>
              </w:r>
              <w:r>
                <w:instrText xml:space="preserve"> PAGEREF _Toc29596 \h </w:instrText>
              </w:r>
              <w:r>
                <w:fldChar w:fldCharType="separate"/>
              </w:r>
              <w:r>
                <w:t>58</w:t>
              </w:r>
              <w:r>
                <w:fldChar w:fldCharType="end"/>
              </w:r>
              <w:r>
                <w:fldChar w:fldCharType="end"/>
              </w:r>
            </w:p>
            <w:p w14:paraId="61257C7C">
              <w:pPr>
                <w:pStyle w:val="9"/>
                <w:tabs>
                  <w:tab w:val="right" w:leader="dot" w:pos="9746"/>
                </w:tabs>
              </w:pPr>
              <w:r>
                <w:fldChar w:fldCharType="begin"/>
              </w:r>
              <w:r>
                <w:instrText xml:space="preserve"> HYPERLINK \l _Toc21173 </w:instrText>
              </w:r>
              <w:r>
                <w:fldChar w:fldCharType="separate"/>
              </w:r>
              <w:r>
                <w:rPr>
                  <w:rFonts w:hint="eastAsia"/>
                </w:rPr>
                <w:t>5.2.2与国内已上市产品的直接对比</w:t>
              </w:r>
              <w:r>
                <w:tab/>
              </w:r>
              <w:r>
                <w:fldChar w:fldCharType="begin"/>
              </w:r>
              <w:r>
                <w:instrText xml:space="preserve"> PAGEREF _Toc21173 \h </w:instrText>
              </w:r>
              <w:r>
                <w:fldChar w:fldCharType="separate"/>
              </w:r>
              <w:r>
                <w:t>60</w:t>
              </w:r>
              <w:r>
                <w:fldChar w:fldCharType="end"/>
              </w:r>
              <w:r>
                <w:fldChar w:fldCharType="end"/>
              </w:r>
            </w:p>
            <w:p w14:paraId="52DDD2D8">
              <w:pPr>
                <w:pStyle w:val="9"/>
                <w:tabs>
                  <w:tab w:val="right" w:leader="dot" w:pos="9746"/>
                </w:tabs>
              </w:pPr>
              <w:r>
                <w:fldChar w:fldCharType="begin"/>
              </w:r>
              <w:r>
                <w:instrText xml:space="preserve"> HYPERLINK \l _Toc15198 </w:instrText>
              </w:r>
              <w:r>
                <w:fldChar w:fldCharType="separate"/>
              </w:r>
              <w:r>
                <w:rPr>
                  <w:rFonts w:hint="eastAsia"/>
                </w:rPr>
                <w:t>5.2.3行业竞争结构</w:t>
              </w:r>
              <w:r>
                <w:tab/>
              </w:r>
              <w:r>
                <w:fldChar w:fldCharType="begin"/>
              </w:r>
              <w:r>
                <w:instrText xml:space="preserve"> PAGEREF _Toc15198 \h </w:instrText>
              </w:r>
              <w:r>
                <w:fldChar w:fldCharType="separate"/>
              </w:r>
              <w:r>
                <w:t>61</w:t>
              </w:r>
              <w:r>
                <w:fldChar w:fldCharType="end"/>
              </w:r>
              <w:r>
                <w:fldChar w:fldCharType="end"/>
              </w:r>
            </w:p>
            <w:p w14:paraId="0FB84D3B">
              <w:pPr>
                <w:pStyle w:val="13"/>
                <w:tabs>
                  <w:tab w:val="right" w:leader="dot" w:pos="9746"/>
                </w:tabs>
              </w:pPr>
              <w:r>
                <w:fldChar w:fldCharType="begin"/>
              </w:r>
              <w:r>
                <w:instrText xml:space="preserve"> HYPERLINK \l _Toc9588 </w:instrText>
              </w:r>
              <w:r>
                <w:fldChar w:fldCharType="separate"/>
              </w:r>
              <w:r>
                <w:rPr>
                  <w:rFonts w:hint="eastAsia"/>
                </w:rPr>
                <w:t>5.3获客与转化路径</w:t>
              </w:r>
              <w:r>
                <w:tab/>
              </w:r>
              <w:r>
                <w:fldChar w:fldCharType="begin"/>
              </w:r>
              <w:r>
                <w:instrText xml:space="preserve"> PAGEREF _Toc9588 \h </w:instrText>
              </w:r>
              <w:r>
                <w:fldChar w:fldCharType="separate"/>
              </w:r>
              <w:r>
                <w:t>62</w:t>
              </w:r>
              <w:r>
                <w:fldChar w:fldCharType="end"/>
              </w:r>
              <w:r>
                <w:fldChar w:fldCharType="end"/>
              </w:r>
            </w:p>
            <w:p w14:paraId="46B12C2F">
              <w:pPr>
                <w:pStyle w:val="9"/>
                <w:tabs>
                  <w:tab w:val="right" w:leader="dot" w:pos="9746"/>
                </w:tabs>
              </w:pPr>
              <w:r>
                <w:fldChar w:fldCharType="begin"/>
              </w:r>
              <w:r>
                <w:instrText xml:space="preserve"> HYPERLINK \l _Toc6446 </w:instrText>
              </w:r>
              <w:r>
                <w:fldChar w:fldCharType="separate"/>
              </w:r>
              <w:r>
                <w:rPr>
                  <w:rFonts w:hint="eastAsia"/>
                </w:rPr>
                <w:t>5.3.1调研揭示的关键事实</w:t>
              </w:r>
              <w:r>
                <w:tab/>
              </w:r>
              <w:r>
                <w:fldChar w:fldCharType="begin"/>
              </w:r>
              <w:r>
                <w:instrText xml:space="preserve"> PAGEREF _Toc6446 \h </w:instrText>
              </w:r>
              <w:r>
                <w:fldChar w:fldCharType="separate"/>
              </w:r>
              <w:r>
                <w:t>62</w:t>
              </w:r>
              <w:r>
                <w:fldChar w:fldCharType="end"/>
              </w:r>
              <w:r>
                <w:fldChar w:fldCharType="end"/>
              </w:r>
            </w:p>
            <w:p w14:paraId="511D66B2">
              <w:pPr>
                <w:pStyle w:val="9"/>
                <w:tabs>
                  <w:tab w:val="right" w:leader="dot" w:pos="9746"/>
                </w:tabs>
              </w:pPr>
              <w:r>
                <w:fldChar w:fldCharType="begin"/>
              </w:r>
              <w:r>
                <w:instrText xml:space="preserve"> HYPERLINK \l _Toc3457 </w:instrText>
              </w:r>
              <w:r>
                <w:fldChar w:fldCharType="separate"/>
              </w:r>
              <w:r>
                <w:rPr>
                  <w:rFonts w:hint="eastAsia"/>
                </w:rPr>
                <w:t>5.3.2转化链路设计</w:t>
              </w:r>
              <w:r>
                <w:tab/>
              </w:r>
              <w:r>
                <w:fldChar w:fldCharType="begin"/>
              </w:r>
              <w:r>
                <w:instrText xml:space="preserve"> PAGEREF _Toc3457 \h </w:instrText>
              </w:r>
              <w:r>
                <w:fldChar w:fldCharType="separate"/>
              </w:r>
              <w:r>
                <w:t>63</w:t>
              </w:r>
              <w:r>
                <w:fldChar w:fldCharType="end"/>
              </w:r>
              <w:r>
                <w:fldChar w:fldCharType="end"/>
              </w:r>
            </w:p>
            <w:p w14:paraId="2D915EF1">
              <w:pPr>
                <w:pStyle w:val="9"/>
                <w:tabs>
                  <w:tab w:val="right" w:leader="dot" w:pos="9746"/>
                </w:tabs>
              </w:pPr>
              <w:r>
                <w:fldChar w:fldCharType="begin"/>
              </w:r>
              <w:r>
                <w:instrText xml:space="preserve"> HYPERLINK \l _Toc20919 </w:instrText>
              </w:r>
              <w:r>
                <w:fldChar w:fldCharType="separate"/>
              </w:r>
              <w:r>
                <w:rPr>
                  <w:rFonts w:hint="eastAsia"/>
                </w:rPr>
                <w:t>5.3.3两套价值主张</w:t>
              </w:r>
              <w:r>
                <w:tab/>
              </w:r>
              <w:r>
                <w:fldChar w:fldCharType="begin"/>
              </w:r>
              <w:r>
                <w:instrText xml:space="preserve"> PAGEREF _Toc20919 \h </w:instrText>
              </w:r>
              <w:r>
                <w:fldChar w:fldCharType="separate"/>
              </w:r>
              <w:r>
                <w:t>64</w:t>
              </w:r>
              <w:r>
                <w:fldChar w:fldCharType="end"/>
              </w:r>
              <w:r>
                <w:fldChar w:fldCharType="end"/>
              </w:r>
            </w:p>
            <w:p w14:paraId="100F2533">
              <w:pPr>
                <w:pStyle w:val="9"/>
                <w:tabs>
                  <w:tab w:val="right" w:leader="dot" w:pos="9746"/>
                </w:tabs>
              </w:pPr>
              <w:r>
                <w:fldChar w:fldCharType="begin"/>
              </w:r>
              <w:r>
                <w:instrText xml:space="preserve"> HYPERLINK \l _Toc12919 </w:instrText>
              </w:r>
              <w:r>
                <w:fldChar w:fldCharType="separate"/>
              </w:r>
              <w:r>
                <w:rPr>
                  <w:rFonts w:hint="eastAsia"/>
                </w:rPr>
                <w:t>5.3.4传播中的表述纪律</w:t>
              </w:r>
              <w:r>
                <w:tab/>
              </w:r>
              <w:r>
                <w:fldChar w:fldCharType="begin"/>
              </w:r>
              <w:r>
                <w:instrText xml:space="preserve"> PAGEREF _Toc12919 \h </w:instrText>
              </w:r>
              <w:r>
                <w:fldChar w:fldCharType="separate"/>
              </w:r>
              <w:r>
                <w:t>64</w:t>
              </w:r>
              <w:r>
                <w:fldChar w:fldCharType="end"/>
              </w:r>
              <w:r>
                <w:fldChar w:fldCharType="end"/>
              </w:r>
            </w:p>
            <w:p w14:paraId="5E8468D0">
              <w:pPr>
                <w:pStyle w:val="13"/>
                <w:tabs>
                  <w:tab w:val="right" w:leader="dot" w:pos="9746"/>
                </w:tabs>
              </w:pPr>
              <w:r>
                <w:fldChar w:fldCharType="begin"/>
              </w:r>
              <w:r>
                <w:instrText xml:space="preserve"> HYPERLINK \l _Toc5443 </w:instrText>
              </w:r>
              <w:r>
                <w:fldChar w:fldCharType="separate"/>
              </w:r>
              <w:r>
                <w:rPr>
                  <w:rFonts w:hint="eastAsia"/>
                </w:rPr>
                <w:t>5.4推广渠道体系</w:t>
              </w:r>
              <w:r>
                <w:tab/>
              </w:r>
              <w:r>
                <w:fldChar w:fldCharType="begin"/>
              </w:r>
              <w:r>
                <w:instrText xml:space="preserve"> PAGEREF _Toc5443 \h </w:instrText>
              </w:r>
              <w:r>
                <w:fldChar w:fldCharType="separate"/>
              </w:r>
              <w:r>
                <w:t>64</w:t>
              </w:r>
              <w:r>
                <w:fldChar w:fldCharType="end"/>
              </w:r>
              <w:r>
                <w:fldChar w:fldCharType="end"/>
              </w:r>
            </w:p>
            <w:p w14:paraId="258FDC24">
              <w:pPr>
                <w:pStyle w:val="13"/>
                <w:tabs>
                  <w:tab w:val="right" w:leader="dot" w:pos="9746"/>
                </w:tabs>
              </w:pPr>
              <w:r>
                <w:fldChar w:fldCharType="begin"/>
              </w:r>
              <w:r>
                <w:instrText xml:space="preserve"> HYPERLINK \l _Toc30252 </w:instrText>
              </w:r>
              <w:r>
                <w:fldChar w:fldCharType="separate"/>
              </w:r>
              <w:r>
                <w:rPr>
                  <w:rFonts w:hint="eastAsia"/>
                </w:rPr>
                <w:t>5.5定价策略与转化设计</w:t>
              </w:r>
              <w:r>
                <w:tab/>
              </w:r>
              <w:r>
                <w:fldChar w:fldCharType="begin"/>
              </w:r>
              <w:r>
                <w:instrText xml:space="preserve"> PAGEREF _Toc30252 \h </w:instrText>
              </w:r>
              <w:r>
                <w:fldChar w:fldCharType="separate"/>
              </w:r>
              <w:r>
                <w:t>65</w:t>
              </w:r>
              <w:r>
                <w:fldChar w:fldCharType="end"/>
              </w:r>
              <w:r>
                <w:fldChar w:fldCharType="end"/>
              </w:r>
            </w:p>
            <w:p w14:paraId="16991395">
              <w:pPr>
                <w:pStyle w:val="9"/>
                <w:tabs>
                  <w:tab w:val="right" w:leader="dot" w:pos="9746"/>
                </w:tabs>
              </w:pPr>
              <w:r>
                <w:fldChar w:fldCharType="begin"/>
              </w:r>
              <w:r>
                <w:instrText xml:space="preserve"> HYPERLINK \l _Toc11831 </w:instrText>
              </w:r>
              <w:r>
                <w:fldChar w:fldCharType="separate"/>
              </w:r>
              <w:r>
                <w:rPr>
                  <w:rFonts w:hint="eastAsia"/>
                </w:rPr>
                <w:t>5.5.1调研揭示的支付意愿</w:t>
              </w:r>
              <w:r>
                <w:tab/>
              </w:r>
              <w:r>
                <w:fldChar w:fldCharType="begin"/>
              </w:r>
              <w:r>
                <w:instrText xml:space="preserve"> PAGEREF _Toc11831 \h </w:instrText>
              </w:r>
              <w:r>
                <w:fldChar w:fldCharType="separate"/>
              </w:r>
              <w:r>
                <w:t>65</w:t>
              </w:r>
              <w:r>
                <w:fldChar w:fldCharType="end"/>
              </w:r>
              <w:r>
                <w:fldChar w:fldCharType="end"/>
              </w:r>
            </w:p>
            <w:p w14:paraId="1640D7DC">
              <w:pPr>
                <w:pStyle w:val="9"/>
                <w:tabs>
                  <w:tab w:val="right" w:leader="dot" w:pos="9746"/>
                </w:tabs>
              </w:pPr>
              <w:r>
                <w:fldChar w:fldCharType="begin"/>
              </w:r>
              <w:r>
                <w:instrText xml:space="preserve"> HYPERLINK \l _Toc20916 </w:instrText>
              </w:r>
              <w:r>
                <w:fldChar w:fldCharType="separate"/>
              </w:r>
              <w:r>
                <w:rPr>
                  <w:rFonts w:hint="eastAsia"/>
                </w:rPr>
                <w:t>5.5.2分场景定价</w:t>
              </w:r>
              <w:r>
                <w:tab/>
              </w:r>
              <w:r>
                <w:fldChar w:fldCharType="begin"/>
              </w:r>
              <w:r>
                <w:instrText xml:space="preserve"> PAGEREF _Toc20916 \h </w:instrText>
              </w:r>
              <w:r>
                <w:fldChar w:fldCharType="separate"/>
              </w:r>
              <w:r>
                <w:t>65</w:t>
              </w:r>
              <w:r>
                <w:fldChar w:fldCharType="end"/>
              </w:r>
              <w:r>
                <w:fldChar w:fldCharType="end"/>
              </w:r>
            </w:p>
            <w:p w14:paraId="657EA0D4">
              <w:pPr>
                <w:pStyle w:val="9"/>
                <w:tabs>
                  <w:tab w:val="right" w:leader="dot" w:pos="9746"/>
                </w:tabs>
              </w:pPr>
              <w:r>
                <w:fldChar w:fldCharType="begin"/>
              </w:r>
              <w:r>
                <w:instrText xml:space="preserve"> HYPERLINK \l _Toc12437 </w:instrText>
              </w:r>
              <w:r>
                <w:fldChar w:fldCharType="separate"/>
              </w:r>
              <w:r>
                <w:rPr>
                  <w:rFonts w:hint="eastAsia"/>
                </w:rPr>
                <w:t>5.5.3转化阻力与对策</w:t>
              </w:r>
              <w:r>
                <w:tab/>
              </w:r>
              <w:r>
                <w:fldChar w:fldCharType="begin"/>
              </w:r>
              <w:r>
                <w:instrText xml:space="preserve"> PAGEREF _Toc12437 \h </w:instrText>
              </w:r>
              <w:r>
                <w:fldChar w:fldCharType="separate"/>
              </w:r>
              <w:r>
                <w:t>66</w:t>
              </w:r>
              <w:r>
                <w:fldChar w:fldCharType="end"/>
              </w:r>
              <w:r>
                <w:fldChar w:fldCharType="end"/>
              </w:r>
            </w:p>
            <w:p w14:paraId="118588CA">
              <w:pPr>
                <w:pStyle w:val="11"/>
                <w:tabs>
                  <w:tab w:val="right" w:leader="dot" w:pos="9746"/>
                </w:tabs>
              </w:pPr>
              <w:r>
                <w:fldChar w:fldCharType="begin"/>
              </w:r>
              <w:r>
                <w:instrText xml:space="preserve"> HYPERLINK \l _Toc29528 </w:instrText>
              </w:r>
              <w:r>
                <w:fldChar w:fldCharType="separate"/>
              </w:r>
              <w:r>
                <w:rPr>
                  <w:rFonts w:hint="default"/>
                </w:rPr>
                <w:t xml:space="preserve">6. </w:t>
              </w:r>
              <w:r>
                <w:rPr>
                  <w:rFonts w:hint="eastAsia"/>
                </w:rPr>
                <w:t>项目团队</w:t>
              </w:r>
              <w:r>
                <w:tab/>
              </w:r>
              <w:r>
                <w:fldChar w:fldCharType="begin"/>
              </w:r>
              <w:r>
                <w:instrText xml:space="preserve"> PAGEREF _Toc29528 \h </w:instrText>
              </w:r>
              <w:r>
                <w:fldChar w:fldCharType="separate"/>
              </w:r>
              <w:r>
                <w:t>68</w:t>
              </w:r>
              <w:r>
                <w:fldChar w:fldCharType="end"/>
              </w:r>
              <w:r>
                <w:fldChar w:fldCharType="end"/>
              </w:r>
            </w:p>
            <w:p w14:paraId="05174080">
              <w:pPr>
                <w:pStyle w:val="13"/>
                <w:tabs>
                  <w:tab w:val="right" w:leader="dot" w:pos="9746"/>
                </w:tabs>
              </w:pPr>
              <w:r>
                <w:fldChar w:fldCharType="begin"/>
              </w:r>
              <w:r>
                <w:instrText xml:space="preserve"> HYPERLINK \l _Toc6792 </w:instrText>
              </w:r>
              <w:r>
                <w:fldChar w:fldCharType="separate"/>
              </w:r>
              <w:r>
                <w:rPr>
                  <w:rFonts w:hint="eastAsia"/>
                </w:rPr>
                <w:t>6.1团队概况</w:t>
              </w:r>
              <w:r>
                <w:tab/>
              </w:r>
              <w:r>
                <w:fldChar w:fldCharType="begin"/>
              </w:r>
              <w:r>
                <w:instrText xml:space="preserve"> PAGEREF _Toc6792 \h </w:instrText>
              </w:r>
              <w:r>
                <w:fldChar w:fldCharType="separate"/>
              </w:r>
              <w:r>
                <w:t>68</w:t>
              </w:r>
              <w:r>
                <w:fldChar w:fldCharType="end"/>
              </w:r>
              <w:r>
                <w:fldChar w:fldCharType="end"/>
              </w:r>
            </w:p>
            <w:p w14:paraId="1E45882D">
              <w:pPr>
                <w:pStyle w:val="13"/>
                <w:tabs>
                  <w:tab w:val="right" w:leader="dot" w:pos="9746"/>
                </w:tabs>
              </w:pPr>
              <w:r>
                <w:fldChar w:fldCharType="begin"/>
              </w:r>
              <w:r>
                <w:instrText xml:space="preserve"> HYPERLINK \l _Toc28031 </w:instrText>
              </w:r>
              <w:r>
                <w:fldChar w:fldCharType="separate"/>
              </w:r>
              <w:r>
                <w:rPr>
                  <w:rFonts w:hint="eastAsia"/>
                </w:rPr>
                <w:t>6.2组建过程与组建原则</w:t>
              </w:r>
              <w:r>
                <w:tab/>
              </w:r>
              <w:r>
                <w:fldChar w:fldCharType="begin"/>
              </w:r>
              <w:r>
                <w:instrText xml:space="preserve"> PAGEREF _Toc28031 \h </w:instrText>
              </w:r>
              <w:r>
                <w:fldChar w:fldCharType="separate"/>
              </w:r>
              <w:r>
                <w:t>68</w:t>
              </w:r>
              <w:r>
                <w:fldChar w:fldCharType="end"/>
              </w:r>
              <w:r>
                <w:fldChar w:fldCharType="end"/>
              </w:r>
            </w:p>
            <w:p w14:paraId="0B4DF840">
              <w:pPr>
                <w:pStyle w:val="13"/>
                <w:tabs>
                  <w:tab w:val="right" w:leader="dot" w:pos="9746"/>
                </w:tabs>
              </w:pPr>
              <w:r>
                <w:fldChar w:fldCharType="begin"/>
              </w:r>
              <w:r>
                <w:instrText xml:space="preserve"> HYPERLINK \l _Toc5691 </w:instrText>
              </w:r>
              <w:r>
                <w:fldChar w:fldCharType="separate"/>
              </w:r>
              <w:r>
                <w:rPr>
                  <w:rFonts w:hint="eastAsia"/>
                </w:rPr>
                <w:t>6.3团队结构与能力矩阵</w:t>
              </w:r>
              <w:r>
                <w:tab/>
              </w:r>
              <w:r>
                <w:fldChar w:fldCharType="begin"/>
              </w:r>
              <w:r>
                <w:instrText xml:space="preserve"> PAGEREF _Toc5691 \h </w:instrText>
              </w:r>
              <w:r>
                <w:fldChar w:fldCharType="separate"/>
              </w:r>
              <w:r>
                <w:t>69</w:t>
              </w:r>
              <w:r>
                <w:fldChar w:fldCharType="end"/>
              </w:r>
              <w:r>
                <w:fldChar w:fldCharType="end"/>
              </w:r>
            </w:p>
            <w:p w14:paraId="58C6A571">
              <w:pPr>
                <w:pStyle w:val="9"/>
                <w:tabs>
                  <w:tab w:val="right" w:leader="dot" w:pos="9746"/>
                </w:tabs>
              </w:pPr>
              <w:r>
                <w:fldChar w:fldCharType="begin"/>
              </w:r>
              <w:r>
                <w:instrText xml:space="preserve"> HYPERLINK \l _Toc1427 </w:instrText>
              </w:r>
              <w:r>
                <w:fldChar w:fldCharType="separate"/>
              </w:r>
              <w:r>
                <w:rPr>
                  <w:rFonts w:hint="eastAsia"/>
                </w:rPr>
                <w:t>6.3.1六个能力方向</w:t>
              </w:r>
              <w:r>
                <w:tab/>
              </w:r>
              <w:r>
                <w:fldChar w:fldCharType="begin"/>
              </w:r>
              <w:r>
                <w:instrText xml:space="preserve"> PAGEREF _Toc1427 \h </w:instrText>
              </w:r>
              <w:r>
                <w:fldChar w:fldCharType="separate"/>
              </w:r>
              <w:r>
                <w:t>69</w:t>
              </w:r>
              <w:r>
                <w:fldChar w:fldCharType="end"/>
              </w:r>
              <w:r>
                <w:fldChar w:fldCharType="end"/>
              </w:r>
            </w:p>
            <w:p w14:paraId="0D2FF757">
              <w:pPr>
                <w:pStyle w:val="9"/>
                <w:tabs>
                  <w:tab w:val="right" w:leader="dot" w:pos="9746"/>
                </w:tabs>
              </w:pPr>
              <w:r>
                <w:fldChar w:fldCharType="begin"/>
              </w:r>
              <w:r>
                <w:instrText xml:space="preserve"> HYPERLINK \l _Toc20370 </w:instrText>
              </w:r>
              <w:r>
                <w:fldChar w:fldCharType="separate"/>
              </w:r>
              <w:r>
                <w:rPr>
                  <w:rFonts w:hint="eastAsia"/>
                </w:rPr>
                <w:t>6.3.2成员一览</w:t>
              </w:r>
              <w:r>
                <w:tab/>
              </w:r>
              <w:r>
                <w:fldChar w:fldCharType="begin"/>
              </w:r>
              <w:r>
                <w:instrText xml:space="preserve"> PAGEREF _Toc20370 \h </w:instrText>
              </w:r>
              <w:r>
                <w:fldChar w:fldCharType="separate"/>
              </w:r>
              <w:r>
                <w:t>69</w:t>
              </w:r>
              <w:r>
                <w:fldChar w:fldCharType="end"/>
              </w:r>
              <w:r>
                <w:fldChar w:fldCharType="end"/>
              </w:r>
            </w:p>
            <w:p w14:paraId="2871A4FE">
              <w:pPr>
                <w:pStyle w:val="13"/>
                <w:tabs>
                  <w:tab w:val="right" w:leader="dot" w:pos="9746"/>
                </w:tabs>
              </w:pPr>
              <w:r>
                <w:fldChar w:fldCharType="begin"/>
              </w:r>
              <w:r>
                <w:instrText xml:space="preserve"> HYPERLINK \l _Toc27504 </w:instrText>
              </w:r>
              <w:r>
                <w:fldChar w:fldCharType="separate"/>
              </w:r>
              <w:r>
                <w:rPr>
                  <w:rFonts w:hint="eastAsia"/>
                </w:rPr>
                <w:t>6.4核心成员与实质贡献</w:t>
              </w:r>
              <w:r>
                <w:tab/>
              </w:r>
              <w:r>
                <w:fldChar w:fldCharType="begin"/>
              </w:r>
              <w:r>
                <w:instrText xml:space="preserve"> PAGEREF _Toc27504 \h </w:instrText>
              </w:r>
              <w:r>
                <w:fldChar w:fldCharType="separate"/>
              </w:r>
              <w:r>
                <w:t>70</w:t>
              </w:r>
              <w:r>
                <w:fldChar w:fldCharType="end"/>
              </w:r>
              <w:r>
                <w:fldChar w:fldCharType="end"/>
              </w:r>
            </w:p>
            <w:p w14:paraId="0074F11A">
              <w:pPr>
                <w:pStyle w:val="9"/>
                <w:tabs>
                  <w:tab w:val="right" w:leader="dot" w:pos="9746"/>
                </w:tabs>
              </w:pPr>
              <w:r>
                <w:fldChar w:fldCharType="begin"/>
              </w:r>
              <w:r>
                <w:instrText xml:space="preserve"> HYPERLINK \l _Toc9338 </w:instrText>
              </w:r>
              <w:r>
                <w:fldChar w:fldCharType="separate"/>
              </w:r>
              <w:r>
                <w:rPr>
                  <w:rFonts w:hint="eastAsia"/>
                </w:rPr>
                <w:t>6.4.1工程与信息组</w:t>
              </w:r>
              <w:r>
                <w:tab/>
              </w:r>
              <w:r>
                <w:fldChar w:fldCharType="begin"/>
              </w:r>
              <w:r>
                <w:instrText xml:space="preserve"> PAGEREF _Toc9338 \h </w:instrText>
              </w:r>
              <w:r>
                <w:fldChar w:fldCharType="separate"/>
              </w:r>
              <w:r>
                <w:t>70</w:t>
              </w:r>
              <w:r>
                <w:fldChar w:fldCharType="end"/>
              </w:r>
              <w:r>
                <w:fldChar w:fldCharType="end"/>
              </w:r>
            </w:p>
            <w:p w14:paraId="36C34697">
              <w:pPr>
                <w:pStyle w:val="9"/>
                <w:tabs>
                  <w:tab w:val="right" w:leader="dot" w:pos="9746"/>
                </w:tabs>
              </w:pPr>
              <w:r>
                <w:fldChar w:fldCharType="begin"/>
              </w:r>
              <w:r>
                <w:instrText xml:space="preserve"> HYPERLINK \l _Toc9434 </w:instrText>
              </w:r>
              <w:r>
                <w:fldChar w:fldCharType="separate"/>
              </w:r>
              <w:r>
                <w:rPr>
                  <w:rFonts w:hint="eastAsia"/>
                </w:rPr>
                <w:t>6.4.2运动科学与医学康复组</w:t>
              </w:r>
              <w:r>
                <w:tab/>
              </w:r>
              <w:r>
                <w:fldChar w:fldCharType="begin"/>
              </w:r>
              <w:r>
                <w:instrText xml:space="preserve"> PAGEREF _Toc9434 \h </w:instrText>
              </w:r>
              <w:r>
                <w:fldChar w:fldCharType="separate"/>
              </w:r>
              <w:r>
                <w:t>71</w:t>
              </w:r>
              <w:r>
                <w:fldChar w:fldCharType="end"/>
              </w:r>
              <w:r>
                <w:fldChar w:fldCharType="end"/>
              </w:r>
            </w:p>
            <w:p w14:paraId="7403A1F8">
              <w:pPr>
                <w:pStyle w:val="9"/>
                <w:tabs>
                  <w:tab w:val="right" w:leader="dot" w:pos="9746"/>
                </w:tabs>
              </w:pPr>
              <w:r>
                <w:fldChar w:fldCharType="begin"/>
              </w:r>
              <w:r>
                <w:instrText xml:space="preserve"> HYPERLINK \l _Toc27886 </w:instrText>
              </w:r>
              <w:r>
                <w:fldChar w:fldCharType="separate"/>
              </w:r>
              <w:r>
                <w:rPr>
                  <w:rFonts w:hint="eastAsia"/>
                </w:rPr>
                <w:t>6.4.3实践运营与跨校协同组</w:t>
              </w:r>
              <w:r>
                <w:tab/>
              </w:r>
              <w:r>
                <w:fldChar w:fldCharType="begin"/>
              </w:r>
              <w:r>
                <w:instrText xml:space="preserve"> PAGEREF _Toc27886 \h </w:instrText>
              </w:r>
              <w:r>
                <w:fldChar w:fldCharType="separate"/>
              </w:r>
              <w:r>
                <w:t>72</w:t>
              </w:r>
              <w:r>
                <w:fldChar w:fldCharType="end"/>
              </w:r>
              <w:r>
                <w:fldChar w:fldCharType="end"/>
              </w:r>
            </w:p>
            <w:p w14:paraId="6621967C">
              <w:pPr>
                <w:pStyle w:val="13"/>
                <w:tabs>
                  <w:tab w:val="right" w:leader="dot" w:pos="9746"/>
                </w:tabs>
              </w:pPr>
              <w:r>
                <w:fldChar w:fldCharType="begin"/>
              </w:r>
              <w:r>
                <w:instrText xml:space="preserve"> HYPERLINK \l _Toc5641 </w:instrText>
              </w:r>
              <w:r>
                <w:fldChar w:fldCharType="separate"/>
              </w:r>
              <w:r>
                <w:rPr>
                  <w:rFonts w:hint="eastAsia"/>
                </w:rPr>
                <w:t>6.5指导教师</w:t>
              </w:r>
              <w:r>
                <w:tab/>
              </w:r>
              <w:r>
                <w:fldChar w:fldCharType="begin"/>
              </w:r>
              <w:r>
                <w:instrText xml:space="preserve"> PAGEREF _Toc5641 \h </w:instrText>
              </w:r>
              <w:r>
                <w:fldChar w:fldCharType="separate"/>
              </w:r>
              <w:r>
                <w:t>74</w:t>
              </w:r>
              <w:r>
                <w:fldChar w:fldCharType="end"/>
              </w:r>
              <w:r>
                <w:fldChar w:fldCharType="end"/>
              </w:r>
            </w:p>
            <w:p w14:paraId="2C4280A7">
              <w:pPr>
                <w:pStyle w:val="13"/>
                <w:tabs>
                  <w:tab w:val="right" w:leader="dot" w:pos="9746"/>
                </w:tabs>
              </w:pPr>
              <w:r>
                <w:fldChar w:fldCharType="begin"/>
              </w:r>
              <w:r>
                <w:instrText xml:space="preserve"> HYPERLINK \l _Toc16351 </w:instrText>
              </w:r>
              <w:r>
                <w:fldChar w:fldCharType="separate"/>
              </w:r>
              <w:r>
                <w:rPr>
                  <w:rFonts w:hint="eastAsia"/>
                </w:rPr>
                <w:t>6.6协作机制</w:t>
              </w:r>
              <w:r>
                <w:tab/>
              </w:r>
              <w:r>
                <w:fldChar w:fldCharType="begin"/>
              </w:r>
              <w:r>
                <w:instrText xml:space="preserve"> PAGEREF _Toc16351 \h </w:instrText>
              </w:r>
              <w:r>
                <w:fldChar w:fldCharType="separate"/>
              </w:r>
              <w:r>
                <w:t>75</w:t>
              </w:r>
              <w:r>
                <w:fldChar w:fldCharType="end"/>
              </w:r>
              <w:r>
                <w:fldChar w:fldCharType="end"/>
              </w:r>
            </w:p>
            <w:p w14:paraId="3EBD7267">
              <w:pPr>
                <w:pStyle w:val="9"/>
                <w:tabs>
                  <w:tab w:val="right" w:leader="dot" w:pos="9746"/>
                </w:tabs>
              </w:pPr>
              <w:r>
                <w:fldChar w:fldCharType="begin"/>
              </w:r>
              <w:r>
                <w:instrText xml:space="preserve"> HYPERLINK \l _Toc5979 </w:instrText>
              </w:r>
              <w:r>
                <w:fldChar w:fldCharType="separate"/>
              </w:r>
              <w:r>
                <w:rPr>
                  <w:rFonts w:hint="eastAsia"/>
                </w:rPr>
                <w:t>6.6.1激励制度</w:t>
              </w:r>
              <w:r>
                <w:tab/>
              </w:r>
              <w:r>
                <w:fldChar w:fldCharType="begin"/>
              </w:r>
              <w:r>
                <w:instrText xml:space="preserve"> PAGEREF _Toc5979 \h </w:instrText>
              </w:r>
              <w:r>
                <w:fldChar w:fldCharType="separate"/>
              </w:r>
              <w:r>
                <w:t>75</w:t>
              </w:r>
              <w:r>
                <w:fldChar w:fldCharType="end"/>
              </w:r>
              <w:r>
                <w:fldChar w:fldCharType="end"/>
              </w:r>
            </w:p>
            <w:p w14:paraId="189158F4">
              <w:pPr>
                <w:pStyle w:val="13"/>
                <w:tabs>
                  <w:tab w:val="right" w:leader="dot" w:pos="9746"/>
                </w:tabs>
              </w:pPr>
              <w:r>
                <w:fldChar w:fldCharType="begin"/>
              </w:r>
              <w:r>
                <w:instrText xml:space="preserve"> HYPERLINK \l _Toc1182 </w:instrText>
              </w:r>
              <w:r>
                <w:fldChar w:fldCharType="separate"/>
              </w:r>
              <w:r>
                <w:rPr>
                  <w:rFonts w:hint="eastAsia"/>
                </w:rPr>
                <w:t>6.7外部合作资源</w:t>
              </w:r>
              <w:r>
                <w:tab/>
              </w:r>
              <w:r>
                <w:fldChar w:fldCharType="begin"/>
              </w:r>
              <w:r>
                <w:instrText xml:space="preserve"> PAGEREF _Toc1182 \h </w:instrText>
              </w:r>
              <w:r>
                <w:fldChar w:fldCharType="separate"/>
              </w:r>
              <w:r>
                <w:t>76</w:t>
              </w:r>
              <w:r>
                <w:fldChar w:fldCharType="end"/>
              </w:r>
              <w:r>
                <w:fldChar w:fldCharType="end"/>
              </w:r>
            </w:p>
            <w:p w14:paraId="404423BB">
              <w:pPr>
                <w:pStyle w:val="11"/>
                <w:tabs>
                  <w:tab w:val="right" w:leader="dot" w:pos="9746"/>
                </w:tabs>
              </w:pPr>
              <w:r>
                <w:fldChar w:fldCharType="begin"/>
              </w:r>
              <w:r>
                <w:instrText xml:space="preserve"> HYPERLINK \l _Toc18842 </w:instrText>
              </w:r>
              <w:r>
                <w:fldChar w:fldCharType="separate"/>
              </w:r>
              <w:r>
                <w:rPr>
                  <w:rFonts w:hint="default"/>
                </w:rPr>
                <w:t xml:space="preserve">7. </w:t>
              </w:r>
              <w:r>
                <w:rPr>
                  <w:rFonts w:hint="eastAsia"/>
                </w:rPr>
                <w:t>发展规划与财务分析</w:t>
              </w:r>
              <w:r>
                <w:tab/>
              </w:r>
              <w:r>
                <w:fldChar w:fldCharType="begin"/>
              </w:r>
              <w:r>
                <w:instrText xml:space="preserve"> PAGEREF _Toc18842 \h </w:instrText>
              </w:r>
              <w:r>
                <w:fldChar w:fldCharType="separate"/>
              </w:r>
              <w:r>
                <w:t>78</w:t>
              </w:r>
              <w:r>
                <w:fldChar w:fldCharType="end"/>
              </w:r>
              <w:r>
                <w:fldChar w:fldCharType="end"/>
              </w:r>
            </w:p>
            <w:p w14:paraId="3D67E35E">
              <w:pPr>
                <w:pStyle w:val="13"/>
                <w:tabs>
                  <w:tab w:val="right" w:leader="dot" w:pos="9746"/>
                </w:tabs>
              </w:pPr>
              <w:r>
                <w:fldChar w:fldCharType="begin"/>
              </w:r>
              <w:r>
                <w:instrText xml:space="preserve"> HYPERLINK \l _Toc23690 </w:instrText>
              </w:r>
              <w:r>
                <w:fldChar w:fldCharType="separate"/>
              </w:r>
              <w:r>
                <w:rPr>
                  <w:rFonts w:hint="eastAsia"/>
                </w:rPr>
                <w:t>7.1三年发展路线</w:t>
              </w:r>
              <w:r>
                <w:tab/>
              </w:r>
              <w:r>
                <w:fldChar w:fldCharType="begin"/>
              </w:r>
              <w:r>
                <w:instrText xml:space="preserve"> PAGEREF _Toc23690 \h </w:instrText>
              </w:r>
              <w:r>
                <w:fldChar w:fldCharType="separate"/>
              </w:r>
              <w:r>
                <w:t>78</w:t>
              </w:r>
              <w:r>
                <w:fldChar w:fldCharType="end"/>
              </w:r>
              <w:r>
                <w:fldChar w:fldCharType="end"/>
              </w:r>
            </w:p>
            <w:p w14:paraId="124BBFCE">
              <w:pPr>
                <w:pStyle w:val="9"/>
                <w:tabs>
                  <w:tab w:val="right" w:leader="dot" w:pos="9746"/>
                </w:tabs>
              </w:pPr>
              <w:r>
                <w:fldChar w:fldCharType="begin"/>
              </w:r>
              <w:r>
                <w:instrText xml:space="preserve"> HYPERLINK \l _Toc9599 </w:instrText>
              </w:r>
              <w:r>
                <w:fldChar w:fldCharType="separate"/>
              </w:r>
              <w:r>
                <w:rPr>
                  <w:rFonts w:hint="eastAsia"/>
                </w:rPr>
                <w:t>7.1.1总体节奏</w:t>
              </w:r>
              <w:r>
                <w:tab/>
              </w:r>
              <w:r>
                <w:fldChar w:fldCharType="begin"/>
              </w:r>
              <w:r>
                <w:instrText xml:space="preserve"> PAGEREF _Toc9599 \h </w:instrText>
              </w:r>
              <w:r>
                <w:fldChar w:fldCharType="separate"/>
              </w:r>
              <w:r>
                <w:t>78</w:t>
              </w:r>
              <w:r>
                <w:fldChar w:fldCharType="end"/>
              </w:r>
              <w:r>
                <w:fldChar w:fldCharType="end"/>
              </w:r>
            </w:p>
            <w:p w14:paraId="6255DAC4">
              <w:pPr>
                <w:pStyle w:val="9"/>
                <w:tabs>
                  <w:tab w:val="right" w:leader="dot" w:pos="9746"/>
                </w:tabs>
              </w:pPr>
              <w:r>
                <w:fldChar w:fldCharType="begin"/>
              </w:r>
              <w:r>
                <w:instrText xml:space="preserve"> HYPERLINK \l _Toc3836 </w:instrText>
              </w:r>
              <w:r>
                <w:fldChar w:fldCharType="separate"/>
              </w:r>
              <w:r>
                <w:rPr>
                  <w:rFonts w:hint="eastAsia"/>
                </w:rPr>
                <w:t>7.1.2分年度目标与标志性事件</w:t>
              </w:r>
              <w:r>
                <w:tab/>
              </w:r>
              <w:r>
                <w:fldChar w:fldCharType="begin"/>
              </w:r>
              <w:r>
                <w:instrText xml:space="preserve"> PAGEREF _Toc3836 \h </w:instrText>
              </w:r>
              <w:r>
                <w:fldChar w:fldCharType="separate"/>
              </w:r>
              <w:r>
                <w:t>78</w:t>
              </w:r>
              <w:r>
                <w:fldChar w:fldCharType="end"/>
              </w:r>
              <w:r>
                <w:fldChar w:fldCharType="end"/>
              </w:r>
            </w:p>
            <w:p w14:paraId="3E34D166">
              <w:pPr>
                <w:pStyle w:val="9"/>
                <w:tabs>
                  <w:tab w:val="right" w:leader="dot" w:pos="9746"/>
                </w:tabs>
              </w:pPr>
              <w:r>
                <w:fldChar w:fldCharType="begin"/>
              </w:r>
              <w:r>
                <w:instrText xml:space="preserve"> HYPERLINK \l _Toc26722 </w:instrText>
              </w:r>
              <w:r>
                <w:fldChar w:fldCharType="separate"/>
              </w:r>
              <w:r>
                <w:rPr>
                  <w:rFonts w:hint="eastAsia"/>
                </w:rPr>
                <w:t>7.1.3团队扩张节奏</w:t>
              </w:r>
              <w:r>
                <w:tab/>
              </w:r>
              <w:r>
                <w:fldChar w:fldCharType="begin"/>
              </w:r>
              <w:r>
                <w:instrText xml:space="preserve"> PAGEREF _Toc26722 \h </w:instrText>
              </w:r>
              <w:r>
                <w:fldChar w:fldCharType="separate"/>
              </w:r>
              <w:r>
                <w:t>79</w:t>
              </w:r>
              <w:r>
                <w:fldChar w:fldCharType="end"/>
              </w:r>
              <w:r>
                <w:fldChar w:fldCharType="end"/>
              </w:r>
            </w:p>
            <w:p w14:paraId="3B20A65F">
              <w:pPr>
                <w:pStyle w:val="13"/>
                <w:tabs>
                  <w:tab w:val="right" w:leader="dot" w:pos="9746"/>
                </w:tabs>
              </w:pPr>
              <w:r>
                <w:fldChar w:fldCharType="begin"/>
              </w:r>
              <w:r>
                <w:instrText xml:space="preserve"> HYPERLINK \l _Toc12749 </w:instrText>
              </w:r>
              <w:r>
                <w:fldChar w:fldCharType="separate"/>
              </w:r>
              <w:r>
                <w:rPr>
                  <w:rFonts w:hint="eastAsia"/>
                </w:rPr>
                <w:t>7.2财务测算</w:t>
              </w:r>
              <w:r>
                <w:tab/>
              </w:r>
              <w:r>
                <w:fldChar w:fldCharType="begin"/>
              </w:r>
              <w:r>
                <w:instrText xml:space="preserve"> PAGEREF _Toc12749 \h </w:instrText>
              </w:r>
              <w:r>
                <w:fldChar w:fldCharType="separate"/>
              </w:r>
              <w:r>
                <w:t>80</w:t>
              </w:r>
              <w:r>
                <w:fldChar w:fldCharType="end"/>
              </w:r>
              <w:r>
                <w:fldChar w:fldCharType="end"/>
              </w:r>
            </w:p>
            <w:p w14:paraId="022D4D5F">
              <w:pPr>
                <w:pStyle w:val="9"/>
                <w:tabs>
                  <w:tab w:val="right" w:leader="dot" w:pos="9746"/>
                </w:tabs>
              </w:pPr>
              <w:r>
                <w:fldChar w:fldCharType="begin"/>
              </w:r>
              <w:r>
                <w:instrText xml:space="preserve"> HYPERLINK \l _Toc20264 </w:instrText>
              </w:r>
              <w:r>
                <w:fldChar w:fldCharType="separate"/>
              </w:r>
              <w:r>
                <w:rPr>
                  <w:rFonts w:hint="eastAsia"/>
                </w:rPr>
                <w:t>7.2.1测算基础与假设</w:t>
              </w:r>
              <w:r>
                <w:tab/>
              </w:r>
              <w:r>
                <w:fldChar w:fldCharType="begin"/>
              </w:r>
              <w:r>
                <w:instrText xml:space="preserve"> PAGEREF _Toc20264 \h </w:instrText>
              </w:r>
              <w:r>
                <w:fldChar w:fldCharType="separate"/>
              </w:r>
              <w:r>
                <w:t>80</w:t>
              </w:r>
              <w:r>
                <w:fldChar w:fldCharType="end"/>
              </w:r>
              <w:r>
                <w:fldChar w:fldCharType="end"/>
              </w:r>
            </w:p>
            <w:p w14:paraId="790128C6">
              <w:pPr>
                <w:pStyle w:val="9"/>
                <w:tabs>
                  <w:tab w:val="right" w:leader="dot" w:pos="9746"/>
                </w:tabs>
              </w:pPr>
              <w:r>
                <w:fldChar w:fldCharType="begin"/>
              </w:r>
              <w:r>
                <w:instrText xml:space="preserve"> HYPERLINK \l _Toc23281 </w:instrText>
              </w:r>
              <w:r>
                <w:fldChar w:fldCharType="separate"/>
              </w:r>
              <w:r>
                <w:rPr>
                  <w:rFonts w:hint="eastAsia"/>
                </w:rPr>
                <w:t>7.2.2单位经济模型</w:t>
              </w:r>
              <w:r>
                <w:tab/>
              </w:r>
              <w:r>
                <w:fldChar w:fldCharType="begin"/>
              </w:r>
              <w:r>
                <w:instrText xml:space="preserve"> PAGEREF _Toc23281 \h </w:instrText>
              </w:r>
              <w:r>
                <w:fldChar w:fldCharType="separate"/>
              </w:r>
              <w:r>
                <w:t>82</w:t>
              </w:r>
              <w:r>
                <w:fldChar w:fldCharType="end"/>
              </w:r>
              <w:r>
                <w:fldChar w:fldCharType="end"/>
              </w:r>
            </w:p>
            <w:p w14:paraId="4025A343">
              <w:pPr>
                <w:pStyle w:val="9"/>
                <w:tabs>
                  <w:tab w:val="right" w:leader="dot" w:pos="9746"/>
                </w:tabs>
              </w:pPr>
              <w:r>
                <w:fldChar w:fldCharType="begin"/>
              </w:r>
              <w:r>
                <w:instrText xml:space="preserve"> HYPERLINK \l _Toc23031 </w:instrText>
              </w:r>
              <w:r>
                <w:fldChar w:fldCharType="separate"/>
              </w:r>
              <w:r>
                <w:rPr>
                  <w:rFonts w:hint="eastAsia"/>
                </w:rPr>
                <w:t>7.2.3年固定成本测算</w:t>
              </w:r>
              <w:r>
                <w:tab/>
              </w:r>
              <w:r>
                <w:fldChar w:fldCharType="begin"/>
              </w:r>
              <w:r>
                <w:instrText xml:space="preserve"> PAGEREF _Toc23031 \h </w:instrText>
              </w:r>
              <w:r>
                <w:fldChar w:fldCharType="separate"/>
              </w:r>
              <w:r>
                <w:t>83</w:t>
              </w:r>
              <w:r>
                <w:fldChar w:fldCharType="end"/>
              </w:r>
              <w:r>
                <w:fldChar w:fldCharType="end"/>
              </w:r>
            </w:p>
            <w:p w14:paraId="1FFCC193">
              <w:pPr>
                <w:pStyle w:val="9"/>
                <w:tabs>
                  <w:tab w:val="right" w:leader="dot" w:pos="9746"/>
                </w:tabs>
              </w:pPr>
              <w:r>
                <w:fldChar w:fldCharType="begin"/>
              </w:r>
              <w:r>
                <w:instrText xml:space="preserve"> HYPERLINK \l _Toc19446 </w:instrText>
              </w:r>
              <w:r>
                <w:fldChar w:fldCharType="separate"/>
              </w:r>
              <w:r>
                <w:rPr>
                  <w:rFonts w:hint="eastAsia"/>
                </w:rPr>
                <w:t>7.2.4税负测算</w:t>
              </w:r>
              <w:r>
                <w:tab/>
              </w:r>
              <w:r>
                <w:fldChar w:fldCharType="begin"/>
              </w:r>
              <w:r>
                <w:instrText xml:space="preserve"> PAGEREF _Toc19446 \h </w:instrText>
              </w:r>
              <w:r>
                <w:fldChar w:fldCharType="separate"/>
              </w:r>
              <w:r>
                <w:t>83</w:t>
              </w:r>
              <w:r>
                <w:fldChar w:fldCharType="end"/>
              </w:r>
              <w:r>
                <w:fldChar w:fldCharType="end"/>
              </w:r>
            </w:p>
            <w:p w14:paraId="12774DAD">
              <w:pPr>
                <w:pStyle w:val="9"/>
                <w:tabs>
                  <w:tab w:val="right" w:leader="dot" w:pos="9746"/>
                </w:tabs>
              </w:pPr>
              <w:r>
                <w:fldChar w:fldCharType="begin"/>
              </w:r>
              <w:r>
                <w:instrText xml:space="preserve"> HYPERLINK \l _Toc26168 </w:instrText>
              </w:r>
              <w:r>
                <w:fldChar w:fldCharType="separate"/>
              </w:r>
              <w:r>
                <w:rPr>
                  <w:rFonts w:hint="eastAsia"/>
                </w:rPr>
                <w:t>7.2.5三年收入与利润预测</w:t>
              </w:r>
              <w:r>
                <w:tab/>
              </w:r>
              <w:r>
                <w:fldChar w:fldCharType="begin"/>
              </w:r>
              <w:r>
                <w:instrText xml:space="preserve"> PAGEREF _Toc26168 \h </w:instrText>
              </w:r>
              <w:r>
                <w:fldChar w:fldCharType="separate"/>
              </w:r>
              <w:r>
                <w:t>84</w:t>
              </w:r>
              <w:r>
                <w:fldChar w:fldCharType="end"/>
              </w:r>
              <w:r>
                <w:fldChar w:fldCharType="end"/>
              </w:r>
            </w:p>
            <w:p w14:paraId="53EB953C">
              <w:pPr>
                <w:pStyle w:val="9"/>
                <w:tabs>
                  <w:tab w:val="right" w:leader="dot" w:pos="9746"/>
                </w:tabs>
              </w:pPr>
              <w:r>
                <w:fldChar w:fldCharType="begin"/>
              </w:r>
              <w:r>
                <w:instrText xml:space="preserve"> HYPERLINK \l _Toc20071 </w:instrText>
              </w:r>
              <w:r>
                <w:fldChar w:fldCharType="separate"/>
              </w:r>
              <w:r>
                <w:rPr>
                  <w:rFonts w:hint="eastAsia"/>
                </w:rPr>
                <w:t>7.2.6盈亏平衡分析</w:t>
              </w:r>
              <w:r>
                <w:tab/>
              </w:r>
              <w:r>
                <w:fldChar w:fldCharType="begin"/>
              </w:r>
              <w:r>
                <w:instrText xml:space="preserve"> PAGEREF _Toc20071 \h </w:instrText>
              </w:r>
              <w:r>
                <w:fldChar w:fldCharType="separate"/>
              </w:r>
              <w:r>
                <w:t>86</w:t>
              </w:r>
              <w:r>
                <w:fldChar w:fldCharType="end"/>
              </w:r>
              <w:r>
                <w:fldChar w:fldCharType="end"/>
              </w:r>
            </w:p>
            <w:p w14:paraId="7E5AC442">
              <w:pPr>
                <w:pStyle w:val="9"/>
                <w:tabs>
                  <w:tab w:val="right" w:leader="dot" w:pos="9746"/>
                </w:tabs>
              </w:pPr>
              <w:r>
                <w:fldChar w:fldCharType="begin"/>
              </w:r>
              <w:r>
                <w:instrText xml:space="preserve"> HYPERLINK \l _Toc6632 </w:instrText>
              </w:r>
              <w:r>
                <w:fldChar w:fldCharType="separate"/>
              </w:r>
              <w:r>
                <w:rPr>
                  <w:rFonts w:hint="eastAsia"/>
                </w:rPr>
                <w:t>7.2.7敏感性分析</w:t>
              </w:r>
              <w:r>
                <w:tab/>
              </w:r>
              <w:r>
                <w:fldChar w:fldCharType="begin"/>
              </w:r>
              <w:r>
                <w:instrText xml:space="preserve"> PAGEREF _Toc6632 \h </w:instrText>
              </w:r>
              <w:r>
                <w:fldChar w:fldCharType="separate"/>
              </w:r>
              <w:r>
                <w:t>87</w:t>
              </w:r>
              <w:r>
                <w:fldChar w:fldCharType="end"/>
              </w:r>
              <w:r>
                <w:fldChar w:fldCharType="end"/>
              </w:r>
            </w:p>
            <w:p w14:paraId="2711F970">
              <w:pPr>
                <w:pStyle w:val="13"/>
                <w:tabs>
                  <w:tab w:val="right" w:leader="dot" w:pos="9746"/>
                </w:tabs>
              </w:pPr>
              <w:r>
                <w:fldChar w:fldCharType="begin"/>
              </w:r>
              <w:r>
                <w:instrText xml:space="preserve"> HYPERLINK \l _Toc28776 </w:instrText>
              </w:r>
              <w:r>
                <w:fldChar w:fldCharType="separate"/>
              </w:r>
              <w:r>
                <w:rPr>
                  <w:rFonts w:hint="eastAsia"/>
                </w:rPr>
                <w:t>7.3资金需求与使用计划</w:t>
              </w:r>
              <w:r>
                <w:tab/>
              </w:r>
              <w:r>
                <w:fldChar w:fldCharType="begin"/>
              </w:r>
              <w:r>
                <w:instrText xml:space="preserve"> PAGEREF _Toc28776 \h </w:instrText>
              </w:r>
              <w:r>
                <w:fldChar w:fldCharType="separate"/>
              </w:r>
              <w:r>
                <w:t>88</w:t>
              </w:r>
              <w:r>
                <w:fldChar w:fldCharType="end"/>
              </w:r>
              <w:r>
                <w:fldChar w:fldCharType="end"/>
              </w:r>
            </w:p>
            <w:p w14:paraId="71D5C2EC">
              <w:pPr>
                <w:pStyle w:val="9"/>
                <w:tabs>
                  <w:tab w:val="right" w:leader="dot" w:pos="9746"/>
                </w:tabs>
              </w:pPr>
              <w:r>
                <w:fldChar w:fldCharType="begin"/>
              </w:r>
              <w:r>
                <w:instrText xml:space="preserve"> HYPERLINK \l _Toc12882 </w:instrText>
              </w:r>
              <w:r>
                <w:fldChar w:fldCharType="separate"/>
              </w:r>
              <w:r>
                <w:rPr>
                  <w:rFonts w:hint="eastAsia"/>
                </w:rPr>
                <w:t>7.3.1资金需求测算</w:t>
              </w:r>
              <w:r>
                <w:tab/>
              </w:r>
              <w:r>
                <w:fldChar w:fldCharType="begin"/>
              </w:r>
              <w:r>
                <w:instrText xml:space="preserve"> PAGEREF _Toc12882 \h </w:instrText>
              </w:r>
              <w:r>
                <w:fldChar w:fldCharType="separate"/>
              </w:r>
              <w:r>
                <w:t>88</w:t>
              </w:r>
              <w:r>
                <w:fldChar w:fldCharType="end"/>
              </w:r>
              <w:r>
                <w:fldChar w:fldCharType="end"/>
              </w:r>
            </w:p>
            <w:p w14:paraId="31159694">
              <w:pPr>
                <w:pStyle w:val="9"/>
                <w:tabs>
                  <w:tab w:val="right" w:leader="dot" w:pos="9746"/>
                </w:tabs>
              </w:pPr>
              <w:r>
                <w:fldChar w:fldCharType="begin"/>
              </w:r>
              <w:r>
                <w:instrText xml:space="preserve"> HYPERLINK \l _Toc2817 </w:instrText>
              </w:r>
              <w:r>
                <w:fldChar w:fldCharType="separate"/>
              </w:r>
              <w:r>
                <w:rPr>
                  <w:rFonts w:hint="eastAsia"/>
                </w:rPr>
                <w:t>7.3.2资金使用计划</w:t>
              </w:r>
              <w:r>
                <w:tab/>
              </w:r>
              <w:r>
                <w:fldChar w:fldCharType="begin"/>
              </w:r>
              <w:r>
                <w:instrText xml:space="preserve"> PAGEREF _Toc2817 \h </w:instrText>
              </w:r>
              <w:r>
                <w:fldChar w:fldCharType="separate"/>
              </w:r>
              <w:r>
                <w:t>89</w:t>
              </w:r>
              <w:r>
                <w:fldChar w:fldCharType="end"/>
              </w:r>
              <w:r>
                <w:fldChar w:fldCharType="end"/>
              </w:r>
            </w:p>
            <w:p w14:paraId="3272F905">
              <w:pPr>
                <w:pStyle w:val="9"/>
                <w:tabs>
                  <w:tab w:val="right" w:leader="dot" w:pos="9746"/>
                </w:tabs>
              </w:pPr>
              <w:r>
                <w:fldChar w:fldCharType="begin"/>
              </w:r>
              <w:r>
                <w:instrText xml:space="preserve"> HYPERLINK \l _Toc6560 </w:instrText>
              </w:r>
              <w:r>
                <w:fldChar w:fldCharType="separate"/>
              </w:r>
              <w:r>
                <w:rPr>
                  <w:rFonts w:hint="eastAsia"/>
                </w:rPr>
                <w:t>7.3.3已有投入与非现金支持</w:t>
              </w:r>
              <w:r>
                <w:tab/>
              </w:r>
              <w:r>
                <w:fldChar w:fldCharType="begin"/>
              </w:r>
              <w:r>
                <w:instrText xml:space="preserve"> PAGEREF _Toc6560 \h </w:instrText>
              </w:r>
              <w:r>
                <w:fldChar w:fldCharType="separate"/>
              </w:r>
              <w:r>
                <w:t>89</w:t>
              </w:r>
              <w:r>
                <w:fldChar w:fldCharType="end"/>
              </w:r>
              <w:r>
                <w:fldChar w:fldCharType="end"/>
              </w:r>
            </w:p>
            <w:p w14:paraId="68D4BA82">
              <w:pPr>
                <w:pStyle w:val="13"/>
                <w:tabs>
                  <w:tab w:val="right" w:leader="dot" w:pos="9746"/>
                </w:tabs>
              </w:pPr>
              <w:r>
                <w:fldChar w:fldCharType="begin"/>
              </w:r>
              <w:r>
                <w:instrText xml:space="preserve"> HYPERLINK \l _Toc2033 </w:instrText>
              </w:r>
              <w:r>
                <w:fldChar w:fldCharType="separate"/>
              </w:r>
              <w:r>
                <w:rPr>
                  <w:rFonts w:hint="eastAsia"/>
                </w:rPr>
                <w:t>7.4股权结构与融资规划</w:t>
              </w:r>
              <w:r>
                <w:tab/>
              </w:r>
              <w:r>
                <w:fldChar w:fldCharType="begin"/>
              </w:r>
              <w:r>
                <w:instrText xml:space="preserve"> PAGEREF _Toc2033 \h </w:instrText>
              </w:r>
              <w:r>
                <w:fldChar w:fldCharType="separate"/>
              </w:r>
              <w:r>
                <w:t>90</w:t>
              </w:r>
              <w:r>
                <w:fldChar w:fldCharType="end"/>
              </w:r>
              <w:r>
                <w:fldChar w:fldCharType="end"/>
              </w:r>
            </w:p>
            <w:p w14:paraId="0A894F16">
              <w:pPr>
                <w:pStyle w:val="13"/>
                <w:tabs>
                  <w:tab w:val="right" w:leader="dot" w:pos="9746"/>
                </w:tabs>
              </w:pPr>
              <w:r>
                <w:fldChar w:fldCharType="begin"/>
              </w:r>
              <w:r>
                <w:instrText xml:space="preserve"> HYPERLINK \l _Toc484 </w:instrText>
              </w:r>
              <w:r>
                <w:fldChar w:fldCharType="separate"/>
              </w:r>
              <w:r>
                <w:rPr>
                  <w:rFonts w:hint="eastAsia"/>
                </w:rPr>
                <w:t>7.5关键假设与不确定性说明</w:t>
              </w:r>
              <w:r>
                <w:tab/>
              </w:r>
              <w:r>
                <w:fldChar w:fldCharType="begin"/>
              </w:r>
              <w:r>
                <w:instrText xml:space="preserve"> PAGEREF _Toc484 \h </w:instrText>
              </w:r>
              <w:r>
                <w:fldChar w:fldCharType="separate"/>
              </w:r>
              <w:r>
                <w:t>90</w:t>
              </w:r>
              <w:r>
                <w:fldChar w:fldCharType="end"/>
              </w:r>
              <w:r>
                <w:fldChar w:fldCharType="end"/>
              </w:r>
            </w:p>
            <w:p w14:paraId="2569A746">
              <w:pPr>
                <w:pStyle w:val="11"/>
                <w:tabs>
                  <w:tab w:val="right" w:leader="dot" w:pos="9746"/>
                </w:tabs>
              </w:pPr>
              <w:r>
                <w:fldChar w:fldCharType="begin"/>
              </w:r>
              <w:r>
                <w:instrText xml:space="preserve"> HYPERLINK \l _Toc19209 </w:instrText>
              </w:r>
              <w:r>
                <w:fldChar w:fldCharType="separate"/>
              </w:r>
              <w:r>
                <w:rPr>
                  <w:rFonts w:hint="default"/>
                </w:rPr>
                <w:t xml:space="preserve">8. </w:t>
              </w:r>
              <w:r>
                <w:rPr>
                  <w:rFonts w:hint="eastAsia"/>
                </w:rPr>
                <w:t>风险控制</w:t>
              </w:r>
              <w:r>
                <w:tab/>
              </w:r>
              <w:r>
                <w:fldChar w:fldCharType="begin"/>
              </w:r>
              <w:r>
                <w:instrText xml:space="preserve"> PAGEREF _Toc19209 \h </w:instrText>
              </w:r>
              <w:r>
                <w:fldChar w:fldCharType="separate"/>
              </w:r>
              <w:r>
                <w:t>92</w:t>
              </w:r>
              <w:r>
                <w:fldChar w:fldCharType="end"/>
              </w:r>
              <w:r>
                <w:fldChar w:fldCharType="end"/>
              </w:r>
            </w:p>
            <w:p w14:paraId="574C5161">
              <w:pPr>
                <w:pStyle w:val="13"/>
                <w:tabs>
                  <w:tab w:val="right" w:leader="dot" w:pos="9746"/>
                </w:tabs>
              </w:pPr>
              <w:r>
                <w:fldChar w:fldCharType="begin"/>
              </w:r>
              <w:r>
                <w:instrText xml:space="preserve"> HYPERLINK \l _Toc31117 </w:instrText>
              </w:r>
              <w:r>
                <w:fldChar w:fldCharType="separate"/>
              </w:r>
              <w:r>
                <w:rPr>
                  <w:rFonts w:hint="eastAsia"/>
                </w:rPr>
                <w:t>8.1风险总览</w:t>
              </w:r>
              <w:r>
                <w:tab/>
              </w:r>
              <w:r>
                <w:fldChar w:fldCharType="begin"/>
              </w:r>
              <w:r>
                <w:instrText xml:space="preserve"> PAGEREF _Toc31117 \h </w:instrText>
              </w:r>
              <w:r>
                <w:fldChar w:fldCharType="separate"/>
              </w:r>
              <w:r>
                <w:t>92</w:t>
              </w:r>
              <w:r>
                <w:fldChar w:fldCharType="end"/>
              </w:r>
              <w:r>
                <w:fldChar w:fldCharType="end"/>
              </w:r>
            </w:p>
            <w:p w14:paraId="24A4F7BC">
              <w:pPr>
                <w:pStyle w:val="13"/>
                <w:tabs>
                  <w:tab w:val="right" w:leader="dot" w:pos="9746"/>
                </w:tabs>
              </w:pPr>
              <w:r>
                <w:fldChar w:fldCharType="begin"/>
              </w:r>
              <w:r>
                <w:instrText xml:space="preserve"> HYPERLINK \l _Toc855 </w:instrText>
              </w:r>
              <w:r>
                <w:fldChar w:fldCharType="separate"/>
              </w:r>
              <w:r>
                <w:rPr>
                  <w:rFonts w:hint="eastAsia"/>
                </w:rPr>
                <w:t>8.2技术风险</w:t>
              </w:r>
              <w:r>
                <w:tab/>
              </w:r>
              <w:r>
                <w:fldChar w:fldCharType="begin"/>
              </w:r>
              <w:r>
                <w:instrText xml:space="preserve"> PAGEREF _Toc855 \h </w:instrText>
              </w:r>
              <w:r>
                <w:fldChar w:fldCharType="separate"/>
              </w:r>
              <w:r>
                <w:t>92</w:t>
              </w:r>
              <w:r>
                <w:fldChar w:fldCharType="end"/>
              </w:r>
              <w:r>
                <w:fldChar w:fldCharType="end"/>
              </w:r>
            </w:p>
            <w:p w14:paraId="3D6A13F4">
              <w:pPr>
                <w:pStyle w:val="9"/>
                <w:tabs>
                  <w:tab w:val="right" w:leader="dot" w:pos="9746"/>
                </w:tabs>
              </w:pPr>
              <w:r>
                <w:fldChar w:fldCharType="begin"/>
              </w:r>
              <w:r>
                <w:instrText xml:space="preserve"> HYPERLINK \l _Toc19557 </w:instrText>
              </w:r>
              <w:r>
                <w:fldChar w:fldCharType="separate"/>
              </w:r>
              <w:r>
                <w:rPr>
                  <w:rFonts w:hint="eastAsia"/>
                </w:rPr>
                <w:t>8.2.1误报与漏报</w:t>
              </w:r>
              <w:r>
                <w:tab/>
              </w:r>
              <w:r>
                <w:fldChar w:fldCharType="begin"/>
              </w:r>
              <w:r>
                <w:instrText xml:space="preserve"> PAGEREF _Toc19557 \h </w:instrText>
              </w:r>
              <w:r>
                <w:fldChar w:fldCharType="separate"/>
              </w:r>
              <w:r>
                <w:t>92</w:t>
              </w:r>
              <w:r>
                <w:fldChar w:fldCharType="end"/>
              </w:r>
              <w:r>
                <w:fldChar w:fldCharType="end"/>
              </w:r>
            </w:p>
            <w:p w14:paraId="3A963E78">
              <w:pPr>
                <w:pStyle w:val="9"/>
                <w:tabs>
                  <w:tab w:val="right" w:leader="dot" w:pos="9746"/>
                </w:tabs>
              </w:pPr>
              <w:r>
                <w:fldChar w:fldCharType="begin"/>
              </w:r>
              <w:r>
                <w:instrText xml:space="preserve"> HYPERLINK \l _Toc2730 </w:instrText>
              </w:r>
              <w:r>
                <w:fldChar w:fldCharType="separate"/>
              </w:r>
              <w:r>
                <w:rPr>
                  <w:rFonts w:hint="eastAsia"/>
                </w:rPr>
                <w:t>8.2.2气囊触发时机与气路可靠性</w:t>
              </w:r>
              <w:r>
                <w:tab/>
              </w:r>
              <w:r>
                <w:fldChar w:fldCharType="begin"/>
              </w:r>
              <w:r>
                <w:instrText xml:space="preserve"> PAGEREF _Toc2730 \h </w:instrText>
              </w:r>
              <w:r>
                <w:fldChar w:fldCharType="separate"/>
              </w:r>
              <w:r>
                <w:t>93</w:t>
              </w:r>
              <w:r>
                <w:fldChar w:fldCharType="end"/>
              </w:r>
              <w:r>
                <w:fldChar w:fldCharType="end"/>
              </w:r>
            </w:p>
            <w:p w14:paraId="62C94451">
              <w:pPr>
                <w:pStyle w:val="9"/>
                <w:tabs>
                  <w:tab w:val="right" w:leader="dot" w:pos="9746"/>
                </w:tabs>
              </w:pPr>
              <w:r>
                <w:fldChar w:fldCharType="begin"/>
              </w:r>
              <w:r>
                <w:instrText xml:space="preserve"> HYPERLINK \l _Toc23938 </w:instrText>
              </w:r>
              <w:r>
                <w:fldChar w:fldCharType="separate"/>
              </w:r>
              <w:r>
                <w:rPr>
                  <w:rFonts w:hint="eastAsia"/>
                </w:rPr>
                <w:t>8.2.3系统集成与功耗</w:t>
              </w:r>
              <w:r>
                <w:tab/>
              </w:r>
              <w:r>
                <w:fldChar w:fldCharType="begin"/>
              </w:r>
              <w:r>
                <w:instrText xml:space="preserve"> PAGEREF _Toc23938 \h </w:instrText>
              </w:r>
              <w:r>
                <w:fldChar w:fldCharType="separate"/>
              </w:r>
              <w:r>
                <w:t>93</w:t>
              </w:r>
              <w:r>
                <w:fldChar w:fldCharType="end"/>
              </w:r>
              <w:r>
                <w:fldChar w:fldCharType="end"/>
              </w:r>
            </w:p>
            <w:p w14:paraId="185D1317">
              <w:pPr>
                <w:pStyle w:val="9"/>
                <w:tabs>
                  <w:tab w:val="right" w:leader="dot" w:pos="9746"/>
                </w:tabs>
              </w:pPr>
              <w:r>
                <w:fldChar w:fldCharType="begin"/>
              </w:r>
              <w:r>
                <w:instrText xml:space="preserve"> HYPERLINK \l _Toc28212 </w:instrText>
              </w:r>
              <w:r>
                <w:fldChar w:fldCharType="separate"/>
              </w:r>
              <w:r>
                <w:rPr>
                  <w:rFonts w:hint="eastAsia"/>
                </w:rPr>
                <w:t>8.2.4自有数据不足</w:t>
              </w:r>
              <w:r>
                <w:tab/>
              </w:r>
              <w:r>
                <w:fldChar w:fldCharType="begin"/>
              </w:r>
              <w:r>
                <w:instrText xml:space="preserve"> PAGEREF _Toc28212 \h </w:instrText>
              </w:r>
              <w:r>
                <w:fldChar w:fldCharType="separate"/>
              </w:r>
              <w:r>
                <w:t>93</w:t>
              </w:r>
              <w:r>
                <w:fldChar w:fldCharType="end"/>
              </w:r>
              <w:r>
                <w:fldChar w:fldCharType="end"/>
              </w:r>
            </w:p>
            <w:p w14:paraId="2BE3B197">
              <w:pPr>
                <w:pStyle w:val="13"/>
                <w:tabs>
                  <w:tab w:val="right" w:leader="dot" w:pos="9746"/>
                </w:tabs>
              </w:pPr>
              <w:r>
                <w:fldChar w:fldCharType="begin"/>
              </w:r>
              <w:r>
                <w:instrText xml:space="preserve"> HYPERLINK \l _Toc18907 </w:instrText>
              </w:r>
              <w:r>
                <w:fldChar w:fldCharType="separate"/>
              </w:r>
              <w:r>
                <w:rPr>
                  <w:rFonts w:hint="eastAsia"/>
                </w:rPr>
                <w:t>8.3合规风险与产品属性边界</w:t>
              </w:r>
              <w:r>
                <w:tab/>
              </w:r>
              <w:r>
                <w:fldChar w:fldCharType="begin"/>
              </w:r>
              <w:r>
                <w:instrText xml:space="preserve"> PAGEREF _Toc18907 \h </w:instrText>
              </w:r>
              <w:r>
                <w:fldChar w:fldCharType="separate"/>
              </w:r>
              <w:r>
                <w:t>94</w:t>
              </w:r>
              <w:r>
                <w:fldChar w:fldCharType="end"/>
              </w:r>
              <w:r>
                <w:fldChar w:fldCharType="end"/>
              </w:r>
            </w:p>
            <w:p w14:paraId="1F400B45">
              <w:pPr>
                <w:pStyle w:val="9"/>
                <w:tabs>
                  <w:tab w:val="right" w:leader="dot" w:pos="9746"/>
                </w:tabs>
              </w:pPr>
              <w:r>
                <w:fldChar w:fldCharType="begin"/>
              </w:r>
              <w:r>
                <w:instrText xml:space="preserve"> HYPERLINK \l _Toc24666 </w:instrText>
              </w:r>
              <w:r>
                <w:fldChar w:fldCharType="separate"/>
              </w:r>
              <w:r>
                <w:rPr>
                  <w:rFonts w:hint="eastAsia"/>
                </w:rPr>
                <w:t>8.3.1产品属性认定</w:t>
              </w:r>
              <w:r>
                <w:tab/>
              </w:r>
              <w:r>
                <w:fldChar w:fldCharType="begin"/>
              </w:r>
              <w:r>
                <w:instrText xml:space="preserve"> PAGEREF _Toc24666 \h </w:instrText>
              </w:r>
              <w:r>
                <w:fldChar w:fldCharType="separate"/>
              </w:r>
              <w:r>
                <w:t>94</w:t>
              </w:r>
              <w:r>
                <w:fldChar w:fldCharType="end"/>
              </w:r>
              <w:r>
                <w:fldChar w:fldCharType="end"/>
              </w:r>
            </w:p>
            <w:p w14:paraId="6C51163A">
              <w:pPr>
                <w:pStyle w:val="9"/>
                <w:tabs>
                  <w:tab w:val="right" w:leader="dot" w:pos="9746"/>
                </w:tabs>
              </w:pPr>
              <w:r>
                <w:fldChar w:fldCharType="begin"/>
              </w:r>
              <w:r>
                <w:instrText xml:space="preserve"> HYPERLINK \l _Toc9220 </w:instrText>
              </w:r>
              <w:r>
                <w:fldChar w:fldCharType="separate"/>
              </w:r>
              <w:r>
                <w:rPr>
                  <w:rFonts w:hint="eastAsia"/>
                </w:rPr>
                <w:t>8.3.2能做与不能做</w:t>
              </w:r>
              <w:r>
                <w:tab/>
              </w:r>
              <w:r>
                <w:fldChar w:fldCharType="begin"/>
              </w:r>
              <w:r>
                <w:instrText xml:space="preserve"> PAGEREF _Toc9220 \h </w:instrText>
              </w:r>
              <w:r>
                <w:fldChar w:fldCharType="separate"/>
              </w:r>
              <w:r>
                <w:t>94</w:t>
              </w:r>
              <w:r>
                <w:fldChar w:fldCharType="end"/>
              </w:r>
              <w:r>
                <w:fldChar w:fldCharType="end"/>
              </w:r>
            </w:p>
            <w:p w14:paraId="13F4605A">
              <w:pPr>
                <w:pStyle w:val="9"/>
                <w:tabs>
                  <w:tab w:val="right" w:leader="dot" w:pos="9746"/>
                </w:tabs>
              </w:pPr>
              <w:r>
                <w:fldChar w:fldCharType="begin"/>
              </w:r>
              <w:r>
                <w:instrText xml:space="preserve"> HYPERLINK \l _Toc9121 </w:instrText>
              </w:r>
              <w:r>
                <w:fldChar w:fldCharType="separate"/>
              </w:r>
              <w:r>
                <w:rPr>
                  <w:rFonts w:hint="eastAsia"/>
                </w:rPr>
                <w:t>8.3.3用词红线</w:t>
              </w:r>
              <w:r>
                <w:tab/>
              </w:r>
              <w:r>
                <w:fldChar w:fldCharType="begin"/>
              </w:r>
              <w:r>
                <w:instrText xml:space="preserve"> PAGEREF _Toc9121 \h </w:instrText>
              </w:r>
              <w:r>
                <w:fldChar w:fldCharType="separate"/>
              </w:r>
              <w:r>
                <w:t>94</w:t>
              </w:r>
              <w:r>
                <w:fldChar w:fldCharType="end"/>
              </w:r>
              <w:r>
                <w:fldChar w:fldCharType="end"/>
              </w:r>
            </w:p>
            <w:p w14:paraId="74BFAE47">
              <w:pPr>
                <w:pStyle w:val="9"/>
                <w:tabs>
                  <w:tab w:val="right" w:leader="dot" w:pos="9746"/>
                </w:tabs>
              </w:pPr>
              <w:r>
                <w:fldChar w:fldCharType="begin"/>
              </w:r>
              <w:r>
                <w:instrText xml:space="preserve"> HYPERLINK \l _Toc12203 </w:instrText>
              </w:r>
              <w:r>
                <w:fldChar w:fldCharType="separate"/>
              </w:r>
              <w:r>
                <w:rPr>
                  <w:rFonts w:hint="eastAsia"/>
                </w:rPr>
                <w:t>8.3.4主动移除的功能及理由</w:t>
              </w:r>
              <w:r>
                <w:tab/>
              </w:r>
              <w:r>
                <w:fldChar w:fldCharType="begin"/>
              </w:r>
              <w:r>
                <w:instrText xml:space="preserve"> PAGEREF _Toc12203 \h </w:instrText>
              </w:r>
              <w:r>
                <w:fldChar w:fldCharType="separate"/>
              </w:r>
              <w:r>
                <w:t>95</w:t>
              </w:r>
              <w:r>
                <w:fldChar w:fldCharType="end"/>
              </w:r>
              <w:r>
                <w:fldChar w:fldCharType="end"/>
              </w:r>
            </w:p>
            <w:p w14:paraId="4C529A62">
              <w:pPr>
                <w:pStyle w:val="9"/>
                <w:tabs>
                  <w:tab w:val="right" w:leader="dot" w:pos="9746"/>
                </w:tabs>
              </w:pPr>
              <w:r>
                <w:fldChar w:fldCharType="begin"/>
              </w:r>
              <w:r>
                <w:instrText xml:space="preserve"> HYPERLINK \l _Toc27359 </w:instrText>
              </w:r>
              <w:r>
                <w:fldChar w:fldCharType="separate"/>
              </w:r>
              <w:r>
                <w:rPr>
                  <w:rFonts w:hint="eastAsia"/>
                </w:rPr>
                <w:t>8.3.5未来器械路径的预留</w:t>
              </w:r>
              <w:r>
                <w:tab/>
              </w:r>
              <w:r>
                <w:fldChar w:fldCharType="begin"/>
              </w:r>
              <w:r>
                <w:instrText xml:space="preserve"> PAGEREF _Toc27359 \h </w:instrText>
              </w:r>
              <w:r>
                <w:fldChar w:fldCharType="separate"/>
              </w:r>
              <w:r>
                <w:t>96</w:t>
              </w:r>
              <w:r>
                <w:fldChar w:fldCharType="end"/>
              </w:r>
              <w:r>
                <w:fldChar w:fldCharType="end"/>
              </w:r>
            </w:p>
            <w:p w14:paraId="12F3D6E2">
              <w:pPr>
                <w:pStyle w:val="13"/>
                <w:tabs>
                  <w:tab w:val="right" w:leader="dot" w:pos="9746"/>
                </w:tabs>
              </w:pPr>
              <w:r>
                <w:fldChar w:fldCharType="begin"/>
              </w:r>
              <w:r>
                <w:instrText xml:space="preserve"> HYPERLINK \l _Toc23421 </w:instrText>
              </w:r>
              <w:r>
                <w:fldChar w:fldCharType="separate"/>
              </w:r>
              <w:r>
                <w:rPr>
                  <w:rFonts w:hint="eastAsia"/>
                </w:rPr>
                <w:t>8.4产品安全与责任风险</w:t>
              </w:r>
              <w:r>
                <w:tab/>
              </w:r>
              <w:r>
                <w:fldChar w:fldCharType="begin"/>
              </w:r>
              <w:r>
                <w:instrText xml:space="preserve"> PAGEREF _Toc23421 \h </w:instrText>
              </w:r>
              <w:r>
                <w:fldChar w:fldCharType="separate"/>
              </w:r>
              <w:r>
                <w:t>96</w:t>
              </w:r>
              <w:r>
                <w:fldChar w:fldCharType="end"/>
              </w:r>
              <w:r>
                <w:fldChar w:fldCharType="end"/>
              </w:r>
            </w:p>
            <w:p w14:paraId="226B11D8">
              <w:pPr>
                <w:pStyle w:val="9"/>
                <w:tabs>
                  <w:tab w:val="right" w:leader="dot" w:pos="9746"/>
                </w:tabs>
              </w:pPr>
              <w:r>
                <w:fldChar w:fldCharType="begin"/>
              </w:r>
              <w:r>
                <w:instrText xml:space="preserve"> HYPERLINK \l _Toc8807 </w:instrText>
              </w:r>
              <w:r>
                <w:fldChar w:fldCharType="separate"/>
              </w:r>
              <w:r>
                <w:rPr>
                  <w:rFonts w:hint="eastAsia"/>
                </w:rPr>
                <w:t>8.4.1误触发的物理安全</w:t>
              </w:r>
              <w:r>
                <w:tab/>
              </w:r>
              <w:r>
                <w:fldChar w:fldCharType="begin"/>
              </w:r>
              <w:r>
                <w:instrText xml:space="preserve"> PAGEREF _Toc8807 \h </w:instrText>
              </w:r>
              <w:r>
                <w:fldChar w:fldCharType="separate"/>
              </w:r>
              <w:r>
                <w:t>96</w:t>
              </w:r>
              <w:r>
                <w:fldChar w:fldCharType="end"/>
              </w:r>
              <w:r>
                <w:fldChar w:fldCharType="end"/>
              </w:r>
            </w:p>
            <w:p w14:paraId="6686A733">
              <w:pPr>
                <w:pStyle w:val="9"/>
                <w:tabs>
                  <w:tab w:val="right" w:leader="dot" w:pos="9746"/>
                </w:tabs>
              </w:pPr>
              <w:r>
                <w:fldChar w:fldCharType="begin"/>
              </w:r>
              <w:r>
                <w:instrText xml:space="preserve"> HYPERLINK \l _Toc17675 </w:instrText>
              </w:r>
              <w:r>
                <w:fldChar w:fldCharType="separate"/>
              </w:r>
              <w:r>
                <w:rPr>
                  <w:rFonts w:hint="eastAsia"/>
                </w:rPr>
                <w:t>8.4.2防护范围有限带来的期待落差</w:t>
              </w:r>
              <w:r>
                <w:tab/>
              </w:r>
              <w:r>
                <w:fldChar w:fldCharType="begin"/>
              </w:r>
              <w:r>
                <w:instrText xml:space="preserve"> PAGEREF _Toc17675 \h </w:instrText>
              </w:r>
              <w:r>
                <w:fldChar w:fldCharType="separate"/>
              </w:r>
              <w:r>
                <w:t>97</w:t>
              </w:r>
              <w:r>
                <w:fldChar w:fldCharType="end"/>
              </w:r>
              <w:r>
                <w:fldChar w:fldCharType="end"/>
              </w:r>
            </w:p>
            <w:p w14:paraId="29606E02">
              <w:pPr>
                <w:pStyle w:val="9"/>
                <w:tabs>
                  <w:tab w:val="right" w:leader="dot" w:pos="9746"/>
                </w:tabs>
              </w:pPr>
              <w:r>
                <w:fldChar w:fldCharType="begin"/>
              </w:r>
              <w:r>
                <w:instrText xml:space="preserve"> HYPERLINK \l _Toc29162 </w:instrText>
              </w:r>
              <w:r>
                <w:fldChar w:fldCharType="separate"/>
              </w:r>
              <w:r>
                <w:rPr>
                  <w:rFonts w:hint="eastAsia"/>
                </w:rPr>
                <w:t>8.4.3使用禁忌与配发筛查</w:t>
              </w:r>
              <w:r>
                <w:tab/>
              </w:r>
              <w:r>
                <w:fldChar w:fldCharType="begin"/>
              </w:r>
              <w:r>
                <w:instrText xml:space="preserve"> PAGEREF _Toc29162 \h </w:instrText>
              </w:r>
              <w:r>
                <w:fldChar w:fldCharType="separate"/>
              </w:r>
              <w:r>
                <w:t>97</w:t>
              </w:r>
              <w:r>
                <w:fldChar w:fldCharType="end"/>
              </w:r>
              <w:r>
                <w:fldChar w:fldCharType="end"/>
              </w:r>
            </w:p>
            <w:p w14:paraId="0AA860B1">
              <w:pPr>
                <w:pStyle w:val="9"/>
                <w:tabs>
                  <w:tab w:val="right" w:leader="dot" w:pos="9746"/>
                </w:tabs>
              </w:pPr>
              <w:r>
                <w:fldChar w:fldCharType="begin"/>
              </w:r>
              <w:r>
                <w:instrText xml:space="preserve"> HYPERLINK \l _Toc31775 </w:instrText>
              </w:r>
              <w:r>
                <w:fldChar w:fldCharType="separate"/>
              </w:r>
              <w:r>
                <w:rPr>
                  <w:rFonts w:hint="eastAsia"/>
                </w:rPr>
                <w:t>8.4.4责任界定与保险</w:t>
              </w:r>
              <w:r>
                <w:tab/>
              </w:r>
              <w:r>
                <w:fldChar w:fldCharType="begin"/>
              </w:r>
              <w:r>
                <w:instrText xml:space="preserve"> PAGEREF _Toc31775 \h </w:instrText>
              </w:r>
              <w:r>
                <w:fldChar w:fldCharType="separate"/>
              </w:r>
              <w:r>
                <w:t>97</w:t>
              </w:r>
              <w:r>
                <w:fldChar w:fldCharType="end"/>
              </w:r>
              <w:r>
                <w:fldChar w:fldCharType="end"/>
              </w:r>
            </w:p>
            <w:p w14:paraId="79D47182">
              <w:pPr>
                <w:pStyle w:val="13"/>
                <w:tabs>
                  <w:tab w:val="right" w:leader="dot" w:pos="9746"/>
                </w:tabs>
              </w:pPr>
              <w:r>
                <w:fldChar w:fldCharType="begin"/>
              </w:r>
              <w:r>
                <w:instrText xml:space="preserve"> HYPERLINK \l _Toc32122 </w:instrText>
              </w:r>
              <w:r>
                <w:fldChar w:fldCharType="separate"/>
              </w:r>
              <w:r>
                <w:rPr>
                  <w:rFonts w:hint="eastAsia"/>
                </w:rPr>
                <w:t>8.5市场与运营风险</w:t>
              </w:r>
              <w:r>
                <w:tab/>
              </w:r>
              <w:r>
                <w:fldChar w:fldCharType="begin"/>
              </w:r>
              <w:r>
                <w:instrText xml:space="preserve"> PAGEREF _Toc32122 \h </w:instrText>
              </w:r>
              <w:r>
                <w:fldChar w:fldCharType="separate"/>
              </w:r>
              <w:r>
                <w:t>97</w:t>
              </w:r>
              <w:r>
                <w:fldChar w:fldCharType="end"/>
              </w:r>
              <w:r>
                <w:fldChar w:fldCharType="end"/>
              </w:r>
            </w:p>
            <w:p w14:paraId="2C0E7858">
              <w:pPr>
                <w:pStyle w:val="9"/>
                <w:tabs>
                  <w:tab w:val="right" w:leader="dot" w:pos="9746"/>
                </w:tabs>
              </w:pPr>
              <w:r>
                <w:fldChar w:fldCharType="begin"/>
              </w:r>
              <w:r>
                <w:instrText xml:space="preserve"> HYPERLINK \l _Toc25129 </w:instrText>
              </w:r>
              <w:r>
                <w:fldChar w:fldCharType="separate"/>
              </w:r>
              <w:r>
                <w:rPr>
                  <w:rFonts w:hint="eastAsia"/>
                </w:rPr>
                <w:t>8.5.1佩戴依从性不足</w:t>
              </w:r>
              <w:r>
                <w:tab/>
              </w:r>
              <w:r>
                <w:fldChar w:fldCharType="begin"/>
              </w:r>
              <w:r>
                <w:instrText xml:space="preserve"> PAGEREF _Toc25129 \h </w:instrText>
              </w:r>
              <w:r>
                <w:fldChar w:fldCharType="separate"/>
              </w:r>
              <w:r>
                <w:t>97</w:t>
              </w:r>
              <w:r>
                <w:fldChar w:fldCharType="end"/>
              </w:r>
              <w:r>
                <w:fldChar w:fldCharType="end"/>
              </w:r>
            </w:p>
            <w:p w14:paraId="074C4C54">
              <w:pPr>
                <w:pStyle w:val="9"/>
                <w:tabs>
                  <w:tab w:val="right" w:leader="dot" w:pos="9746"/>
                </w:tabs>
              </w:pPr>
              <w:r>
                <w:fldChar w:fldCharType="begin"/>
              </w:r>
              <w:r>
                <w:instrText xml:space="preserve"> HYPERLINK \l _Toc24523 </w:instrText>
              </w:r>
              <w:r>
                <w:fldChar w:fldCharType="separate"/>
              </w:r>
              <w:r>
                <w:rPr>
                  <w:rFonts w:hint="eastAsia"/>
                </w:rPr>
                <w:t>8.5.2机构采购周期与预算不确定</w:t>
              </w:r>
              <w:r>
                <w:tab/>
              </w:r>
              <w:r>
                <w:fldChar w:fldCharType="begin"/>
              </w:r>
              <w:r>
                <w:instrText xml:space="preserve"> PAGEREF _Toc24523 \h </w:instrText>
              </w:r>
              <w:r>
                <w:fldChar w:fldCharType="separate"/>
              </w:r>
              <w:r>
                <w:t>98</w:t>
              </w:r>
              <w:r>
                <w:fldChar w:fldCharType="end"/>
              </w:r>
              <w:r>
                <w:fldChar w:fldCharType="end"/>
              </w:r>
            </w:p>
            <w:p w14:paraId="21396D38">
              <w:pPr>
                <w:pStyle w:val="9"/>
                <w:tabs>
                  <w:tab w:val="right" w:leader="dot" w:pos="9746"/>
                </w:tabs>
              </w:pPr>
              <w:r>
                <w:fldChar w:fldCharType="begin"/>
              </w:r>
              <w:r>
                <w:instrText xml:space="preserve"> HYPERLINK \l _Toc29195 </w:instrText>
              </w:r>
              <w:r>
                <w:fldChar w:fldCharType="separate"/>
              </w:r>
              <w:r>
                <w:rPr>
                  <w:rFonts w:hint="eastAsia"/>
                </w:rPr>
                <w:t>8.5.3供应链风险</w:t>
              </w:r>
              <w:r>
                <w:tab/>
              </w:r>
              <w:r>
                <w:fldChar w:fldCharType="begin"/>
              </w:r>
              <w:r>
                <w:instrText xml:space="preserve"> PAGEREF _Toc29195 \h </w:instrText>
              </w:r>
              <w:r>
                <w:fldChar w:fldCharType="separate"/>
              </w:r>
              <w:r>
                <w:t>98</w:t>
              </w:r>
              <w:r>
                <w:fldChar w:fldCharType="end"/>
              </w:r>
              <w:r>
                <w:fldChar w:fldCharType="end"/>
              </w:r>
            </w:p>
            <w:p w14:paraId="19389520">
              <w:pPr>
                <w:pStyle w:val="13"/>
                <w:tabs>
                  <w:tab w:val="right" w:leader="dot" w:pos="9746"/>
                </w:tabs>
              </w:pPr>
              <w:r>
                <w:fldChar w:fldCharType="begin"/>
              </w:r>
              <w:r>
                <w:instrText xml:space="preserve"> HYPERLINK \l _Toc12102 </w:instrText>
              </w:r>
              <w:r>
                <w:fldChar w:fldCharType="separate"/>
              </w:r>
              <w:r>
                <w:rPr>
                  <w:rFonts w:hint="eastAsia"/>
                </w:rPr>
                <w:t>8.6数据安全与伦理风险</w:t>
              </w:r>
              <w:r>
                <w:tab/>
              </w:r>
              <w:r>
                <w:fldChar w:fldCharType="begin"/>
              </w:r>
              <w:r>
                <w:instrText xml:space="preserve"> PAGEREF _Toc12102 \h </w:instrText>
              </w:r>
              <w:r>
                <w:fldChar w:fldCharType="separate"/>
              </w:r>
              <w:r>
                <w:t>98</w:t>
              </w:r>
              <w:r>
                <w:fldChar w:fldCharType="end"/>
              </w:r>
              <w:r>
                <w:fldChar w:fldCharType="end"/>
              </w:r>
            </w:p>
            <w:p w14:paraId="324CB3A5">
              <w:pPr>
                <w:pStyle w:val="9"/>
                <w:tabs>
                  <w:tab w:val="right" w:leader="dot" w:pos="9746"/>
                </w:tabs>
              </w:pPr>
              <w:r>
                <w:fldChar w:fldCharType="begin"/>
              </w:r>
              <w:r>
                <w:instrText xml:space="preserve"> HYPERLINK \l _Toc6994 </w:instrText>
              </w:r>
              <w:r>
                <w:fldChar w:fldCharType="separate"/>
              </w:r>
              <w:r>
                <w:rPr>
                  <w:rFonts w:hint="eastAsia"/>
                </w:rPr>
                <w:t>8.6.1数据采集伦理</w:t>
              </w:r>
              <w:r>
                <w:tab/>
              </w:r>
              <w:r>
                <w:fldChar w:fldCharType="begin"/>
              </w:r>
              <w:r>
                <w:instrText xml:space="preserve"> PAGEREF _Toc6994 \h </w:instrText>
              </w:r>
              <w:r>
                <w:fldChar w:fldCharType="separate"/>
              </w:r>
              <w:r>
                <w:t>98</w:t>
              </w:r>
              <w:r>
                <w:fldChar w:fldCharType="end"/>
              </w:r>
              <w:r>
                <w:fldChar w:fldCharType="end"/>
              </w:r>
            </w:p>
            <w:p w14:paraId="16992F8D">
              <w:pPr>
                <w:pStyle w:val="9"/>
                <w:tabs>
                  <w:tab w:val="right" w:leader="dot" w:pos="9746"/>
                </w:tabs>
              </w:pPr>
              <w:r>
                <w:fldChar w:fldCharType="begin"/>
              </w:r>
              <w:r>
                <w:instrText xml:space="preserve"> HYPERLINK \l _Toc29720 </w:instrText>
              </w:r>
              <w:r>
                <w:fldChar w:fldCharType="separate"/>
              </w:r>
              <w:r>
                <w:rPr>
                  <w:rFonts w:hint="eastAsia"/>
                </w:rPr>
                <w:t>8.6.2个人信息保护</w:t>
              </w:r>
              <w:r>
                <w:tab/>
              </w:r>
              <w:r>
                <w:fldChar w:fldCharType="begin"/>
              </w:r>
              <w:r>
                <w:instrText xml:space="preserve"> PAGEREF _Toc29720 \h </w:instrText>
              </w:r>
              <w:r>
                <w:fldChar w:fldCharType="separate"/>
              </w:r>
              <w:r>
                <w:t>99</w:t>
              </w:r>
              <w:r>
                <w:fldChar w:fldCharType="end"/>
              </w:r>
              <w:r>
                <w:fldChar w:fldCharType="end"/>
              </w:r>
            </w:p>
            <w:p w14:paraId="00CAD32D">
              <w:pPr>
                <w:pStyle w:val="9"/>
                <w:tabs>
                  <w:tab w:val="right" w:leader="dot" w:pos="9746"/>
                </w:tabs>
              </w:pPr>
              <w:r>
                <w:fldChar w:fldCharType="begin"/>
              </w:r>
              <w:r>
                <w:instrText xml:space="preserve"> HYPERLINK \l _Toc29465 </w:instrText>
              </w:r>
              <w:r>
                <w:fldChar w:fldCharType="separate"/>
              </w:r>
              <w:r>
                <w:rPr>
                  <w:rFonts w:hint="eastAsia"/>
                </w:rPr>
                <w:t>8.6.3公开数据集的许可证合规</w:t>
              </w:r>
              <w:r>
                <w:tab/>
              </w:r>
              <w:r>
                <w:fldChar w:fldCharType="begin"/>
              </w:r>
              <w:r>
                <w:instrText xml:space="preserve"> PAGEREF _Toc29465 \h </w:instrText>
              </w:r>
              <w:r>
                <w:fldChar w:fldCharType="separate"/>
              </w:r>
              <w:r>
                <w:t>99</w:t>
              </w:r>
              <w:r>
                <w:fldChar w:fldCharType="end"/>
              </w:r>
              <w:r>
                <w:fldChar w:fldCharType="end"/>
              </w:r>
            </w:p>
            <w:p w14:paraId="002F3143">
              <w:pPr>
                <w:pStyle w:val="13"/>
                <w:tabs>
                  <w:tab w:val="right" w:leader="dot" w:pos="9746"/>
                </w:tabs>
              </w:pPr>
              <w:r>
                <w:fldChar w:fldCharType="begin"/>
              </w:r>
              <w:r>
                <w:instrText xml:space="preserve"> HYPERLINK \l _Toc24362 </w:instrText>
              </w:r>
              <w:r>
                <w:fldChar w:fldCharType="separate"/>
              </w:r>
              <w:r>
                <w:rPr>
                  <w:rFonts w:hint="eastAsia"/>
                </w:rPr>
                <w:t>8.7财务与税务风险</w:t>
              </w:r>
              <w:r>
                <w:tab/>
              </w:r>
              <w:r>
                <w:fldChar w:fldCharType="begin"/>
              </w:r>
              <w:r>
                <w:instrText xml:space="preserve"> PAGEREF _Toc24362 \h </w:instrText>
              </w:r>
              <w:r>
                <w:fldChar w:fldCharType="separate"/>
              </w:r>
              <w:r>
                <w:t>99</w:t>
              </w:r>
              <w:r>
                <w:fldChar w:fldCharType="end"/>
              </w:r>
              <w:r>
                <w:fldChar w:fldCharType="end"/>
              </w:r>
            </w:p>
            <w:p w14:paraId="042B5482">
              <w:pPr>
                <w:pStyle w:val="9"/>
                <w:tabs>
                  <w:tab w:val="right" w:leader="dot" w:pos="9746"/>
                </w:tabs>
              </w:pPr>
              <w:r>
                <w:fldChar w:fldCharType="begin"/>
              </w:r>
              <w:r>
                <w:instrText xml:space="preserve"> HYPERLINK \l _Toc27567 </w:instrText>
              </w:r>
              <w:r>
                <w:fldChar w:fldCharType="separate"/>
              </w:r>
              <w:r>
                <w:rPr>
                  <w:rFonts w:hint="eastAsia"/>
                </w:rPr>
                <w:t>8.7.1资金链风险</w:t>
              </w:r>
              <w:r>
                <w:tab/>
              </w:r>
              <w:r>
                <w:fldChar w:fldCharType="begin"/>
              </w:r>
              <w:r>
                <w:instrText xml:space="preserve"> PAGEREF _Toc27567 \h </w:instrText>
              </w:r>
              <w:r>
                <w:fldChar w:fldCharType="separate"/>
              </w:r>
              <w:r>
                <w:t>99</w:t>
              </w:r>
              <w:r>
                <w:fldChar w:fldCharType="end"/>
              </w:r>
              <w:r>
                <w:fldChar w:fldCharType="end"/>
              </w:r>
            </w:p>
            <w:p w14:paraId="0C3532DB">
              <w:pPr>
                <w:pStyle w:val="9"/>
                <w:tabs>
                  <w:tab w:val="right" w:leader="dot" w:pos="9746"/>
                </w:tabs>
              </w:pPr>
              <w:r>
                <w:fldChar w:fldCharType="begin"/>
              </w:r>
              <w:r>
                <w:instrText xml:space="preserve"> HYPERLINK \l _Toc28708 </w:instrText>
              </w:r>
              <w:r>
                <w:fldChar w:fldCharType="separate"/>
              </w:r>
              <w:r>
                <w:rPr>
                  <w:rFonts w:hint="eastAsia"/>
                </w:rPr>
                <w:t>8.7.2物料成本高于测算的风险</w:t>
              </w:r>
              <w:r>
                <w:tab/>
              </w:r>
              <w:r>
                <w:fldChar w:fldCharType="begin"/>
              </w:r>
              <w:r>
                <w:instrText xml:space="preserve"> PAGEREF _Toc28708 \h </w:instrText>
              </w:r>
              <w:r>
                <w:fldChar w:fldCharType="separate"/>
              </w:r>
              <w:r>
                <w:t>99</w:t>
              </w:r>
              <w:r>
                <w:fldChar w:fldCharType="end"/>
              </w:r>
              <w:r>
                <w:fldChar w:fldCharType="end"/>
              </w:r>
            </w:p>
            <w:p w14:paraId="192CEE5B">
              <w:pPr>
                <w:pStyle w:val="9"/>
                <w:tabs>
                  <w:tab w:val="right" w:leader="dot" w:pos="9746"/>
                </w:tabs>
              </w:pPr>
              <w:r>
                <w:fldChar w:fldCharType="begin"/>
              </w:r>
              <w:r>
                <w:instrText xml:space="preserve"> HYPERLINK \l _Toc26014 </w:instrText>
              </w:r>
              <w:r>
                <w:fldChar w:fldCharType="separate"/>
              </w:r>
              <w:r>
                <w:rPr>
                  <w:rFonts w:hint="eastAsia"/>
                </w:rPr>
                <w:t>8.7.3税收优惠政策到期</w:t>
              </w:r>
              <w:r>
                <w:tab/>
              </w:r>
              <w:r>
                <w:fldChar w:fldCharType="begin"/>
              </w:r>
              <w:r>
                <w:instrText xml:space="preserve"> PAGEREF _Toc26014 \h </w:instrText>
              </w:r>
              <w:r>
                <w:fldChar w:fldCharType="separate"/>
              </w:r>
              <w:r>
                <w:t>100</w:t>
              </w:r>
              <w:r>
                <w:fldChar w:fldCharType="end"/>
              </w:r>
              <w:r>
                <w:fldChar w:fldCharType="end"/>
              </w:r>
            </w:p>
            <w:p w14:paraId="3CCCDEF7">
              <w:pPr>
                <w:pStyle w:val="13"/>
                <w:tabs>
                  <w:tab w:val="right" w:leader="dot" w:pos="9746"/>
                </w:tabs>
              </w:pPr>
              <w:r>
                <w:fldChar w:fldCharType="begin"/>
              </w:r>
              <w:r>
                <w:instrText xml:space="preserve"> HYPERLINK \l _Toc19360 </w:instrText>
              </w:r>
              <w:r>
                <w:fldChar w:fldCharType="separate"/>
              </w:r>
              <w:r>
                <w:rPr>
                  <w:rFonts w:hint="eastAsia"/>
                </w:rPr>
                <w:t>8.8团队风险</w:t>
              </w:r>
              <w:r>
                <w:tab/>
              </w:r>
              <w:r>
                <w:fldChar w:fldCharType="begin"/>
              </w:r>
              <w:r>
                <w:instrText xml:space="preserve"> PAGEREF _Toc19360 \h </w:instrText>
              </w:r>
              <w:r>
                <w:fldChar w:fldCharType="separate"/>
              </w:r>
              <w:r>
                <w:t>100</w:t>
              </w:r>
              <w:r>
                <w:fldChar w:fldCharType="end"/>
              </w:r>
              <w:r>
                <w:fldChar w:fldCharType="end"/>
              </w:r>
            </w:p>
            <w:p w14:paraId="53C4509D">
              <w:pPr>
                <w:pStyle w:val="11"/>
                <w:tabs>
                  <w:tab w:val="right" w:leader="dot" w:pos="9746"/>
                </w:tabs>
              </w:pPr>
              <w:r>
                <w:fldChar w:fldCharType="begin"/>
              </w:r>
              <w:r>
                <w:instrText xml:space="preserve"> HYPERLINK \l _Toc4520 </w:instrText>
              </w:r>
              <w:r>
                <w:fldChar w:fldCharType="separate"/>
              </w:r>
              <w:r>
                <w:rPr>
                  <w:rFonts w:hint="default"/>
                </w:rPr>
                <w:t xml:space="preserve">9. </w:t>
              </w:r>
              <w:r>
                <w:rPr>
                  <w:rFonts w:hint="eastAsia"/>
                </w:rPr>
                <w:t>社会价值与教育实效</w:t>
              </w:r>
              <w:r>
                <w:tab/>
              </w:r>
              <w:r>
                <w:fldChar w:fldCharType="begin"/>
              </w:r>
              <w:r>
                <w:instrText xml:space="preserve"> PAGEREF _Toc4520 \h </w:instrText>
              </w:r>
              <w:r>
                <w:fldChar w:fldCharType="separate"/>
              </w:r>
              <w:r>
                <w:t>101</w:t>
              </w:r>
              <w:r>
                <w:fldChar w:fldCharType="end"/>
              </w:r>
              <w:r>
                <w:fldChar w:fldCharType="end"/>
              </w:r>
            </w:p>
            <w:p w14:paraId="3E091684">
              <w:pPr>
                <w:pStyle w:val="13"/>
                <w:tabs>
                  <w:tab w:val="right" w:leader="dot" w:pos="9746"/>
                </w:tabs>
              </w:pPr>
              <w:r>
                <w:fldChar w:fldCharType="begin"/>
              </w:r>
              <w:r>
                <w:instrText xml:space="preserve"> HYPERLINK \l _Toc21977 </w:instrText>
              </w:r>
              <w:r>
                <w:fldChar w:fldCharType="separate"/>
              </w:r>
              <w:r>
                <w:rPr>
                  <w:rFonts w:hint="eastAsia"/>
                </w:rPr>
                <w:t>9.1民生福祉价值</w:t>
              </w:r>
              <w:r>
                <w:tab/>
              </w:r>
              <w:r>
                <w:fldChar w:fldCharType="begin"/>
              </w:r>
              <w:r>
                <w:instrText xml:space="preserve"> PAGEREF _Toc21977 \h </w:instrText>
              </w:r>
              <w:r>
                <w:fldChar w:fldCharType="separate"/>
              </w:r>
              <w:r>
                <w:t>101</w:t>
              </w:r>
              <w:r>
                <w:fldChar w:fldCharType="end"/>
              </w:r>
              <w:r>
                <w:fldChar w:fldCharType="end"/>
              </w:r>
            </w:p>
            <w:p w14:paraId="69396249">
              <w:pPr>
                <w:pStyle w:val="9"/>
                <w:tabs>
                  <w:tab w:val="right" w:leader="dot" w:pos="9746"/>
                </w:tabs>
              </w:pPr>
              <w:r>
                <w:fldChar w:fldCharType="begin"/>
              </w:r>
              <w:r>
                <w:instrText xml:space="preserve"> HYPERLINK \l _Toc2843 </w:instrText>
              </w:r>
              <w:r>
                <w:fldChar w:fldCharType="separate"/>
              </w:r>
              <w:r>
                <w:rPr>
                  <w:rFonts w:hint="eastAsia"/>
                </w:rPr>
                <w:t>9.1.1降低老年跌倒的伤害后果</w:t>
              </w:r>
              <w:r>
                <w:tab/>
              </w:r>
              <w:r>
                <w:fldChar w:fldCharType="begin"/>
              </w:r>
              <w:r>
                <w:instrText xml:space="preserve"> PAGEREF _Toc2843 \h </w:instrText>
              </w:r>
              <w:r>
                <w:fldChar w:fldCharType="separate"/>
              </w:r>
              <w:r>
                <w:t>101</w:t>
              </w:r>
              <w:r>
                <w:fldChar w:fldCharType="end"/>
              </w:r>
              <w:r>
                <w:fldChar w:fldCharType="end"/>
              </w:r>
            </w:p>
            <w:p w14:paraId="508A7B10">
              <w:pPr>
                <w:pStyle w:val="9"/>
                <w:tabs>
                  <w:tab w:val="right" w:leader="dot" w:pos="9746"/>
                </w:tabs>
              </w:pPr>
              <w:r>
                <w:fldChar w:fldCharType="begin"/>
              </w:r>
              <w:r>
                <w:instrText xml:space="preserve"> HYPERLINK \l _Toc22473 </w:instrText>
              </w:r>
              <w:r>
                <w:fldChar w:fldCharType="separate"/>
              </w:r>
              <w:r>
                <w:rPr>
                  <w:rFonts w:hint="eastAsia"/>
                </w:rPr>
                <w:t>9.1.2提升独居老人的生活自主性</w:t>
              </w:r>
              <w:r>
                <w:tab/>
              </w:r>
              <w:r>
                <w:fldChar w:fldCharType="begin"/>
              </w:r>
              <w:r>
                <w:instrText xml:space="preserve"> PAGEREF _Toc22473 \h </w:instrText>
              </w:r>
              <w:r>
                <w:fldChar w:fldCharType="separate"/>
              </w:r>
              <w:r>
                <w:t>101</w:t>
              </w:r>
              <w:r>
                <w:fldChar w:fldCharType="end"/>
              </w:r>
              <w:r>
                <w:fldChar w:fldCharType="end"/>
              </w:r>
            </w:p>
            <w:p w14:paraId="1429246D">
              <w:pPr>
                <w:pStyle w:val="9"/>
                <w:tabs>
                  <w:tab w:val="right" w:leader="dot" w:pos="9746"/>
                </w:tabs>
              </w:pPr>
              <w:r>
                <w:fldChar w:fldCharType="begin"/>
              </w:r>
              <w:r>
                <w:instrText xml:space="preserve"> HYPERLINK \l _Toc5775 </w:instrText>
              </w:r>
              <w:r>
                <w:fldChar w:fldCharType="separate"/>
              </w:r>
              <w:r>
                <w:rPr>
                  <w:rFonts w:hint="eastAsia"/>
                </w:rPr>
                <w:t>9.1.3减轻社会医疗与照护负担</w:t>
              </w:r>
              <w:r>
                <w:tab/>
              </w:r>
              <w:r>
                <w:fldChar w:fldCharType="begin"/>
              </w:r>
              <w:r>
                <w:instrText xml:space="preserve"> PAGEREF _Toc5775 \h </w:instrText>
              </w:r>
              <w:r>
                <w:fldChar w:fldCharType="separate"/>
              </w:r>
              <w:r>
                <w:t>101</w:t>
              </w:r>
              <w:r>
                <w:fldChar w:fldCharType="end"/>
              </w:r>
              <w:r>
                <w:fldChar w:fldCharType="end"/>
              </w:r>
            </w:p>
            <w:p w14:paraId="463701C9">
              <w:pPr>
                <w:pStyle w:val="13"/>
                <w:tabs>
                  <w:tab w:val="right" w:leader="dot" w:pos="9746"/>
                </w:tabs>
              </w:pPr>
              <w:r>
                <w:fldChar w:fldCharType="begin"/>
              </w:r>
              <w:r>
                <w:instrText xml:space="preserve"> HYPERLINK \l _Toc27960 </w:instrText>
              </w:r>
              <w:r>
                <w:fldChar w:fldCharType="separate"/>
              </w:r>
              <w:r>
                <w:rPr>
                  <w:rFonts w:hint="eastAsia"/>
                </w:rPr>
                <w:t>9.2服务基层社会治理</w:t>
              </w:r>
              <w:r>
                <w:tab/>
              </w:r>
              <w:r>
                <w:fldChar w:fldCharType="begin"/>
              </w:r>
              <w:r>
                <w:instrText xml:space="preserve"> PAGEREF _Toc27960 \h </w:instrText>
              </w:r>
              <w:r>
                <w:fldChar w:fldCharType="separate"/>
              </w:r>
              <w:r>
                <w:t>101</w:t>
              </w:r>
              <w:r>
                <w:fldChar w:fldCharType="end"/>
              </w:r>
              <w:r>
                <w:fldChar w:fldCharType="end"/>
              </w:r>
            </w:p>
            <w:p w14:paraId="31170771">
              <w:pPr>
                <w:pStyle w:val="9"/>
                <w:tabs>
                  <w:tab w:val="right" w:leader="dot" w:pos="9746"/>
                </w:tabs>
              </w:pPr>
              <w:r>
                <w:fldChar w:fldCharType="begin"/>
              </w:r>
              <w:r>
                <w:instrText xml:space="preserve"> HYPERLINK \l _Toc27645 </w:instrText>
              </w:r>
              <w:r>
                <w:fldChar w:fldCharType="separate"/>
              </w:r>
              <w:r>
                <w:rPr>
                  <w:rFonts w:hint="eastAsia"/>
                </w:rPr>
                <w:t>9.2.1为适老化改造提供决策依据</w:t>
              </w:r>
              <w:r>
                <w:tab/>
              </w:r>
              <w:r>
                <w:fldChar w:fldCharType="begin"/>
              </w:r>
              <w:r>
                <w:instrText xml:space="preserve"> PAGEREF _Toc27645 \h </w:instrText>
              </w:r>
              <w:r>
                <w:fldChar w:fldCharType="separate"/>
              </w:r>
              <w:r>
                <w:t>102</w:t>
              </w:r>
              <w:r>
                <w:fldChar w:fldCharType="end"/>
              </w:r>
              <w:r>
                <w:fldChar w:fldCharType="end"/>
              </w:r>
            </w:p>
            <w:p w14:paraId="5CA0EF1D">
              <w:pPr>
                <w:pStyle w:val="9"/>
                <w:tabs>
                  <w:tab w:val="right" w:leader="dot" w:pos="9746"/>
                </w:tabs>
              </w:pPr>
              <w:r>
                <w:fldChar w:fldCharType="begin"/>
              </w:r>
              <w:r>
                <w:instrText xml:space="preserve"> HYPERLINK \l _Toc29793 </w:instrText>
              </w:r>
              <w:r>
                <w:fldChar w:fldCharType="separate"/>
              </w:r>
              <w:r>
                <w:rPr>
                  <w:rFonts w:hint="eastAsia"/>
                </w:rPr>
                <w:t>9.2.2嵌入社区养老服务体系</w:t>
              </w:r>
              <w:r>
                <w:tab/>
              </w:r>
              <w:r>
                <w:fldChar w:fldCharType="begin"/>
              </w:r>
              <w:r>
                <w:instrText xml:space="preserve"> PAGEREF _Toc29793 \h </w:instrText>
              </w:r>
              <w:r>
                <w:fldChar w:fldCharType="separate"/>
              </w:r>
              <w:r>
                <w:t>102</w:t>
              </w:r>
              <w:r>
                <w:fldChar w:fldCharType="end"/>
              </w:r>
              <w:r>
                <w:fldChar w:fldCharType="end"/>
              </w:r>
            </w:p>
            <w:p w14:paraId="687CCD35">
              <w:pPr>
                <w:pStyle w:val="9"/>
                <w:tabs>
                  <w:tab w:val="right" w:leader="dot" w:pos="9746"/>
                </w:tabs>
              </w:pPr>
              <w:r>
                <w:fldChar w:fldCharType="begin"/>
              </w:r>
              <w:r>
                <w:instrText xml:space="preserve"> HYPERLINK \l _Toc26185 </w:instrText>
              </w:r>
              <w:r>
                <w:fldChar w:fldCharType="separate"/>
              </w:r>
              <w:r>
                <w:rPr>
                  <w:rFonts w:hint="eastAsia"/>
                </w:rPr>
                <w:t>9.2.3提升照护资源的配置效率</w:t>
              </w:r>
              <w:r>
                <w:tab/>
              </w:r>
              <w:r>
                <w:fldChar w:fldCharType="begin"/>
              </w:r>
              <w:r>
                <w:instrText xml:space="preserve"> PAGEREF _Toc26185 \h </w:instrText>
              </w:r>
              <w:r>
                <w:fldChar w:fldCharType="separate"/>
              </w:r>
              <w:r>
                <w:t>102</w:t>
              </w:r>
              <w:r>
                <w:fldChar w:fldCharType="end"/>
              </w:r>
              <w:r>
                <w:fldChar w:fldCharType="end"/>
              </w:r>
            </w:p>
            <w:p w14:paraId="76FC392A">
              <w:pPr>
                <w:pStyle w:val="13"/>
                <w:tabs>
                  <w:tab w:val="right" w:leader="dot" w:pos="9746"/>
                </w:tabs>
              </w:pPr>
              <w:r>
                <w:fldChar w:fldCharType="begin"/>
              </w:r>
              <w:r>
                <w:instrText xml:space="preserve"> HYPERLINK \l _Toc25546 </w:instrText>
              </w:r>
              <w:r>
                <w:fldChar w:fldCharType="separate"/>
              </w:r>
              <w:r>
                <w:rPr>
                  <w:rFonts w:hint="eastAsia"/>
                </w:rPr>
                <w:t>9.3可复制性与示范效应</w:t>
              </w:r>
              <w:r>
                <w:tab/>
              </w:r>
              <w:r>
                <w:fldChar w:fldCharType="begin"/>
              </w:r>
              <w:r>
                <w:instrText xml:space="preserve"> PAGEREF _Toc25546 \h </w:instrText>
              </w:r>
              <w:r>
                <w:fldChar w:fldCharType="separate"/>
              </w:r>
              <w:r>
                <w:t>102</w:t>
              </w:r>
              <w:r>
                <w:fldChar w:fldCharType="end"/>
              </w:r>
              <w:r>
                <w:fldChar w:fldCharType="end"/>
              </w:r>
            </w:p>
            <w:p w14:paraId="24B7B0B5">
              <w:pPr>
                <w:pStyle w:val="9"/>
                <w:tabs>
                  <w:tab w:val="right" w:leader="dot" w:pos="9746"/>
                </w:tabs>
              </w:pPr>
              <w:r>
                <w:fldChar w:fldCharType="begin"/>
              </w:r>
              <w:r>
                <w:instrText xml:space="preserve"> HYPERLINK \l _Toc21579 </w:instrText>
              </w:r>
              <w:r>
                <w:fldChar w:fldCharType="separate"/>
              </w:r>
              <w:r>
                <w:rPr>
                  <w:rFonts w:hint="eastAsia"/>
                </w:rPr>
                <w:t>9.3.1三项降低复制门槛的设计</w:t>
              </w:r>
              <w:r>
                <w:tab/>
              </w:r>
              <w:r>
                <w:fldChar w:fldCharType="begin"/>
              </w:r>
              <w:r>
                <w:instrText xml:space="preserve"> PAGEREF _Toc21579 \h </w:instrText>
              </w:r>
              <w:r>
                <w:fldChar w:fldCharType="separate"/>
              </w:r>
              <w:r>
                <w:t>102</w:t>
              </w:r>
              <w:r>
                <w:fldChar w:fldCharType="end"/>
              </w:r>
              <w:r>
                <w:fldChar w:fldCharType="end"/>
              </w:r>
            </w:p>
            <w:p w14:paraId="427FA42C">
              <w:pPr>
                <w:pStyle w:val="9"/>
                <w:tabs>
                  <w:tab w:val="right" w:leader="dot" w:pos="9746"/>
                </w:tabs>
              </w:pPr>
              <w:r>
                <w:fldChar w:fldCharType="begin"/>
              </w:r>
              <w:r>
                <w:instrText xml:space="preserve"> HYPERLINK \l _Toc24490 </w:instrText>
              </w:r>
              <w:r>
                <w:fldChar w:fldCharType="separate"/>
              </w:r>
              <w:r>
                <w:rPr>
                  <w:rFonts w:hint="eastAsia"/>
                </w:rPr>
                <w:t>9.3.2社区落地标准作业清单</w:t>
              </w:r>
              <w:r>
                <w:tab/>
              </w:r>
              <w:r>
                <w:fldChar w:fldCharType="begin"/>
              </w:r>
              <w:r>
                <w:instrText xml:space="preserve"> PAGEREF _Toc24490 \h </w:instrText>
              </w:r>
              <w:r>
                <w:fldChar w:fldCharType="separate"/>
              </w:r>
              <w:r>
                <w:t>103</w:t>
              </w:r>
              <w:r>
                <w:fldChar w:fldCharType="end"/>
              </w:r>
              <w:r>
                <w:fldChar w:fldCharType="end"/>
              </w:r>
            </w:p>
            <w:p w14:paraId="7C8846C0">
              <w:pPr>
                <w:pStyle w:val="9"/>
                <w:tabs>
                  <w:tab w:val="right" w:leader="dot" w:pos="9746"/>
                </w:tabs>
              </w:pPr>
              <w:r>
                <w:fldChar w:fldCharType="begin"/>
              </w:r>
              <w:r>
                <w:instrText xml:space="preserve"> HYPERLINK \l _Toc7963 </w:instrText>
              </w:r>
              <w:r>
                <w:fldChar w:fldCharType="separate"/>
              </w:r>
              <w:r>
                <w:rPr>
                  <w:rFonts w:hint="eastAsia"/>
                </w:rPr>
                <w:t>9.3.3推广路径与覆盖测算</w:t>
              </w:r>
              <w:r>
                <w:tab/>
              </w:r>
              <w:r>
                <w:fldChar w:fldCharType="begin"/>
              </w:r>
              <w:r>
                <w:instrText xml:space="preserve"> PAGEREF _Toc7963 \h </w:instrText>
              </w:r>
              <w:r>
                <w:fldChar w:fldCharType="separate"/>
              </w:r>
              <w:r>
                <w:t>103</w:t>
              </w:r>
              <w:r>
                <w:fldChar w:fldCharType="end"/>
              </w:r>
              <w:r>
                <w:fldChar w:fldCharType="end"/>
              </w:r>
            </w:p>
            <w:p w14:paraId="02FB5267">
              <w:pPr>
                <w:pStyle w:val="13"/>
                <w:tabs>
                  <w:tab w:val="right" w:leader="dot" w:pos="9746"/>
                </w:tabs>
              </w:pPr>
              <w:r>
                <w:fldChar w:fldCharType="begin"/>
              </w:r>
              <w:r>
                <w:instrText xml:space="preserve"> HYPERLINK \l _Toc5004 </w:instrText>
              </w:r>
              <w:r>
                <w:fldChar w:fldCharType="separate"/>
              </w:r>
              <w:r>
                <w:rPr>
                  <w:rFonts w:hint="eastAsia"/>
                </w:rPr>
                <w:t>9.4带动就业</w:t>
              </w:r>
              <w:r>
                <w:tab/>
              </w:r>
              <w:r>
                <w:fldChar w:fldCharType="begin"/>
              </w:r>
              <w:r>
                <w:instrText xml:space="preserve"> PAGEREF _Toc5004 \h </w:instrText>
              </w:r>
              <w:r>
                <w:fldChar w:fldCharType="separate"/>
              </w:r>
              <w:r>
                <w:t>104</w:t>
              </w:r>
              <w:r>
                <w:fldChar w:fldCharType="end"/>
              </w:r>
              <w:r>
                <w:fldChar w:fldCharType="end"/>
              </w:r>
            </w:p>
            <w:p w14:paraId="6EB3E871">
              <w:pPr>
                <w:pStyle w:val="9"/>
                <w:tabs>
                  <w:tab w:val="right" w:leader="dot" w:pos="9746"/>
                </w:tabs>
              </w:pPr>
              <w:r>
                <w:fldChar w:fldCharType="begin"/>
              </w:r>
              <w:r>
                <w:instrText xml:space="preserve"> HYPERLINK \l _Toc22433 </w:instrText>
              </w:r>
              <w:r>
                <w:fldChar w:fldCharType="separate"/>
              </w:r>
              <w:r>
                <w:rPr>
                  <w:rFonts w:hint="eastAsia"/>
                </w:rPr>
                <w:t>9.4.1直接就业</w:t>
              </w:r>
              <w:r>
                <w:tab/>
              </w:r>
              <w:r>
                <w:fldChar w:fldCharType="begin"/>
              </w:r>
              <w:r>
                <w:instrText xml:space="preserve"> PAGEREF _Toc22433 \h </w:instrText>
              </w:r>
              <w:r>
                <w:fldChar w:fldCharType="separate"/>
              </w:r>
              <w:r>
                <w:t>104</w:t>
              </w:r>
              <w:r>
                <w:fldChar w:fldCharType="end"/>
              </w:r>
              <w:r>
                <w:fldChar w:fldCharType="end"/>
              </w:r>
            </w:p>
            <w:p w14:paraId="008C3EA3">
              <w:pPr>
                <w:pStyle w:val="9"/>
                <w:tabs>
                  <w:tab w:val="right" w:leader="dot" w:pos="9746"/>
                </w:tabs>
              </w:pPr>
              <w:r>
                <w:fldChar w:fldCharType="begin"/>
              </w:r>
              <w:r>
                <w:instrText xml:space="preserve"> HYPERLINK \l _Toc14873 </w:instrText>
              </w:r>
              <w:r>
                <w:fldChar w:fldCharType="separate"/>
              </w:r>
              <w:r>
                <w:rPr>
                  <w:rFonts w:hint="eastAsia"/>
                </w:rPr>
                <w:t>9.4.2间接带动</w:t>
              </w:r>
              <w:r>
                <w:tab/>
              </w:r>
              <w:r>
                <w:fldChar w:fldCharType="begin"/>
              </w:r>
              <w:r>
                <w:instrText xml:space="preserve"> PAGEREF _Toc14873 \h </w:instrText>
              </w:r>
              <w:r>
                <w:fldChar w:fldCharType="separate"/>
              </w:r>
              <w:r>
                <w:t>104</w:t>
              </w:r>
              <w:r>
                <w:fldChar w:fldCharType="end"/>
              </w:r>
              <w:r>
                <w:fldChar w:fldCharType="end"/>
              </w:r>
            </w:p>
            <w:p w14:paraId="5D08E24C">
              <w:pPr>
                <w:pStyle w:val="13"/>
                <w:tabs>
                  <w:tab w:val="right" w:leader="dot" w:pos="9746"/>
                </w:tabs>
              </w:pPr>
              <w:r>
                <w:fldChar w:fldCharType="begin"/>
              </w:r>
              <w:r>
                <w:instrText xml:space="preserve"> HYPERLINK \l _Toc3513 </w:instrText>
              </w:r>
              <w:r>
                <w:fldChar w:fldCharType="separate"/>
              </w:r>
              <w:r>
                <w:rPr>
                  <w:rFonts w:hint="eastAsia"/>
                </w:rPr>
                <w:t>9.5教育实效</w:t>
              </w:r>
              <w:r>
                <w:tab/>
              </w:r>
              <w:r>
                <w:fldChar w:fldCharType="begin"/>
              </w:r>
              <w:r>
                <w:instrText xml:space="preserve"> PAGEREF _Toc3513 \h </w:instrText>
              </w:r>
              <w:r>
                <w:fldChar w:fldCharType="separate"/>
              </w:r>
              <w:r>
                <w:t>105</w:t>
              </w:r>
              <w:r>
                <w:fldChar w:fldCharType="end"/>
              </w:r>
              <w:r>
                <w:fldChar w:fldCharType="end"/>
              </w:r>
            </w:p>
            <w:p w14:paraId="42C7646C">
              <w:pPr>
                <w:pStyle w:val="9"/>
                <w:tabs>
                  <w:tab w:val="right" w:leader="dot" w:pos="9746"/>
                </w:tabs>
              </w:pPr>
              <w:r>
                <w:fldChar w:fldCharType="begin"/>
              </w:r>
              <w:r>
                <w:instrText xml:space="preserve"> HYPERLINK \l _Toc19506 </w:instrText>
              </w:r>
              <w:r>
                <w:fldChar w:fldCharType="separate"/>
              </w:r>
              <w:r>
                <w:rPr>
                  <w:rFonts w:hint="eastAsia"/>
                </w:rPr>
                <w:t>9.5.1项目的产生：从课程与实验室到真实问题</w:t>
              </w:r>
              <w:r>
                <w:tab/>
              </w:r>
              <w:r>
                <w:fldChar w:fldCharType="begin"/>
              </w:r>
              <w:r>
                <w:instrText xml:space="preserve"> PAGEREF _Toc19506 \h </w:instrText>
              </w:r>
              <w:r>
                <w:fldChar w:fldCharType="separate"/>
              </w:r>
              <w:r>
                <w:t>105</w:t>
              </w:r>
              <w:r>
                <w:fldChar w:fldCharType="end"/>
              </w:r>
              <w:r>
                <w:fldChar w:fldCharType="end"/>
              </w:r>
            </w:p>
            <w:p w14:paraId="666655B7">
              <w:pPr>
                <w:pStyle w:val="9"/>
                <w:tabs>
                  <w:tab w:val="right" w:leader="dot" w:pos="9746"/>
                </w:tabs>
              </w:pPr>
              <w:r>
                <w:fldChar w:fldCharType="begin"/>
              </w:r>
              <w:r>
                <w:instrText xml:space="preserve"> HYPERLINK \l _Toc9581 </w:instrText>
              </w:r>
              <w:r>
                <w:fldChar w:fldCharType="separate"/>
              </w:r>
              <w:r>
                <w:rPr>
                  <w:rFonts w:hint="eastAsia"/>
                </w:rPr>
                <w:t>9.5.2学校的培育与支持</w:t>
              </w:r>
              <w:r>
                <w:tab/>
              </w:r>
              <w:r>
                <w:fldChar w:fldCharType="begin"/>
              </w:r>
              <w:r>
                <w:instrText xml:space="preserve"> PAGEREF _Toc9581 \h </w:instrText>
              </w:r>
              <w:r>
                <w:fldChar w:fldCharType="separate"/>
              </w:r>
              <w:r>
                <w:t>105</w:t>
              </w:r>
              <w:r>
                <w:fldChar w:fldCharType="end"/>
              </w:r>
              <w:r>
                <w:fldChar w:fldCharType="end"/>
              </w:r>
            </w:p>
            <w:p w14:paraId="424AC24D">
              <w:pPr>
                <w:pStyle w:val="9"/>
                <w:tabs>
                  <w:tab w:val="right" w:leader="dot" w:pos="9746"/>
                </w:tabs>
              </w:pPr>
              <w:r>
                <w:fldChar w:fldCharType="begin"/>
              </w:r>
              <w:r>
                <w:instrText xml:space="preserve"> HYPERLINK \l _Toc22967 </w:instrText>
              </w:r>
              <w:r>
                <w:fldChar w:fldCharType="separate"/>
              </w:r>
              <w:r>
                <w:rPr>
                  <w:rFonts w:hint="eastAsia"/>
                </w:rPr>
                <w:t>9.5.3多学科交叉的实质体现</w:t>
              </w:r>
              <w:r>
                <w:tab/>
              </w:r>
              <w:r>
                <w:fldChar w:fldCharType="begin"/>
              </w:r>
              <w:r>
                <w:instrText xml:space="preserve"> PAGEREF _Toc22967 \h </w:instrText>
              </w:r>
              <w:r>
                <w:fldChar w:fldCharType="separate"/>
              </w:r>
              <w:r>
                <w:t>106</w:t>
              </w:r>
              <w:r>
                <w:fldChar w:fldCharType="end"/>
              </w:r>
              <w:r>
                <w:fldChar w:fldCharType="end"/>
              </w:r>
            </w:p>
            <w:p w14:paraId="083E4D6A">
              <w:pPr>
                <w:pStyle w:val="9"/>
                <w:tabs>
                  <w:tab w:val="right" w:leader="dot" w:pos="9746"/>
                </w:tabs>
              </w:pPr>
              <w:r>
                <w:fldChar w:fldCharType="begin"/>
              </w:r>
              <w:r>
                <w:instrText xml:space="preserve"> HYPERLINK \l _Toc17174 </w:instrText>
              </w:r>
              <w:r>
                <w:fldChar w:fldCharType="separate"/>
              </w:r>
              <w:r>
                <w:rPr>
                  <w:rFonts w:hint="eastAsia"/>
                </w:rPr>
                <w:t>9.5.4从实验室走进社区：暑期社会实践的育人闭环</w:t>
              </w:r>
              <w:r>
                <w:tab/>
              </w:r>
              <w:r>
                <w:fldChar w:fldCharType="begin"/>
              </w:r>
              <w:r>
                <w:instrText xml:space="preserve"> PAGEREF _Toc17174 \h </w:instrText>
              </w:r>
              <w:r>
                <w:fldChar w:fldCharType="separate"/>
              </w:r>
              <w:r>
                <w:t>108</w:t>
              </w:r>
              <w:r>
                <w:fldChar w:fldCharType="end"/>
              </w:r>
              <w:r>
                <w:fldChar w:fldCharType="end"/>
              </w:r>
            </w:p>
            <w:p w14:paraId="2B5C4486">
              <w:pPr>
                <w:pStyle w:val="9"/>
                <w:tabs>
                  <w:tab w:val="right" w:leader="dot" w:pos="9746"/>
                </w:tabs>
              </w:pPr>
              <w:r>
                <w:fldChar w:fldCharType="begin"/>
              </w:r>
              <w:r>
                <w:instrText xml:space="preserve"> HYPERLINK \l _Toc25011 </w:instrText>
              </w:r>
              <w:r>
                <w:fldChar w:fldCharType="separate"/>
              </w:r>
              <w:r>
                <w:rPr>
                  <w:rFonts w:hint="eastAsia"/>
                </w:rPr>
                <w:t>9.5.5竞赛培育的成效</w:t>
              </w:r>
              <w:r>
                <w:tab/>
              </w:r>
              <w:r>
                <w:fldChar w:fldCharType="begin"/>
              </w:r>
              <w:r>
                <w:instrText xml:space="preserve"> PAGEREF _Toc25011 \h </w:instrText>
              </w:r>
              <w:r>
                <w:fldChar w:fldCharType="separate"/>
              </w:r>
              <w:r>
                <w:t>110</w:t>
              </w:r>
              <w:r>
                <w:fldChar w:fldCharType="end"/>
              </w:r>
              <w:r>
                <w:fldChar w:fldCharType="end"/>
              </w:r>
            </w:p>
            <w:p w14:paraId="0C14E366">
              <w:pPr>
                <w:pStyle w:val="9"/>
                <w:tabs>
                  <w:tab w:val="right" w:leader="dot" w:pos="9746"/>
                </w:tabs>
              </w:pPr>
              <w:r>
                <w:fldChar w:fldCharType="begin"/>
              </w:r>
              <w:r>
                <w:instrText xml:space="preserve"> HYPERLINK \l _Toc27998 </w:instrText>
              </w:r>
              <w:r>
                <w:fldChar w:fldCharType="separate"/>
              </w:r>
              <w:r>
                <w:rPr>
                  <w:rFonts w:hint="eastAsia"/>
                </w:rPr>
                <w:t>9.5.6对创新创业教育的反哺</w:t>
              </w:r>
              <w:r>
                <w:tab/>
              </w:r>
              <w:r>
                <w:fldChar w:fldCharType="begin"/>
              </w:r>
              <w:r>
                <w:instrText xml:space="preserve"> PAGEREF _Toc27998 \h </w:instrText>
              </w:r>
              <w:r>
                <w:fldChar w:fldCharType="separate"/>
              </w:r>
              <w:r>
                <w:t>111</w:t>
              </w:r>
              <w:r>
                <w:fldChar w:fldCharType="end"/>
              </w:r>
              <w:r>
                <w:fldChar w:fldCharType="end"/>
              </w:r>
            </w:p>
            <w:p w14:paraId="40CB68FD">
              <w:pPr>
                <w:pStyle w:val="9"/>
                <w:tabs>
                  <w:tab w:val="right" w:leader="dot" w:pos="9746"/>
                </w:tabs>
              </w:pPr>
              <w:r>
                <w:fldChar w:fldCharType="begin"/>
              </w:r>
              <w:r>
                <w:instrText xml:space="preserve"> HYPERLINK \l _Toc27847 </w:instrText>
              </w:r>
              <w:r>
                <w:fldChar w:fldCharType="separate"/>
              </w:r>
              <w:r>
                <w:rPr>
                  <w:rFonts w:hint="eastAsia"/>
                </w:rPr>
                <w:t>9.5.7团队成员的成长</w:t>
              </w:r>
              <w:r>
                <w:tab/>
              </w:r>
              <w:r>
                <w:fldChar w:fldCharType="begin"/>
              </w:r>
              <w:r>
                <w:instrText xml:space="preserve"> PAGEREF _Toc27847 \h </w:instrText>
              </w:r>
              <w:r>
                <w:fldChar w:fldCharType="separate"/>
              </w:r>
              <w:r>
                <w:t>112</w:t>
              </w:r>
              <w:r>
                <w:fldChar w:fldCharType="end"/>
              </w:r>
              <w:r>
                <w:fldChar w:fldCharType="end"/>
              </w:r>
            </w:p>
            <w:p w14:paraId="49DFAD67">
              <w:pPr>
                <w:pStyle w:val="11"/>
                <w:tabs>
                  <w:tab w:val="right" w:leader="dot" w:pos="9746"/>
                </w:tabs>
              </w:pPr>
              <w:r>
                <w:fldChar w:fldCharType="begin"/>
              </w:r>
              <w:r>
                <w:instrText xml:space="preserve"> HYPERLINK \l _Toc15483 </w:instrText>
              </w:r>
              <w:r>
                <w:fldChar w:fldCharType="separate"/>
              </w:r>
              <w:r>
                <w:rPr>
                  <w:rFonts w:hint="default"/>
                </w:rPr>
                <w:t xml:space="preserve">10. </w:t>
              </w:r>
              <w:r>
                <w:rPr>
                  <w:rFonts w:hint="eastAsia"/>
                </w:rPr>
                <w:t>附录</w:t>
              </w:r>
              <w:r>
                <w:tab/>
              </w:r>
              <w:r>
                <w:fldChar w:fldCharType="begin"/>
              </w:r>
              <w:r>
                <w:instrText xml:space="preserve"> PAGEREF _Toc15483 \h </w:instrText>
              </w:r>
              <w:r>
                <w:fldChar w:fldCharType="separate"/>
              </w:r>
              <w:r>
                <w:t>113</w:t>
              </w:r>
              <w:r>
                <w:fldChar w:fldCharType="end"/>
              </w:r>
              <w:r>
                <w:fldChar w:fldCharType="end"/>
              </w:r>
            </w:p>
            <w:p w14:paraId="39A2A571">
              <w:pPr>
                <w:pStyle w:val="13"/>
                <w:tabs>
                  <w:tab w:val="right" w:leader="dot" w:pos="9746"/>
                </w:tabs>
              </w:pPr>
              <w:r>
                <w:fldChar w:fldCharType="begin"/>
              </w:r>
              <w:r>
                <w:instrText xml:space="preserve"> HYPERLINK \l _Toc1031 </w:instrText>
              </w:r>
              <w:r>
                <w:fldChar w:fldCharType="separate"/>
              </w:r>
              <w:r>
                <w:rPr>
                  <w:rFonts w:hint="eastAsia"/>
                </w:rPr>
                <w:t>10.1附录清单总览</w:t>
              </w:r>
              <w:r>
                <w:tab/>
              </w:r>
              <w:r>
                <w:fldChar w:fldCharType="begin"/>
              </w:r>
              <w:r>
                <w:instrText xml:space="preserve"> PAGEREF _Toc1031 \h </w:instrText>
              </w:r>
              <w:r>
                <w:fldChar w:fldCharType="separate"/>
              </w:r>
              <w:r>
                <w:t>113</w:t>
              </w:r>
              <w:r>
                <w:fldChar w:fldCharType="end"/>
              </w:r>
              <w:r>
                <w:fldChar w:fldCharType="end"/>
              </w:r>
            </w:p>
            <w:p w14:paraId="6478146D">
              <w:pPr>
                <w:pStyle w:val="13"/>
                <w:tabs>
                  <w:tab w:val="right" w:leader="dot" w:pos="9746"/>
                </w:tabs>
              </w:pPr>
              <w:r>
                <w:fldChar w:fldCharType="begin"/>
              </w:r>
              <w:r>
                <w:instrText xml:space="preserve"> HYPERLINK \l _Toc26650 </w:instrText>
              </w:r>
              <w:r>
                <w:fldChar w:fldCharType="separate"/>
              </w:r>
              <w:r>
                <w:rPr>
                  <w:rFonts w:hint="eastAsia"/>
                </w:rPr>
                <w:t>10.2附录一：调研材料</w:t>
              </w:r>
              <w:r>
                <w:tab/>
              </w:r>
              <w:r>
                <w:fldChar w:fldCharType="begin"/>
              </w:r>
              <w:r>
                <w:instrText xml:space="preserve"> PAGEREF _Toc26650 \h </w:instrText>
              </w:r>
              <w:r>
                <w:fldChar w:fldCharType="separate"/>
              </w:r>
              <w:r>
                <w:t>113</w:t>
              </w:r>
              <w:r>
                <w:fldChar w:fldCharType="end"/>
              </w:r>
              <w:r>
                <w:fldChar w:fldCharType="end"/>
              </w:r>
            </w:p>
            <w:p w14:paraId="453C9DA8">
              <w:pPr>
                <w:pStyle w:val="13"/>
                <w:tabs>
                  <w:tab w:val="right" w:leader="dot" w:pos="9746"/>
                </w:tabs>
              </w:pPr>
              <w:r>
                <w:fldChar w:fldCharType="begin"/>
              </w:r>
              <w:r>
                <w:instrText xml:space="preserve"> HYPERLINK \l _Toc12201 </w:instrText>
              </w:r>
              <w:r>
                <w:fldChar w:fldCharType="separate"/>
              </w:r>
              <w:r>
                <w:rPr>
                  <w:rFonts w:hint="eastAsia"/>
                </w:rPr>
                <w:t>10.3附录二：佐证材料包</w:t>
              </w:r>
              <w:r>
                <w:tab/>
              </w:r>
              <w:r>
                <w:fldChar w:fldCharType="begin"/>
              </w:r>
              <w:r>
                <w:instrText xml:space="preserve"> PAGEREF _Toc12201 \h </w:instrText>
              </w:r>
              <w:r>
                <w:fldChar w:fldCharType="separate"/>
              </w:r>
              <w:r>
                <w:t>114</w:t>
              </w:r>
              <w:r>
                <w:fldChar w:fldCharType="end"/>
              </w:r>
              <w:r>
                <w:fldChar w:fldCharType="end"/>
              </w:r>
            </w:p>
            <w:p w14:paraId="37119A56">
              <w:pPr>
                <w:pStyle w:val="9"/>
                <w:tabs>
                  <w:tab w:val="right" w:leader="dot" w:pos="9746"/>
                </w:tabs>
              </w:pPr>
              <w:r>
                <w:fldChar w:fldCharType="begin"/>
              </w:r>
              <w:r>
                <w:instrText xml:space="preserve"> HYPERLINK \l _Toc20951 </w:instrText>
              </w:r>
              <w:r>
                <w:fldChar w:fldCharType="separate"/>
              </w:r>
              <w:r>
                <w:rPr>
                  <w:rFonts w:hint="eastAsia"/>
                </w:rPr>
                <w:t>10.3.1荣誉奖项</w:t>
              </w:r>
              <w:r>
                <w:tab/>
              </w:r>
              <w:r>
                <w:fldChar w:fldCharType="begin"/>
              </w:r>
              <w:r>
                <w:instrText xml:space="preserve"> PAGEREF _Toc20951 \h </w:instrText>
              </w:r>
              <w:r>
                <w:fldChar w:fldCharType="separate"/>
              </w:r>
              <w:r>
                <w:t>114</w:t>
              </w:r>
              <w:r>
                <w:fldChar w:fldCharType="end"/>
              </w:r>
              <w:r>
                <w:fldChar w:fldCharType="end"/>
              </w:r>
            </w:p>
            <w:p w14:paraId="6EB5E2FC">
              <w:pPr>
                <w:pStyle w:val="9"/>
                <w:tabs>
                  <w:tab w:val="right" w:leader="dot" w:pos="9746"/>
                </w:tabs>
              </w:pPr>
              <w:r>
                <w:fldChar w:fldCharType="begin"/>
              </w:r>
              <w:r>
                <w:instrText xml:space="preserve"> HYPERLINK \l _Toc17455 </w:instrText>
              </w:r>
              <w:r>
                <w:fldChar w:fldCharType="separate"/>
              </w:r>
              <w:r>
                <w:rPr>
                  <w:rFonts w:hint="eastAsia"/>
                </w:rPr>
                <w:t>10.3.2社会实践与社区合作</w:t>
              </w:r>
              <w:r>
                <w:tab/>
              </w:r>
              <w:r>
                <w:fldChar w:fldCharType="begin"/>
              </w:r>
              <w:r>
                <w:instrText xml:space="preserve"> PAGEREF _Toc17455 \h </w:instrText>
              </w:r>
              <w:r>
                <w:fldChar w:fldCharType="separate"/>
              </w:r>
              <w:r>
                <w:t>115</w:t>
              </w:r>
              <w:r>
                <w:fldChar w:fldCharType="end"/>
              </w:r>
              <w:r>
                <w:fldChar w:fldCharType="end"/>
              </w:r>
            </w:p>
            <w:p w14:paraId="1CC75A6B">
              <w:pPr>
                <w:pStyle w:val="9"/>
                <w:tabs>
                  <w:tab w:val="right" w:leader="dot" w:pos="9746"/>
                </w:tabs>
              </w:pPr>
              <w:r>
                <w:fldChar w:fldCharType="begin"/>
              </w:r>
              <w:r>
                <w:instrText xml:space="preserve"> HYPERLINK \l _Toc22576 </w:instrText>
              </w:r>
              <w:r>
                <w:fldChar w:fldCharType="separate"/>
              </w:r>
              <w:r>
                <w:rPr>
                  <w:rFonts w:hint="eastAsia"/>
                </w:rPr>
                <w:t>10.3.3学校培育与导师支撑</w:t>
              </w:r>
              <w:r>
                <w:tab/>
              </w:r>
              <w:r>
                <w:fldChar w:fldCharType="begin"/>
              </w:r>
              <w:r>
                <w:instrText xml:space="preserve"> PAGEREF _Toc22576 \h </w:instrText>
              </w:r>
              <w:r>
                <w:fldChar w:fldCharType="separate"/>
              </w:r>
              <w:r>
                <w:t>115</w:t>
              </w:r>
              <w:r>
                <w:fldChar w:fldCharType="end"/>
              </w:r>
              <w:r>
                <w:fldChar w:fldCharType="end"/>
              </w:r>
            </w:p>
            <w:p w14:paraId="7BDB8071">
              <w:pPr>
                <w:pStyle w:val="9"/>
                <w:tabs>
                  <w:tab w:val="right" w:leader="dot" w:pos="9746"/>
                </w:tabs>
              </w:pPr>
              <w:r>
                <w:fldChar w:fldCharType="begin"/>
              </w:r>
              <w:r>
                <w:instrText xml:space="preserve"> HYPERLINK \l _Toc14846 </w:instrText>
              </w:r>
              <w:r>
                <w:fldChar w:fldCharType="separate"/>
              </w:r>
              <w:r>
                <w:rPr>
                  <w:rFonts w:hint="eastAsia"/>
                </w:rPr>
                <w:t>10.3.4知识产权与学术产出</w:t>
              </w:r>
              <w:r>
                <w:tab/>
              </w:r>
              <w:r>
                <w:fldChar w:fldCharType="begin"/>
              </w:r>
              <w:r>
                <w:instrText xml:space="preserve"> PAGEREF _Toc14846 \h </w:instrText>
              </w:r>
              <w:r>
                <w:fldChar w:fldCharType="separate"/>
              </w:r>
              <w:r>
                <w:t>116</w:t>
              </w:r>
              <w:r>
                <w:fldChar w:fldCharType="end"/>
              </w:r>
              <w:r>
                <w:fldChar w:fldCharType="end"/>
              </w:r>
            </w:p>
            <w:p w14:paraId="507AA1CA">
              <w:pPr>
                <w:pStyle w:val="9"/>
                <w:tabs>
                  <w:tab w:val="right" w:leader="dot" w:pos="9746"/>
                </w:tabs>
              </w:pPr>
              <w:r>
                <w:fldChar w:fldCharType="begin"/>
              </w:r>
              <w:r>
                <w:instrText xml:space="preserve"> HYPERLINK \l _Toc24150 </w:instrText>
              </w:r>
              <w:r>
                <w:fldChar w:fldCharType="separate"/>
              </w:r>
              <w:r>
                <w:rPr>
                  <w:rFonts w:hint="eastAsia"/>
                </w:rPr>
                <w:t>10.3.5团队材料</w:t>
              </w:r>
              <w:r>
                <w:tab/>
              </w:r>
              <w:r>
                <w:fldChar w:fldCharType="begin"/>
              </w:r>
              <w:r>
                <w:instrText xml:space="preserve"> PAGEREF _Toc24150 \h </w:instrText>
              </w:r>
              <w:r>
                <w:fldChar w:fldCharType="separate"/>
              </w:r>
              <w:r>
                <w:t>117</w:t>
              </w:r>
              <w:r>
                <w:fldChar w:fldCharType="end"/>
              </w:r>
              <w:r>
                <w:fldChar w:fldCharType="end"/>
              </w:r>
            </w:p>
            <w:p w14:paraId="6BED7922">
              <w:pPr>
                <w:pStyle w:val="9"/>
                <w:tabs>
                  <w:tab w:val="right" w:leader="dot" w:pos="9746"/>
                </w:tabs>
              </w:pPr>
              <w:r>
                <w:fldChar w:fldCharType="begin"/>
              </w:r>
              <w:r>
                <w:instrText xml:space="preserve"> HYPERLINK \l _Toc27255 </w:instrText>
              </w:r>
              <w:r>
                <w:fldChar w:fldCharType="separate"/>
              </w:r>
              <w:r>
                <w:rPr>
                  <w:rFonts w:hint="eastAsia"/>
                </w:rPr>
                <w:t>10.3.6产品与技术材料</w:t>
              </w:r>
              <w:r>
                <w:tab/>
              </w:r>
              <w:r>
                <w:fldChar w:fldCharType="begin"/>
              </w:r>
              <w:r>
                <w:instrText xml:space="preserve"> PAGEREF _Toc27255 \h </w:instrText>
              </w:r>
              <w:r>
                <w:fldChar w:fldCharType="separate"/>
              </w:r>
              <w:r>
                <w:t>117</w:t>
              </w:r>
              <w:r>
                <w:fldChar w:fldCharType="end"/>
              </w:r>
              <w:r>
                <w:fldChar w:fldCharType="end"/>
              </w:r>
            </w:p>
            <w:p w14:paraId="659CC7BD">
              <w:pPr>
                <w:pStyle w:val="9"/>
                <w:tabs>
                  <w:tab w:val="right" w:leader="dot" w:pos="9746"/>
                </w:tabs>
              </w:pPr>
              <w:r>
                <w:fldChar w:fldCharType="begin"/>
              </w:r>
              <w:r>
                <w:instrText xml:space="preserve"> HYPERLINK \l _Toc5965 </w:instrText>
              </w:r>
              <w:r>
                <w:fldChar w:fldCharType="separate"/>
              </w:r>
              <w:r>
                <w:rPr>
                  <w:rFonts w:hint="eastAsia"/>
                </w:rPr>
                <w:t>10.3.7佐证材料准备状态汇总</w:t>
              </w:r>
              <w:r>
                <w:tab/>
              </w:r>
              <w:r>
                <w:fldChar w:fldCharType="begin"/>
              </w:r>
              <w:r>
                <w:instrText xml:space="preserve"> PAGEREF _Toc5965 \h </w:instrText>
              </w:r>
              <w:r>
                <w:fldChar w:fldCharType="separate"/>
              </w:r>
              <w:r>
                <w:t>118</w:t>
              </w:r>
              <w:r>
                <w:fldChar w:fldCharType="end"/>
              </w:r>
              <w:r>
                <w:fldChar w:fldCharType="end"/>
              </w:r>
            </w:p>
            <w:p w14:paraId="36565219">
              <w:pPr>
                <w:pStyle w:val="13"/>
                <w:tabs>
                  <w:tab w:val="right" w:leader="dot" w:pos="9746"/>
                </w:tabs>
              </w:pPr>
              <w:r>
                <w:fldChar w:fldCharType="begin"/>
              </w:r>
              <w:r>
                <w:instrText xml:space="preserve"> HYPERLINK \l _Toc9997 </w:instrText>
              </w:r>
              <w:r>
                <w:fldChar w:fldCharType="separate"/>
              </w:r>
              <w:r>
                <w:rPr>
                  <w:rFonts w:hint="eastAsia"/>
                </w:rPr>
                <w:t>10.4附录三：数据来源与参考文献</w:t>
              </w:r>
              <w:r>
                <w:tab/>
              </w:r>
              <w:r>
                <w:fldChar w:fldCharType="begin"/>
              </w:r>
              <w:r>
                <w:instrText xml:space="preserve"> PAGEREF _Toc9997 \h </w:instrText>
              </w:r>
              <w:r>
                <w:fldChar w:fldCharType="separate"/>
              </w:r>
              <w:r>
                <w:t>118</w:t>
              </w:r>
              <w:r>
                <w:fldChar w:fldCharType="end"/>
              </w:r>
              <w:r>
                <w:fldChar w:fldCharType="end"/>
              </w:r>
            </w:p>
            <w:p w14:paraId="3BE97552">
              <w:pPr>
                <w:pStyle w:val="9"/>
                <w:tabs>
                  <w:tab w:val="right" w:leader="dot" w:pos="9746"/>
                </w:tabs>
              </w:pPr>
              <w:r>
                <w:fldChar w:fldCharType="begin"/>
              </w:r>
              <w:r>
                <w:instrText xml:space="preserve"> HYPERLINK \l _Toc22324 </w:instrText>
              </w:r>
              <w:r>
                <w:fldChar w:fldCharType="separate"/>
              </w:r>
              <w:r>
                <w:rPr>
                  <w:rFonts w:hint="eastAsia"/>
                </w:rPr>
                <w:t>10.4.1统计与流行病学数据</w:t>
              </w:r>
              <w:r>
                <w:tab/>
              </w:r>
              <w:r>
                <w:fldChar w:fldCharType="begin"/>
              </w:r>
              <w:r>
                <w:instrText xml:space="preserve"> PAGEREF _Toc22324 \h </w:instrText>
              </w:r>
              <w:r>
                <w:fldChar w:fldCharType="separate"/>
              </w:r>
              <w:r>
                <w:t>118</w:t>
              </w:r>
              <w:r>
                <w:fldChar w:fldCharType="end"/>
              </w:r>
              <w:r>
                <w:fldChar w:fldCharType="end"/>
              </w:r>
            </w:p>
            <w:p w14:paraId="26E0E42F">
              <w:pPr>
                <w:pStyle w:val="9"/>
                <w:tabs>
                  <w:tab w:val="right" w:leader="dot" w:pos="9746"/>
                </w:tabs>
              </w:pPr>
              <w:r>
                <w:fldChar w:fldCharType="begin"/>
              </w:r>
              <w:r>
                <w:instrText xml:space="preserve"> HYPERLINK \l _Toc504 </w:instrText>
              </w:r>
              <w:r>
                <w:fldChar w:fldCharType="separate"/>
              </w:r>
              <w:r>
                <w:rPr>
                  <w:rFonts w:hint="eastAsia"/>
                </w:rPr>
                <w:t>10.4.2老年人智能设备接受度研究</w:t>
              </w:r>
              <w:r>
                <w:tab/>
              </w:r>
              <w:r>
                <w:fldChar w:fldCharType="begin"/>
              </w:r>
              <w:r>
                <w:instrText xml:space="preserve"> PAGEREF _Toc504 \h </w:instrText>
              </w:r>
              <w:r>
                <w:fldChar w:fldCharType="separate"/>
              </w:r>
              <w:r>
                <w:t>119</w:t>
              </w:r>
              <w:r>
                <w:fldChar w:fldCharType="end"/>
              </w:r>
              <w:r>
                <w:fldChar w:fldCharType="end"/>
              </w:r>
            </w:p>
            <w:p w14:paraId="07031E27">
              <w:pPr>
                <w:pStyle w:val="9"/>
                <w:tabs>
                  <w:tab w:val="right" w:leader="dot" w:pos="9746"/>
                </w:tabs>
              </w:pPr>
              <w:r>
                <w:fldChar w:fldCharType="begin"/>
              </w:r>
              <w:r>
                <w:instrText xml:space="preserve"> HYPERLINK \l _Toc946 </w:instrText>
              </w:r>
              <w:r>
                <w:fldChar w:fldCharType="separate"/>
              </w:r>
              <w:r>
                <w:rPr>
                  <w:rFonts w:hint="eastAsia"/>
                </w:rPr>
                <w:t>10.4.3政策文件</w:t>
              </w:r>
              <w:r>
                <w:tab/>
              </w:r>
              <w:r>
                <w:fldChar w:fldCharType="begin"/>
              </w:r>
              <w:r>
                <w:instrText xml:space="preserve"> PAGEREF _Toc946 \h </w:instrText>
              </w:r>
              <w:r>
                <w:fldChar w:fldCharType="separate"/>
              </w:r>
              <w:r>
                <w:t>119</w:t>
              </w:r>
              <w:r>
                <w:fldChar w:fldCharType="end"/>
              </w:r>
              <w:r>
                <w:fldChar w:fldCharType="end"/>
              </w:r>
            </w:p>
            <w:p w14:paraId="60104AA6">
              <w:pPr>
                <w:pStyle w:val="9"/>
                <w:tabs>
                  <w:tab w:val="right" w:leader="dot" w:pos="9746"/>
                </w:tabs>
              </w:pPr>
              <w:r>
                <w:fldChar w:fldCharType="begin"/>
              </w:r>
              <w:r>
                <w:instrText xml:space="preserve"> HYPERLINK \l _Toc7526 </w:instrText>
              </w:r>
              <w:r>
                <w:fldChar w:fldCharType="separate"/>
              </w:r>
              <w:r>
                <w:rPr>
                  <w:rFonts w:hint="eastAsia"/>
                </w:rPr>
                <w:t>10.4.4算法开发所用公开数据集</w:t>
              </w:r>
              <w:r>
                <w:tab/>
              </w:r>
              <w:r>
                <w:fldChar w:fldCharType="begin"/>
              </w:r>
              <w:r>
                <w:instrText xml:space="preserve"> PAGEREF _Toc7526 \h </w:instrText>
              </w:r>
              <w:r>
                <w:fldChar w:fldCharType="separate"/>
              </w:r>
              <w:r>
                <w:t>119</w:t>
              </w:r>
              <w:r>
                <w:fldChar w:fldCharType="end"/>
              </w:r>
              <w:r>
                <w:fldChar w:fldCharType="end"/>
              </w:r>
            </w:p>
            <w:p w14:paraId="743C973E">
              <w:pPr>
                <w:pStyle w:val="13"/>
                <w:tabs>
                  <w:tab w:val="right" w:leader="dot" w:pos="9746"/>
                </w:tabs>
              </w:pPr>
              <w:r>
                <w:fldChar w:fldCharType="begin"/>
              </w:r>
              <w:r>
                <w:instrText xml:space="preserve"> HYPERLINK \l _Toc17620 </w:instrText>
              </w:r>
              <w:r>
                <w:fldChar w:fldCharType="separate"/>
              </w:r>
              <w:r>
                <w:rPr>
                  <w:rFonts w:hint="eastAsia"/>
                </w:rPr>
                <w:t>10.5附录四：图表索引</w:t>
              </w:r>
              <w:r>
                <w:tab/>
              </w:r>
              <w:r>
                <w:fldChar w:fldCharType="begin"/>
              </w:r>
              <w:r>
                <w:instrText xml:space="preserve"> PAGEREF _Toc17620 \h </w:instrText>
              </w:r>
              <w:r>
                <w:fldChar w:fldCharType="separate"/>
              </w:r>
              <w:r>
                <w:t>120</w:t>
              </w:r>
              <w:r>
                <w:fldChar w:fldCharType="end"/>
              </w:r>
              <w:r>
                <w:fldChar w:fldCharType="end"/>
              </w:r>
            </w:p>
            <w:p w14:paraId="5F2E5983">
              <w:pPr>
                <w:pStyle w:val="9"/>
                <w:tabs>
                  <w:tab w:val="right" w:leader="dot" w:pos="9746"/>
                </w:tabs>
              </w:pPr>
              <w:r>
                <w:fldChar w:fldCharType="begin"/>
              </w:r>
              <w:r>
                <w:instrText xml:space="preserve"> HYPERLINK \l _Toc15712 </w:instrText>
              </w:r>
              <w:r>
                <w:fldChar w:fldCharType="separate"/>
              </w:r>
              <w:r>
                <w:rPr>
                  <w:rFonts w:hint="eastAsia"/>
                </w:rPr>
                <w:t>10.5.1图索引</w:t>
              </w:r>
              <w:r>
                <w:tab/>
              </w:r>
              <w:r>
                <w:fldChar w:fldCharType="begin"/>
              </w:r>
              <w:r>
                <w:instrText xml:space="preserve"> PAGEREF _Toc15712 \h </w:instrText>
              </w:r>
              <w:r>
                <w:fldChar w:fldCharType="separate"/>
              </w:r>
              <w:r>
                <w:t>120</w:t>
              </w:r>
              <w:r>
                <w:fldChar w:fldCharType="end"/>
              </w:r>
              <w:r>
                <w:fldChar w:fldCharType="end"/>
              </w:r>
            </w:p>
            <w:p w14:paraId="46214F21">
              <w:pPr>
                <w:pStyle w:val="9"/>
                <w:tabs>
                  <w:tab w:val="right" w:leader="dot" w:pos="9746"/>
                </w:tabs>
              </w:pPr>
              <w:r>
                <w:fldChar w:fldCharType="begin"/>
              </w:r>
              <w:r>
                <w:instrText xml:space="preserve"> HYPERLINK \l _Toc25061 </w:instrText>
              </w:r>
              <w:r>
                <w:fldChar w:fldCharType="separate"/>
              </w:r>
              <w:r>
                <w:rPr>
                  <w:rFonts w:hint="eastAsia"/>
                </w:rPr>
                <w:t>10.5.2表索引</w:t>
              </w:r>
              <w:r>
                <w:tab/>
              </w:r>
              <w:r>
                <w:fldChar w:fldCharType="begin"/>
              </w:r>
              <w:r>
                <w:instrText xml:space="preserve"> PAGEREF _Toc25061 \h </w:instrText>
              </w:r>
              <w:r>
                <w:fldChar w:fldCharType="separate"/>
              </w:r>
              <w:r>
                <w:t>122</w:t>
              </w:r>
              <w:r>
                <w:fldChar w:fldCharType="end"/>
              </w:r>
              <w:r>
                <w:fldChar w:fldCharType="end"/>
              </w:r>
            </w:p>
            <w:p w14:paraId="6DFF1C01">
              <w:pPr>
                <w:keepNext w:val="0"/>
                <w:keepLines w:val="0"/>
                <w:pageBreakBefore w:val="0"/>
                <w:kinsoku/>
                <w:wordWrap/>
                <w:overflowPunct/>
                <w:topLinePunct w:val="0"/>
                <w:autoSpaceDE/>
                <w:autoSpaceDN/>
                <w:bidi w:val="0"/>
                <w:adjustRightInd/>
                <w:snapToGrid/>
                <w:spacing w:line="300" w:lineRule="auto"/>
                <w:textAlignment w:val="auto"/>
              </w:pPr>
              <w:r>
                <w:fldChar w:fldCharType="end"/>
              </w:r>
            </w:p>
          </w:sdtContent>
        </w:sdt>
        <w:p w14:paraId="66C71F33">
          <w:pPr>
            <w:keepNext w:val="0"/>
            <w:keepLines w:val="0"/>
            <w:pageBreakBefore w:val="0"/>
            <w:kinsoku/>
            <w:wordWrap/>
            <w:overflowPunct/>
            <w:topLinePunct w:val="0"/>
            <w:autoSpaceDE/>
            <w:autoSpaceDN/>
            <w:bidi w:val="0"/>
            <w:adjustRightInd/>
            <w:snapToGrid/>
            <w:spacing w:line="300" w:lineRule="auto"/>
            <w:ind w:left="0" w:leftChars="0" w:firstLine="0" w:firstLineChars="0"/>
            <w:textAlignment w:val="auto"/>
          </w:pPr>
        </w:p>
      </w:sdtContent>
    </w:sdt>
    <w:p w14:paraId="0CEF9697">
      <w:pPr>
        <w:pStyle w:val="2"/>
        <w:bidi w:val="0"/>
      </w:pPr>
      <w:bookmarkStart w:id="0" w:name="_Toc12413"/>
      <w:bookmarkStart w:id="1" w:name="_Toc14105"/>
      <w:r>
        <w:rPr>
          <w:rFonts w:hint="eastAsia"/>
        </w:rPr>
        <w:t>项目概要</w:t>
      </w:r>
      <w:bookmarkEnd w:id="0"/>
      <w:bookmarkEnd w:id="1"/>
    </w:p>
    <w:p w14:paraId="160784A9">
      <w:pPr>
        <w:pStyle w:val="3"/>
        <w:bidi w:val="0"/>
      </w:pPr>
      <w:bookmarkStart w:id="2" w:name="_Toc18418"/>
      <w:bookmarkStart w:id="3" w:name="_Toc27921"/>
      <w:r>
        <w:rPr>
          <w:rFonts w:hint="eastAsia"/>
        </w:rPr>
        <w:t>1.1项目来源</w:t>
      </w:r>
      <w:bookmarkEnd w:id="2"/>
      <w:bookmarkEnd w:id="3"/>
    </w:p>
    <w:p w14:paraId="7B416CA8">
      <w:pPr>
        <w:keepNext w:val="0"/>
        <w:keepLines w:val="0"/>
        <w:kinsoku/>
        <w:wordWrap/>
        <w:overflowPunct/>
        <w:topLinePunct w:val="0"/>
        <w:autoSpaceDE/>
        <w:autoSpaceDN/>
        <w:bidi w:val="0"/>
        <w:adjustRightInd/>
        <w:snapToGrid/>
        <w:spacing w:line="300" w:lineRule="auto"/>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本项目源于北京体育大学体育工程学院在运动表现分析与运动生物力学方向的教学与科研积累。团队现有12名本科生，分属体育工程学院、运动医学与康复学院、运动人体科学学院、竞技体育学院与新闻与传播学院五个学院，并与中央财经大学、中国科学院大学的学生成员形成跨校协同，在宗寿鑫、阮槟两位指导教师的共同指导下推进。</w:t>
      </w:r>
    </w:p>
    <w:p w14:paraId="1ECE99DF">
      <w:pPr>
        <w:keepNext w:val="0"/>
        <w:keepLines w:val="0"/>
        <w:kinsoku/>
        <w:wordWrap/>
        <w:overflowPunct/>
        <w:topLinePunct w:val="0"/>
        <w:autoSpaceDE/>
        <w:autoSpaceDN/>
        <w:bidi w:val="0"/>
        <w:adjustRightInd/>
        <w:snapToGrid/>
        <w:spacing w:line="300" w:lineRule="auto"/>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项目已获第五届北京大学生创新创业大赛民生服务赛道一等奖与中国国际大学生创新大赛校级赛银奖，依托项目组建的暑期社会实践团队获评校级优秀实践团队。</w:t>
      </w:r>
    </w:p>
    <w:p w14:paraId="6FDE1E3C">
      <w:pPr>
        <w:keepNext w:val="0"/>
        <w:keepLines w:val="0"/>
        <w:kinsoku/>
        <w:wordWrap/>
        <w:overflowPunct/>
        <w:topLinePunct w:val="0"/>
        <w:autoSpaceDE/>
        <w:autoSpaceDN/>
        <w:bidi w:val="0"/>
        <w:adjustRightInd/>
        <w:snapToGrid/>
        <w:spacing w:line="300" w:lineRule="auto"/>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2026年暑期，团队以本项目为依托组建社会实践团队，4次进入北京体育大学颐清园养老社区，开展健康宣讲4场，接触老年人200余人次，回收有效问卷243份，并在校内完成32份老年步态数据的自主采集。这次实践直接改变了产品的形态决策与功能规划。</w:t>
      </w:r>
    </w:p>
    <w:p w14:paraId="33DCAA2E">
      <w:pPr>
        <w:pStyle w:val="3"/>
        <w:bidi w:val="0"/>
      </w:pPr>
      <w:bookmarkStart w:id="4" w:name="_Toc28338"/>
      <w:bookmarkStart w:id="5" w:name="_Toc8382"/>
      <w:r>
        <w:rPr>
          <w:rFonts w:hint="eastAsia"/>
        </w:rPr>
        <w:t>1.2我们要解决的问题</w:t>
      </w:r>
      <w:bookmarkEnd w:id="4"/>
      <w:bookmarkEnd w:id="5"/>
    </w:p>
    <w:p w14:paraId="6F1EECA2">
      <w:pPr>
        <w:keepNext w:val="0"/>
        <w:keepLines w:val="0"/>
        <w:kinsoku/>
        <w:wordWrap/>
        <w:overflowPunct/>
        <w:topLinePunct w:val="0"/>
        <w:autoSpaceDE/>
        <w:autoSpaceDN/>
        <w:bidi w:val="0"/>
        <w:adjustRightInd/>
        <w:snapToGrid/>
        <w:spacing w:line="300" w:lineRule="auto"/>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跌倒是我国65岁及以上老年人伤害死亡的首位原因。社区老年人年跌倒发生率14.7%，跌倒后受伤比例高达79.5%；每年因跌倒导致的髋部骨折新发病例超过100万例，其1年死亡率20%至30%，存活者中约半数致残，约35%无法恢复独立行走。</w:t>
      </w:r>
    </w:p>
    <w:p w14:paraId="5B7EB2C5">
      <w:pPr>
        <w:keepNext w:val="0"/>
        <w:keepLines w:val="0"/>
        <w:kinsoku/>
        <w:wordWrap/>
        <w:overflowPunct/>
        <w:topLinePunct w:val="0"/>
        <w:autoSpaceDE/>
        <w:autoSpaceDN/>
        <w:bidi w:val="0"/>
        <w:adjustRightInd/>
        <w:snapToGrid/>
        <w:spacing w:line="300" w:lineRule="auto"/>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问题的关键不在于跌倒有多常见，而在于伤害形成的时点。跌倒的伤害在身体触地的瞬间就已经完成，此后所有的报警、定位与救援，改变的只是获得救治的速度，无法改变骨折已经形成这一事实。而市面上的主流方案，无论是报警手环、毫米波雷达还是传统护髋裤，都集中在触地之后，或者虽有防护却因臃肿闷热而无人愿意长期佩戴。</w:t>
      </w:r>
    </w:p>
    <w:p w14:paraId="1B7D3876">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因此，一件有效的老年防跌产品必须同时跨过两道门槛：</w:t>
      </w:r>
    </w:p>
    <w:p w14:paraId="23A42A10">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第一道门槛是时点——防护动作必须发生在触地之前，而不是之后。</w:t>
      </w:r>
    </w:p>
    <w:p w14:paraId="6A426DFB">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第二道门槛是依从性——老人必须愿意每天把它穿在身上，否则防护效能在现实中为零。</w:t>
      </w:r>
    </w:p>
    <w:p w14:paraId="361320A0">
      <w:pPr>
        <w:pStyle w:val="3"/>
        <w:bidi w:val="0"/>
      </w:pPr>
      <w:bookmarkStart w:id="6" w:name="_Toc9255"/>
      <w:bookmarkStart w:id="7" w:name="_Toc30251"/>
      <w:r>
        <w:rPr>
          <w:rFonts w:hint="eastAsia"/>
        </w:rPr>
        <w:t>1.3解决方案</w:t>
      </w:r>
      <w:bookmarkEnd w:id="6"/>
      <w:bookmarkEnd w:id="7"/>
    </w:p>
    <w:p w14:paraId="14701593">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安行护腰是一套面向社区居家养老场景的老年主动防跌解决方案，由三个层次构成。</w:t>
      </w:r>
    </w:p>
    <w:p w14:paraId="7B1D4CCE">
      <w:pPr>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953000" cy="3181350"/>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noChangeArrowheads="1"/>
                    </pic:cNvPicPr>
                  </pic:nvPicPr>
                  <pic:blipFill>
                    <a:blip r:embed="rId9"/>
                    <a:srcRect/>
                    <a:stretch>
                      <a:fillRect/>
                    </a:stretch>
                  </pic:blipFill>
                  <pic:spPr>
                    <a:xfrm>
                      <a:off x="0" y="0"/>
                      <a:ext cx="4953000" cy="3181350"/>
                    </a:xfrm>
                    <a:prstGeom prst="rect">
                      <a:avLst/>
                    </a:prstGeom>
                  </pic:spPr>
                </pic:pic>
              </a:graphicData>
            </a:graphic>
          </wp:inline>
        </w:drawing>
      </w:r>
    </w:p>
    <w:p w14:paraId="5AB8C7BB">
      <w:pPr>
        <w:pStyle w:val="8"/>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rFonts w:hint="eastAsia"/>
        </w:rPr>
        <w:t xml:space="preserve">图 </w:t>
      </w:r>
      <w:r>
        <w:fldChar w:fldCharType="begin"/>
      </w:r>
      <w:r>
        <w:instrText xml:space="preserve"> STYLEREF 1 \s \* ARABIC </w:instrText>
      </w:r>
      <w:r>
        <w:fldChar w:fldCharType="separate"/>
      </w:r>
      <w:r>
        <w:t>1</w:t>
      </w:r>
      <w:r>
        <w:fldChar w:fldCharType="end"/>
      </w:r>
      <w:r>
        <w:rPr>
          <w:rFonts w:hint="eastAsia"/>
          <w:lang w:eastAsia="zh-CN"/>
        </w:rPr>
        <w:t>-</w:t>
      </w:r>
      <w:r>
        <w:fldChar w:fldCharType="begin"/>
      </w:r>
      <w:r>
        <w:rPr>
          <w:rFonts w:hint="eastAsia"/>
        </w:rPr>
        <w:instrText xml:space="preserve"> SEQ 图 \* ARABIC \s 1 </w:instrText>
      </w:r>
      <w:r>
        <w:fldChar w:fldCharType="separate"/>
      </w:r>
      <w:r>
        <w:t>1</w:t>
      </w:r>
      <w:r>
        <w:fldChar w:fldCharType="end"/>
      </w:r>
      <w:r>
        <w:rPr>
          <w:rFonts w:hint="eastAsia" w:ascii="黑体" w:hAnsi="黑体" w:eastAsia="黑体" w:cs="黑体"/>
          <w:color w:val="000000" w:themeColor="text1"/>
          <w:sz w:val="21"/>
          <w:szCs w:val="21"/>
          <w14:textFill>
            <w14:solidFill>
              <w14:schemeClr w14:val="tx1"/>
            </w14:solidFill>
          </w14:textFill>
        </w:rPr>
        <w:t>安行护腰项目三层结构</w:t>
      </w:r>
    </w:p>
    <w:p w14:paraId="2A7140CA">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产品功能层。</w:t>
      </w:r>
    </w:p>
    <w:p w14:paraId="07FF9D9F">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以老年人日常愿意佩戴的护腰为产品形态，融合柔性传感与惯性测量单元，通过端侧轻量化算法在触地前识别不可逆失衡，触发气囊完成缓冲。一期防护范围为双侧髋部大转子与腰骶部，这是老年跌倒中后果最严重、着地位置最可预测的两个区域。</w:t>
      </w:r>
    </w:p>
    <w:p w14:paraId="0F05F4F6">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充气采用储气式冷气体方案：常压储气罐配合电磁快速阀，在百毫秒量级完成展开，触发后通过充电底座或社区回充站重新充气，无需更换耗材。护腰形态解决佩戴意愿问题，主动气囊解决防护时点问题，无耗材设计解决长期持有成本问题。一期只有这一个核心卖点。</w:t>
      </w:r>
    </w:p>
    <w:p w14:paraId="11900984">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配套软件是产品的组成部分而非附加功能。网页端社区管理平台已完成开发，承担风险分层、设备状态监测、报警处置与季度报告生成；面向家属的移动端应用正在开发中。</w:t>
      </w:r>
    </w:p>
    <w:p w14:paraId="17EE1E1D">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技术资产层。</w:t>
      </w:r>
    </w:p>
    <w:p w14:paraId="7CEC0F11">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运动生物力学驱动的特征工程方法论、本土老年危险步态多模态数据集、端侧轻量化推理框架。三者共同定义的能力边界是在人体运动即将失控的瞬间识别它，并在伤害形成前介入。跌倒防护是这一能力的第一个落点，运动损伤防护是它最自然的延伸。</w:t>
      </w:r>
    </w:p>
    <w:p w14:paraId="5AD6E71D">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服务模式层。</w:t>
      </w:r>
    </w:p>
    <w:p w14:paraId="7C7C2A51">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向社区交付一套由七个环节构成的防跌安全服务闭环。设备沉淀的风险数据汇总为社区跌倒热力图，反向指导适老化环境改造；报警接入社区网格与家属双通道；佩戴激励对接社区既有福利资源。产品由此从一次性交易转变为持续服务关系。</w:t>
      </w:r>
    </w:p>
    <w:p w14:paraId="28894903">
      <w:pPr>
        <w:pStyle w:val="3"/>
        <w:bidi w:val="0"/>
      </w:pPr>
      <w:bookmarkStart w:id="8" w:name="_Toc29552"/>
      <w:bookmarkStart w:id="9" w:name="_Toc23043"/>
      <w:r>
        <w:rPr>
          <w:rFonts w:hint="eastAsia"/>
        </w:rPr>
        <w:t>1.4当前进展与阶段认定</w:t>
      </w:r>
      <w:bookmarkEnd w:id="8"/>
      <w:bookmarkEnd w:id="9"/>
    </w:p>
    <w:p w14:paraId="5647D88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项目当前处于概念验证阶段，对应技术成熟度TRL 3至4。核心原理与系统架构设计完成，器件选型与算法架构已明确，基于5项国际公开数据集的算法基线验证正在进行，全部数据集已完成许可证合规审查；自有步态数据采集已完成首批32份，三组核心验证实验的方案与指标已完成设计。集成样机试制尚未开展。</w:t>
      </w:r>
    </w:p>
    <w:p w14:paraId="0E411D92">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1</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项目当前完成度</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75"/>
        <w:gridCol w:w="1865"/>
        <w:gridCol w:w="4160"/>
      </w:tblGrid>
      <w:tr w14:paraId="6AA1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2575" w:type="dxa"/>
            <w:tcBorders>
              <w:top w:val="single" w:color="000000" w:sz="12" w:space="0"/>
              <w:left w:val="nil"/>
              <w:bottom w:val="single" w:color="000000" w:sz="4" w:space="0"/>
              <w:right w:val="nil"/>
              <w:tl2br w:val="nil"/>
            </w:tcBorders>
            <w:shd w:val="clear" w:color="auto" w:fill="FFFFFF"/>
            <w:tcMar>
              <w:top w:w="70" w:type="dxa"/>
              <w:left w:w="100" w:type="dxa"/>
              <w:bottom w:w="70" w:type="dxa"/>
              <w:right w:w="100" w:type="dxa"/>
            </w:tcMar>
            <w:vAlign w:val="center"/>
          </w:tcPr>
          <w:p w14:paraId="6E85A2EC">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工作项</w:t>
            </w:r>
          </w:p>
        </w:tc>
        <w:tc>
          <w:tcPr>
            <w:tcW w:w="1865" w:type="dxa"/>
            <w:tcBorders>
              <w:top w:val="single" w:color="000000" w:sz="12" w:space="0"/>
              <w:left w:val="nil"/>
              <w:bottom w:val="single" w:color="000000" w:sz="4" w:space="0"/>
              <w:right w:val="nil"/>
            </w:tcBorders>
            <w:shd w:val="clear" w:color="auto" w:fill="FFFFFF"/>
            <w:tcMar>
              <w:top w:w="70" w:type="dxa"/>
              <w:left w:w="100" w:type="dxa"/>
              <w:bottom w:w="70" w:type="dxa"/>
              <w:right w:w="100" w:type="dxa"/>
            </w:tcMar>
            <w:vAlign w:val="center"/>
          </w:tcPr>
          <w:p w14:paraId="6CA7ABDF">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状态</w:t>
            </w:r>
          </w:p>
        </w:tc>
        <w:tc>
          <w:tcPr>
            <w:tcW w:w="4160" w:type="dxa"/>
            <w:tcBorders>
              <w:top w:val="single" w:color="000000" w:sz="12" w:space="0"/>
              <w:left w:val="nil"/>
              <w:bottom w:val="single" w:color="000000" w:sz="4" w:space="0"/>
              <w:right w:val="nil"/>
            </w:tcBorders>
            <w:shd w:val="clear" w:color="auto" w:fill="FFFFFF"/>
            <w:tcMar>
              <w:top w:w="70" w:type="dxa"/>
              <w:left w:w="100" w:type="dxa"/>
              <w:bottom w:w="70" w:type="dxa"/>
              <w:right w:w="100" w:type="dxa"/>
            </w:tcMar>
            <w:vAlign w:val="center"/>
          </w:tcPr>
          <w:p w14:paraId="2420B735">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说明</w:t>
            </w:r>
          </w:p>
        </w:tc>
      </w:tr>
      <w:tr w14:paraId="523B9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575" w:type="dxa"/>
            <w:tcBorders>
              <w:top w:val="single" w:color="000000" w:sz="4" w:space="0"/>
              <w:left w:val="nil"/>
              <w:bottom w:val="nil"/>
              <w:right w:val="nil"/>
            </w:tcBorders>
            <w:shd w:val="clear" w:color="auto" w:fill="FFFFFF"/>
            <w:tcMar>
              <w:top w:w="70" w:type="dxa"/>
              <w:left w:w="100" w:type="dxa"/>
              <w:bottom w:w="70" w:type="dxa"/>
              <w:right w:w="100" w:type="dxa"/>
            </w:tcMar>
            <w:vAlign w:val="center"/>
          </w:tcPr>
          <w:p w14:paraId="4AAAAA15">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系统架构与技术路线</w:t>
            </w:r>
          </w:p>
        </w:tc>
        <w:tc>
          <w:tcPr>
            <w:tcW w:w="1865" w:type="dxa"/>
            <w:tcBorders>
              <w:top w:val="single" w:color="000000" w:sz="4" w:space="0"/>
              <w:left w:val="nil"/>
              <w:bottom w:val="nil"/>
              <w:right w:val="nil"/>
            </w:tcBorders>
            <w:shd w:val="clear" w:color="auto" w:fill="FFFFFF"/>
            <w:tcMar>
              <w:top w:w="70" w:type="dxa"/>
              <w:left w:w="100" w:type="dxa"/>
              <w:bottom w:w="70" w:type="dxa"/>
              <w:right w:w="100" w:type="dxa"/>
            </w:tcMar>
            <w:vAlign w:val="center"/>
          </w:tcPr>
          <w:p w14:paraId="29E795D0">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已完成</w:t>
            </w:r>
          </w:p>
        </w:tc>
        <w:tc>
          <w:tcPr>
            <w:tcW w:w="4160" w:type="dxa"/>
            <w:tcBorders>
              <w:top w:val="single" w:color="000000" w:sz="4" w:space="0"/>
              <w:left w:val="nil"/>
              <w:bottom w:val="nil"/>
              <w:right w:val="nil"/>
            </w:tcBorders>
            <w:shd w:val="clear" w:color="auto" w:fill="FFFFFF"/>
            <w:tcMar>
              <w:top w:w="70" w:type="dxa"/>
              <w:left w:w="100" w:type="dxa"/>
              <w:bottom w:w="70" w:type="dxa"/>
              <w:right w:w="100" w:type="dxa"/>
            </w:tcMar>
            <w:vAlign w:val="center"/>
          </w:tcPr>
          <w:p w14:paraId="29690DD7">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四层架构、器件选型、算法架构确定</w:t>
            </w:r>
          </w:p>
        </w:tc>
      </w:tr>
      <w:tr w14:paraId="35950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575" w:type="dxa"/>
            <w:tcBorders>
              <w:top w:val="nil"/>
              <w:left w:val="nil"/>
              <w:bottom w:val="nil"/>
              <w:right w:val="nil"/>
            </w:tcBorders>
            <w:shd w:val="clear" w:color="auto" w:fill="FFFFFF"/>
            <w:tcMar>
              <w:top w:w="70" w:type="dxa"/>
              <w:left w:w="100" w:type="dxa"/>
              <w:bottom w:w="70" w:type="dxa"/>
              <w:right w:w="100" w:type="dxa"/>
            </w:tcMar>
            <w:vAlign w:val="center"/>
          </w:tcPr>
          <w:p w14:paraId="49ACD146">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公开数据集与合规审查</w:t>
            </w:r>
          </w:p>
        </w:tc>
        <w:tc>
          <w:tcPr>
            <w:tcW w:w="1865" w:type="dxa"/>
            <w:tcBorders>
              <w:top w:val="nil"/>
              <w:left w:val="nil"/>
              <w:bottom w:val="nil"/>
              <w:right w:val="nil"/>
            </w:tcBorders>
            <w:shd w:val="clear" w:color="auto" w:fill="FFFFFF"/>
            <w:tcMar>
              <w:top w:w="70" w:type="dxa"/>
              <w:left w:w="100" w:type="dxa"/>
              <w:bottom w:w="70" w:type="dxa"/>
              <w:right w:w="100" w:type="dxa"/>
            </w:tcMar>
            <w:vAlign w:val="center"/>
          </w:tcPr>
          <w:p w14:paraId="783A03FD">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已完成</w:t>
            </w:r>
          </w:p>
        </w:tc>
        <w:tc>
          <w:tcPr>
            <w:tcW w:w="4160" w:type="dxa"/>
            <w:tcBorders>
              <w:top w:val="nil"/>
              <w:left w:val="nil"/>
              <w:bottom w:val="nil"/>
              <w:right w:val="nil"/>
            </w:tcBorders>
            <w:shd w:val="clear" w:color="auto" w:fill="FFFFFF"/>
            <w:tcMar>
              <w:top w:w="70" w:type="dxa"/>
              <w:left w:w="100" w:type="dxa"/>
              <w:bottom w:w="70" w:type="dxa"/>
              <w:right w:w="100" w:type="dxa"/>
            </w:tcMar>
            <w:vAlign w:val="center"/>
          </w:tcPr>
          <w:p w14:paraId="31768354">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5项纳入训练，2项经审查后排除</w:t>
            </w:r>
          </w:p>
        </w:tc>
      </w:tr>
      <w:tr w14:paraId="23DB0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575" w:type="dxa"/>
            <w:tcBorders>
              <w:top w:val="nil"/>
              <w:left w:val="nil"/>
              <w:bottom w:val="nil"/>
              <w:right w:val="nil"/>
            </w:tcBorders>
            <w:shd w:val="clear" w:color="auto" w:fill="FFFFFF"/>
            <w:tcMar>
              <w:top w:w="70" w:type="dxa"/>
              <w:left w:w="100" w:type="dxa"/>
              <w:bottom w:w="70" w:type="dxa"/>
              <w:right w:w="100" w:type="dxa"/>
            </w:tcMar>
            <w:vAlign w:val="center"/>
          </w:tcPr>
          <w:p w14:paraId="27A998EC">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算法基线验证</w:t>
            </w:r>
          </w:p>
        </w:tc>
        <w:tc>
          <w:tcPr>
            <w:tcW w:w="1865" w:type="dxa"/>
            <w:tcBorders>
              <w:top w:val="nil"/>
              <w:left w:val="nil"/>
              <w:bottom w:val="nil"/>
              <w:right w:val="nil"/>
            </w:tcBorders>
            <w:shd w:val="clear" w:color="auto" w:fill="FFFFFF"/>
            <w:tcMar>
              <w:top w:w="70" w:type="dxa"/>
              <w:left w:w="100" w:type="dxa"/>
              <w:bottom w:w="70" w:type="dxa"/>
              <w:right w:w="100" w:type="dxa"/>
            </w:tcMar>
            <w:vAlign w:val="center"/>
          </w:tcPr>
          <w:p w14:paraId="26525028">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进行中</w:t>
            </w:r>
          </w:p>
        </w:tc>
        <w:tc>
          <w:tcPr>
            <w:tcW w:w="4160" w:type="dxa"/>
            <w:tcBorders>
              <w:top w:val="nil"/>
              <w:left w:val="nil"/>
              <w:bottom w:val="nil"/>
              <w:right w:val="nil"/>
            </w:tcBorders>
            <w:shd w:val="clear" w:color="auto" w:fill="FFFFFF"/>
            <w:tcMar>
              <w:top w:w="70" w:type="dxa"/>
              <w:left w:w="100" w:type="dxa"/>
              <w:bottom w:w="70" w:type="dxa"/>
              <w:right w:w="100" w:type="dxa"/>
            </w:tcMar>
            <w:vAlign w:val="center"/>
          </w:tcPr>
          <w:p w14:paraId="2D3B7B56">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模型架构选型与基线对照</w:t>
            </w:r>
          </w:p>
        </w:tc>
      </w:tr>
      <w:tr w14:paraId="32863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575" w:type="dxa"/>
            <w:tcBorders>
              <w:top w:val="nil"/>
              <w:left w:val="nil"/>
              <w:bottom w:val="nil"/>
              <w:right w:val="nil"/>
            </w:tcBorders>
            <w:shd w:val="clear" w:color="auto" w:fill="FFFFFF"/>
            <w:tcMar>
              <w:top w:w="70" w:type="dxa"/>
              <w:left w:w="100" w:type="dxa"/>
              <w:bottom w:w="70" w:type="dxa"/>
              <w:right w:w="100" w:type="dxa"/>
            </w:tcMar>
            <w:vAlign w:val="center"/>
          </w:tcPr>
          <w:p w14:paraId="2CE95A00">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一线需求调研</w:t>
            </w:r>
          </w:p>
        </w:tc>
        <w:tc>
          <w:tcPr>
            <w:tcW w:w="1865" w:type="dxa"/>
            <w:tcBorders>
              <w:top w:val="nil"/>
              <w:left w:val="nil"/>
              <w:bottom w:val="nil"/>
              <w:right w:val="nil"/>
            </w:tcBorders>
            <w:shd w:val="clear" w:color="auto" w:fill="FFFFFF"/>
            <w:tcMar>
              <w:top w:w="70" w:type="dxa"/>
              <w:left w:w="100" w:type="dxa"/>
              <w:bottom w:w="70" w:type="dxa"/>
              <w:right w:w="100" w:type="dxa"/>
            </w:tcMar>
            <w:vAlign w:val="center"/>
          </w:tcPr>
          <w:p w14:paraId="7D06100A">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已完成</w:t>
            </w:r>
          </w:p>
        </w:tc>
        <w:tc>
          <w:tcPr>
            <w:tcW w:w="4160" w:type="dxa"/>
            <w:tcBorders>
              <w:top w:val="nil"/>
              <w:left w:val="nil"/>
              <w:bottom w:val="nil"/>
              <w:right w:val="nil"/>
            </w:tcBorders>
            <w:shd w:val="clear" w:color="auto" w:fill="FFFFFF"/>
            <w:tcMar>
              <w:top w:w="70" w:type="dxa"/>
              <w:left w:w="100" w:type="dxa"/>
              <w:bottom w:w="70" w:type="dxa"/>
              <w:right w:w="100" w:type="dxa"/>
            </w:tcMar>
            <w:vAlign w:val="center"/>
          </w:tcPr>
          <w:p w14:paraId="190781D2">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颐清园养老社区，回收有效问卷243份</w:t>
            </w:r>
          </w:p>
        </w:tc>
      </w:tr>
      <w:tr w14:paraId="401CF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575" w:type="dxa"/>
            <w:tcBorders>
              <w:top w:val="nil"/>
              <w:left w:val="nil"/>
              <w:bottom w:val="nil"/>
              <w:right w:val="nil"/>
            </w:tcBorders>
            <w:shd w:val="clear" w:color="auto" w:fill="FFFFFF"/>
            <w:tcMar>
              <w:top w:w="70" w:type="dxa"/>
              <w:left w:w="100" w:type="dxa"/>
              <w:bottom w:w="70" w:type="dxa"/>
              <w:right w:w="100" w:type="dxa"/>
            </w:tcMar>
            <w:vAlign w:val="center"/>
          </w:tcPr>
          <w:p w14:paraId="5D1E83F8">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配套软件开发</w:t>
            </w:r>
          </w:p>
        </w:tc>
        <w:tc>
          <w:tcPr>
            <w:tcW w:w="1865" w:type="dxa"/>
            <w:tcBorders>
              <w:top w:val="nil"/>
              <w:left w:val="nil"/>
              <w:bottom w:val="nil"/>
              <w:right w:val="nil"/>
            </w:tcBorders>
            <w:shd w:val="clear" w:color="auto" w:fill="FFFFFF"/>
            <w:tcMar>
              <w:top w:w="70" w:type="dxa"/>
              <w:left w:w="100" w:type="dxa"/>
              <w:bottom w:w="70" w:type="dxa"/>
              <w:right w:w="100" w:type="dxa"/>
            </w:tcMar>
            <w:vAlign w:val="center"/>
          </w:tcPr>
          <w:p w14:paraId="67C92BEE">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网页端已完成</w:t>
            </w:r>
          </w:p>
        </w:tc>
        <w:tc>
          <w:tcPr>
            <w:tcW w:w="4160" w:type="dxa"/>
            <w:tcBorders>
              <w:top w:val="nil"/>
              <w:left w:val="nil"/>
              <w:bottom w:val="nil"/>
              <w:right w:val="nil"/>
            </w:tcBorders>
            <w:shd w:val="clear" w:color="auto" w:fill="FFFFFF"/>
            <w:tcMar>
              <w:top w:w="70" w:type="dxa"/>
              <w:left w:w="100" w:type="dxa"/>
              <w:bottom w:w="70" w:type="dxa"/>
              <w:right w:w="100" w:type="dxa"/>
            </w:tcMar>
            <w:vAlign w:val="center"/>
          </w:tcPr>
          <w:p w14:paraId="48E5B443">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社区管理平台已开发，家属端应用开发中</w:t>
            </w:r>
          </w:p>
        </w:tc>
      </w:tr>
      <w:tr w14:paraId="04A0D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575" w:type="dxa"/>
            <w:tcBorders>
              <w:top w:val="nil"/>
              <w:left w:val="nil"/>
              <w:bottom w:val="nil"/>
              <w:right w:val="nil"/>
            </w:tcBorders>
            <w:shd w:val="clear" w:color="auto" w:fill="FFFFFF"/>
            <w:tcMar>
              <w:top w:w="70" w:type="dxa"/>
              <w:left w:w="100" w:type="dxa"/>
              <w:bottom w:w="70" w:type="dxa"/>
              <w:right w:w="100" w:type="dxa"/>
            </w:tcMar>
            <w:vAlign w:val="center"/>
          </w:tcPr>
          <w:p w14:paraId="3F4A8DB6">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自有数据采集</w:t>
            </w:r>
          </w:p>
        </w:tc>
        <w:tc>
          <w:tcPr>
            <w:tcW w:w="1865" w:type="dxa"/>
            <w:tcBorders>
              <w:top w:val="nil"/>
              <w:left w:val="nil"/>
              <w:bottom w:val="nil"/>
              <w:right w:val="nil"/>
            </w:tcBorders>
            <w:shd w:val="clear" w:color="auto" w:fill="FFFFFF"/>
            <w:tcMar>
              <w:top w:w="70" w:type="dxa"/>
              <w:left w:w="100" w:type="dxa"/>
              <w:bottom w:w="70" w:type="dxa"/>
              <w:right w:w="100" w:type="dxa"/>
            </w:tcMar>
            <w:vAlign w:val="center"/>
          </w:tcPr>
          <w:p w14:paraId="7D6004EE">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已完成首批</w:t>
            </w:r>
          </w:p>
        </w:tc>
        <w:tc>
          <w:tcPr>
            <w:tcW w:w="4160" w:type="dxa"/>
            <w:tcBorders>
              <w:top w:val="nil"/>
              <w:left w:val="nil"/>
              <w:bottom w:val="nil"/>
              <w:right w:val="nil"/>
            </w:tcBorders>
            <w:shd w:val="clear" w:color="auto" w:fill="FFFFFF"/>
            <w:tcMar>
              <w:top w:w="70" w:type="dxa"/>
              <w:left w:w="100" w:type="dxa"/>
              <w:bottom w:w="70" w:type="dxa"/>
              <w:right w:w="100" w:type="dxa"/>
            </w:tcMar>
            <w:vAlign w:val="center"/>
          </w:tcPr>
          <w:p w14:paraId="3E1DCAAE">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已采集32份，后续按计划扩充样本</w:t>
            </w:r>
          </w:p>
        </w:tc>
      </w:tr>
      <w:tr w14:paraId="45781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575" w:type="dxa"/>
            <w:tcBorders>
              <w:top w:val="nil"/>
              <w:left w:val="nil"/>
              <w:bottom w:val="nil"/>
              <w:right w:val="nil"/>
            </w:tcBorders>
            <w:shd w:val="clear" w:color="auto" w:fill="FFFFFF"/>
            <w:tcMar>
              <w:top w:w="70" w:type="dxa"/>
              <w:left w:w="100" w:type="dxa"/>
              <w:bottom w:w="70" w:type="dxa"/>
              <w:right w:w="100" w:type="dxa"/>
            </w:tcMar>
            <w:vAlign w:val="center"/>
          </w:tcPr>
          <w:p w14:paraId="58B9F68A">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知识产权</w:t>
            </w:r>
          </w:p>
        </w:tc>
        <w:tc>
          <w:tcPr>
            <w:tcW w:w="1865" w:type="dxa"/>
            <w:tcBorders>
              <w:top w:val="nil"/>
              <w:left w:val="nil"/>
              <w:bottom w:val="nil"/>
              <w:right w:val="nil"/>
            </w:tcBorders>
            <w:shd w:val="clear" w:color="auto" w:fill="FFFFFF"/>
            <w:tcMar>
              <w:top w:w="70" w:type="dxa"/>
              <w:left w:w="100" w:type="dxa"/>
              <w:bottom w:w="70" w:type="dxa"/>
              <w:right w:w="100" w:type="dxa"/>
            </w:tcMar>
            <w:vAlign w:val="center"/>
          </w:tcPr>
          <w:p w14:paraId="7397AB94">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已提交申请</w:t>
            </w:r>
          </w:p>
        </w:tc>
        <w:tc>
          <w:tcPr>
            <w:tcW w:w="4160" w:type="dxa"/>
            <w:tcBorders>
              <w:top w:val="nil"/>
              <w:left w:val="nil"/>
              <w:bottom w:val="nil"/>
              <w:right w:val="nil"/>
            </w:tcBorders>
            <w:shd w:val="clear" w:color="auto" w:fill="FFFFFF"/>
            <w:tcMar>
              <w:top w:w="70" w:type="dxa"/>
              <w:left w:w="100" w:type="dxa"/>
              <w:bottom w:w="70" w:type="dxa"/>
              <w:right w:w="100" w:type="dxa"/>
            </w:tcMar>
            <w:vAlign w:val="center"/>
          </w:tcPr>
          <w:p w14:paraId="17B863C1">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发明专利与软件著作权均已提交，受理中</w:t>
            </w:r>
          </w:p>
        </w:tc>
      </w:tr>
      <w:tr w14:paraId="43CD4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575" w:type="dxa"/>
            <w:tcBorders>
              <w:top w:val="nil"/>
              <w:left w:val="nil"/>
              <w:bottom w:val="nil"/>
              <w:right w:val="nil"/>
            </w:tcBorders>
            <w:shd w:val="clear" w:color="auto" w:fill="FFFFFF"/>
            <w:tcMar>
              <w:top w:w="70" w:type="dxa"/>
              <w:left w:w="100" w:type="dxa"/>
              <w:bottom w:w="70" w:type="dxa"/>
              <w:right w:w="100" w:type="dxa"/>
            </w:tcMar>
            <w:vAlign w:val="center"/>
          </w:tcPr>
          <w:p w14:paraId="54CE439F">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三组验证实验</w:t>
            </w:r>
          </w:p>
        </w:tc>
        <w:tc>
          <w:tcPr>
            <w:tcW w:w="1865" w:type="dxa"/>
            <w:tcBorders>
              <w:top w:val="nil"/>
              <w:left w:val="nil"/>
              <w:bottom w:val="nil"/>
              <w:right w:val="nil"/>
            </w:tcBorders>
            <w:shd w:val="clear" w:color="auto" w:fill="FFFFFF"/>
            <w:tcMar>
              <w:top w:w="70" w:type="dxa"/>
              <w:left w:w="100" w:type="dxa"/>
              <w:bottom w:w="70" w:type="dxa"/>
              <w:right w:w="100" w:type="dxa"/>
            </w:tcMar>
            <w:vAlign w:val="center"/>
          </w:tcPr>
          <w:p w14:paraId="2B71D102">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已设计，待执行</w:t>
            </w:r>
          </w:p>
        </w:tc>
        <w:tc>
          <w:tcPr>
            <w:tcW w:w="4160" w:type="dxa"/>
            <w:tcBorders>
              <w:top w:val="nil"/>
              <w:left w:val="nil"/>
              <w:bottom w:val="nil"/>
              <w:right w:val="nil"/>
            </w:tcBorders>
            <w:shd w:val="clear" w:color="auto" w:fill="FFFFFF"/>
            <w:tcMar>
              <w:top w:w="70" w:type="dxa"/>
              <w:left w:w="100" w:type="dxa"/>
              <w:bottom w:w="70" w:type="dxa"/>
              <w:right w:w="100" w:type="dxa"/>
            </w:tcMar>
            <w:vAlign w:val="center"/>
          </w:tcPr>
          <w:p w14:paraId="55120D15">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传感可行性、算法准确性、气囊有效性</w:t>
            </w:r>
          </w:p>
        </w:tc>
      </w:tr>
      <w:tr w14:paraId="6C4CA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575" w:type="dxa"/>
            <w:tcBorders>
              <w:top w:val="nil"/>
              <w:left w:val="nil"/>
              <w:bottom w:val="single" w:color="000000" w:sz="12" w:space="0"/>
              <w:right w:val="nil"/>
            </w:tcBorders>
            <w:shd w:val="clear" w:color="auto" w:fill="FFFFFF"/>
            <w:tcMar>
              <w:top w:w="70" w:type="dxa"/>
              <w:left w:w="100" w:type="dxa"/>
              <w:bottom w:w="70" w:type="dxa"/>
              <w:right w:w="100" w:type="dxa"/>
            </w:tcMar>
            <w:vAlign w:val="center"/>
          </w:tcPr>
          <w:p w14:paraId="3481D432">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集成样机试制</w:t>
            </w:r>
          </w:p>
        </w:tc>
        <w:tc>
          <w:tcPr>
            <w:tcW w:w="1865" w:type="dxa"/>
            <w:tcBorders>
              <w:top w:val="nil"/>
              <w:left w:val="nil"/>
              <w:bottom w:val="single" w:color="000000" w:sz="12" w:space="0"/>
              <w:right w:val="nil"/>
            </w:tcBorders>
            <w:shd w:val="clear" w:color="auto" w:fill="FFFFFF"/>
            <w:tcMar>
              <w:top w:w="70" w:type="dxa"/>
              <w:left w:w="100" w:type="dxa"/>
              <w:bottom w:w="70" w:type="dxa"/>
              <w:right w:w="100" w:type="dxa"/>
            </w:tcMar>
            <w:vAlign w:val="center"/>
          </w:tcPr>
          <w:p w14:paraId="628D7BDD">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未开展</w:t>
            </w:r>
          </w:p>
        </w:tc>
        <w:tc>
          <w:tcPr>
            <w:tcW w:w="4160" w:type="dxa"/>
            <w:tcBorders>
              <w:top w:val="nil"/>
              <w:left w:val="nil"/>
              <w:bottom w:val="single" w:color="000000" w:sz="12" w:space="0"/>
              <w:right w:val="nil"/>
            </w:tcBorders>
            <w:shd w:val="clear" w:color="auto" w:fill="FFFFFF"/>
            <w:tcMar>
              <w:top w:w="70" w:type="dxa"/>
              <w:left w:w="100" w:type="dxa"/>
              <w:bottom w:w="70" w:type="dxa"/>
              <w:right w:w="100" w:type="dxa"/>
            </w:tcMar>
            <w:vAlign w:val="center"/>
          </w:tcPr>
          <w:p w14:paraId="27B52398">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当前阶段不以整机试制为目标</w:t>
            </w:r>
          </w:p>
        </w:tc>
      </w:tr>
    </w:tbl>
    <w:p w14:paraId="59D3F790">
      <w:pPr>
        <w:pStyle w:val="3"/>
        <w:keepNext w:val="0"/>
        <w:keepLines w:val="0"/>
        <w:pageBreakBefore w:val="0"/>
        <w:widowControl/>
        <w:kinsoku/>
        <w:wordWrap/>
        <w:overflowPunct/>
        <w:topLinePunct w:val="0"/>
        <w:autoSpaceDE/>
        <w:autoSpaceDN/>
        <w:bidi w:val="0"/>
        <w:adjustRightInd/>
        <w:snapToGrid/>
        <w:spacing w:before="181" w:beforeLines="50"/>
        <w:textAlignment w:val="auto"/>
      </w:pPr>
      <w:bookmarkStart w:id="10" w:name="_Toc6795"/>
      <w:bookmarkStart w:id="11" w:name="_Toc5360"/>
      <w:r>
        <w:rPr>
          <w:rFonts w:hint="eastAsia"/>
        </w:rPr>
        <w:t>1.5市场与商业模式</w:t>
      </w:r>
      <w:bookmarkEnd w:id="10"/>
      <w:bookmarkEnd w:id="11"/>
    </w:p>
    <w:p w14:paraId="4CAAF1CC">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全国60岁及以上人口3.23亿；按跌倒高风险检出率测算，65岁及以上人群中的高风险人口约2348万人。验证阶段目标市场限定于北京市海淀区，全区已建成社区养老服务驿站160家与区域养老服务中心20家，合计180个社区级点位。</w:t>
      </w:r>
    </w:p>
    <w:p w14:paraId="68340805">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商业模式采取机构端切入。243份问卷显示，八成受访者可接受的价格在599元及以下，个人支付意愿有限；而承担安全责任的机构有清晰的付费动机——一位老人在服务范围内跌倒骨折，机构面临的责任认定与声誉损失远高于设备采购支出。</w:t>
      </w:r>
    </w:p>
    <w:p w14:paraId="480F91B3">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收入由设备销售、平台服务订阅与机构管理服务三条线构成。以一个社区点位服务50名中高风险老人测算，首年含税收入69950元、毛利率55.9%；进入稳态后收入全部来自服务，年含税收入30000元、毛利率79.3%。盈利能力随社区点位数量增长，而非随设备销量增长。</w:t>
      </w:r>
    </w:p>
    <w:p w14:paraId="2570BE9D">
      <w:pPr>
        <w:pStyle w:val="3"/>
        <w:bidi w:val="0"/>
      </w:pPr>
      <w:bookmarkStart w:id="12" w:name="_Toc13568"/>
      <w:bookmarkStart w:id="13" w:name="_Toc31364"/>
      <w:r>
        <w:rPr>
          <w:rFonts w:hint="eastAsia"/>
        </w:rPr>
        <w:t>1.6三年规划与关键结论</w:t>
      </w:r>
      <w:bookmarkEnd w:id="12"/>
      <w:bookmarkEnd w:id="13"/>
    </w:p>
    <w:p w14:paraId="11942C8C">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发展路径为打透一个点、街镇复制、区域推广三步：第一年在颐清园完整跑通服务闭环，第二年累计9个点位并完成作业手册定型，第三年累计47个点位并启动跨城区复制。</w:t>
      </w:r>
    </w:p>
    <w:p w14:paraId="37763A11">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1</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2</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三年关键指标</w:t>
      </w:r>
    </w:p>
    <w:tbl>
      <w:tblPr>
        <w:tblStyle w:val="15"/>
        <w:tblW w:w="860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2272"/>
        <w:gridCol w:w="886"/>
        <w:gridCol w:w="886"/>
        <w:gridCol w:w="886"/>
        <w:gridCol w:w="3670"/>
      </w:tblGrid>
      <w:tr w14:paraId="3AC6C2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2272" w:type="dxa"/>
            <w:tcBorders>
              <w:top w:val="single" w:color="000000" w:sz="12" w:space="0"/>
              <w:left w:val="nil"/>
              <w:bottom w:val="single" w:color="000000" w:sz="4" w:space="0"/>
              <w:right w:val="nil"/>
              <w:tl2br w:val="nil"/>
            </w:tcBorders>
            <w:shd w:val="clear" w:color="auto" w:fill="FFFFFF"/>
            <w:noWrap w:val="0"/>
            <w:tcMar>
              <w:top w:w="70" w:type="dxa"/>
              <w:left w:w="100" w:type="dxa"/>
              <w:bottom w:w="70" w:type="dxa"/>
              <w:right w:w="100" w:type="dxa"/>
            </w:tcMar>
            <w:vAlign w:val="center"/>
          </w:tcPr>
          <w:p w14:paraId="1B014635">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val="0"/>
                <w:color w:val="000000" w:themeColor="text1"/>
                <w:sz w:val="21"/>
                <w14:textFill>
                  <w14:solidFill>
                    <w14:schemeClr w14:val="tx1"/>
                  </w14:solidFill>
                </w14:textFill>
              </w:rPr>
            </w:pPr>
            <w:r>
              <w:rPr>
                <w:rFonts w:hint="eastAsia" w:ascii="黑体" w:hAnsi="黑体" w:eastAsia="黑体" w:cs="黑体"/>
                <w:b w:val="0"/>
                <w:bCs/>
                <w:color w:val="000000" w:themeColor="text1"/>
                <w:sz w:val="21"/>
                <w:szCs w:val="21"/>
                <w14:textFill>
                  <w14:solidFill>
                    <w14:schemeClr w14:val="tx1"/>
                  </w14:solidFill>
                </w14:textFill>
              </w:rPr>
              <w:t>项目</w:t>
            </w:r>
          </w:p>
        </w:tc>
        <w:tc>
          <w:tcPr>
            <w:tcW w:w="886" w:type="dxa"/>
            <w:tcBorders>
              <w:top w:val="single" w:color="000000" w:sz="12" w:space="0"/>
              <w:left w:val="nil"/>
              <w:bottom w:val="single" w:color="000000" w:sz="4" w:space="0"/>
              <w:right w:val="nil"/>
            </w:tcBorders>
            <w:shd w:val="clear" w:color="auto" w:fill="FFFFFF"/>
            <w:noWrap w:val="0"/>
            <w:tcMar>
              <w:top w:w="70" w:type="dxa"/>
              <w:left w:w="100" w:type="dxa"/>
              <w:bottom w:w="70" w:type="dxa"/>
              <w:right w:w="100" w:type="dxa"/>
            </w:tcMar>
            <w:vAlign w:val="center"/>
          </w:tcPr>
          <w:p w14:paraId="06C32E2A">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val="0"/>
                <w:color w:val="000000" w:themeColor="text1"/>
                <w:sz w:val="21"/>
                <w14:textFill>
                  <w14:solidFill>
                    <w14:schemeClr w14:val="tx1"/>
                  </w14:solidFill>
                </w14:textFill>
              </w:rPr>
            </w:pPr>
            <w:r>
              <w:rPr>
                <w:rFonts w:hint="eastAsia" w:ascii="黑体" w:hAnsi="黑体" w:eastAsia="黑体" w:cs="黑体"/>
                <w:b w:val="0"/>
                <w:bCs/>
                <w:color w:val="000000" w:themeColor="text1"/>
                <w:sz w:val="21"/>
                <w:szCs w:val="21"/>
                <w14:textFill>
                  <w14:solidFill>
                    <w14:schemeClr w14:val="tx1"/>
                  </w14:solidFill>
                </w14:textFill>
              </w:rPr>
              <w:t>第一年</w:t>
            </w:r>
          </w:p>
        </w:tc>
        <w:tc>
          <w:tcPr>
            <w:tcW w:w="886" w:type="dxa"/>
            <w:tcBorders>
              <w:top w:val="single" w:color="000000" w:sz="12" w:space="0"/>
              <w:left w:val="nil"/>
              <w:bottom w:val="single" w:color="000000" w:sz="4" w:space="0"/>
              <w:right w:val="nil"/>
            </w:tcBorders>
            <w:shd w:val="clear" w:color="auto" w:fill="FFFFFF"/>
            <w:noWrap w:val="0"/>
            <w:tcMar>
              <w:top w:w="70" w:type="dxa"/>
              <w:left w:w="100" w:type="dxa"/>
              <w:bottom w:w="70" w:type="dxa"/>
              <w:right w:w="100" w:type="dxa"/>
            </w:tcMar>
            <w:vAlign w:val="center"/>
          </w:tcPr>
          <w:p w14:paraId="1C100D3B">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val="0"/>
                <w:color w:val="000000" w:themeColor="text1"/>
                <w:sz w:val="21"/>
                <w14:textFill>
                  <w14:solidFill>
                    <w14:schemeClr w14:val="tx1"/>
                  </w14:solidFill>
                </w14:textFill>
              </w:rPr>
            </w:pPr>
            <w:r>
              <w:rPr>
                <w:rFonts w:hint="eastAsia" w:ascii="黑体" w:hAnsi="黑体" w:eastAsia="黑体" w:cs="黑体"/>
                <w:b w:val="0"/>
                <w:bCs/>
                <w:color w:val="000000" w:themeColor="text1"/>
                <w:sz w:val="21"/>
                <w:szCs w:val="21"/>
                <w14:textFill>
                  <w14:solidFill>
                    <w14:schemeClr w14:val="tx1"/>
                  </w14:solidFill>
                </w14:textFill>
              </w:rPr>
              <w:t>第二年</w:t>
            </w:r>
          </w:p>
        </w:tc>
        <w:tc>
          <w:tcPr>
            <w:tcW w:w="886" w:type="dxa"/>
            <w:tcBorders>
              <w:top w:val="single" w:color="000000" w:sz="12" w:space="0"/>
              <w:left w:val="nil"/>
              <w:bottom w:val="single" w:color="000000" w:sz="4" w:space="0"/>
              <w:right w:val="nil"/>
            </w:tcBorders>
            <w:shd w:val="clear" w:color="auto" w:fill="FFFFFF"/>
            <w:noWrap w:val="0"/>
            <w:tcMar>
              <w:top w:w="70" w:type="dxa"/>
              <w:left w:w="100" w:type="dxa"/>
              <w:bottom w:w="70" w:type="dxa"/>
              <w:right w:w="100" w:type="dxa"/>
            </w:tcMar>
            <w:vAlign w:val="center"/>
          </w:tcPr>
          <w:p w14:paraId="2C12AA95">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val="0"/>
                <w:color w:val="000000" w:themeColor="text1"/>
                <w:sz w:val="21"/>
                <w14:textFill>
                  <w14:solidFill>
                    <w14:schemeClr w14:val="tx1"/>
                  </w14:solidFill>
                </w14:textFill>
              </w:rPr>
            </w:pPr>
            <w:r>
              <w:rPr>
                <w:rFonts w:hint="eastAsia" w:ascii="黑体" w:hAnsi="黑体" w:eastAsia="黑体" w:cs="黑体"/>
                <w:b w:val="0"/>
                <w:bCs/>
                <w:color w:val="000000" w:themeColor="text1"/>
                <w:sz w:val="21"/>
                <w:szCs w:val="21"/>
                <w14:textFill>
                  <w14:solidFill>
                    <w14:schemeClr w14:val="tx1"/>
                  </w14:solidFill>
                </w14:textFill>
              </w:rPr>
              <w:t>第三年</w:t>
            </w:r>
          </w:p>
        </w:tc>
        <w:tc>
          <w:tcPr>
            <w:tcW w:w="3670" w:type="dxa"/>
            <w:tcBorders>
              <w:top w:val="single" w:color="000000" w:sz="12" w:space="0"/>
              <w:left w:val="nil"/>
              <w:bottom w:val="single" w:color="000000" w:sz="4" w:space="0"/>
              <w:right w:val="nil"/>
            </w:tcBorders>
            <w:shd w:val="clear" w:color="auto" w:fill="FFFFFF"/>
            <w:noWrap w:val="0"/>
            <w:tcMar>
              <w:top w:w="70" w:type="dxa"/>
              <w:left w:w="100" w:type="dxa"/>
              <w:bottom w:w="70" w:type="dxa"/>
              <w:right w:w="100" w:type="dxa"/>
            </w:tcMar>
            <w:vAlign w:val="center"/>
          </w:tcPr>
          <w:p w14:paraId="64062CAA">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val="0"/>
                <w:color w:val="000000" w:themeColor="text1"/>
                <w:sz w:val="21"/>
                <w14:textFill>
                  <w14:solidFill>
                    <w14:schemeClr w14:val="tx1"/>
                  </w14:solidFill>
                </w14:textFill>
              </w:rPr>
            </w:pPr>
            <w:r>
              <w:rPr>
                <w:rFonts w:hint="eastAsia" w:ascii="黑体" w:hAnsi="黑体" w:eastAsia="黑体" w:cs="黑体"/>
                <w:b w:val="0"/>
                <w:bCs/>
                <w:color w:val="000000" w:themeColor="text1"/>
                <w:sz w:val="21"/>
                <w:szCs w:val="21"/>
                <w14:textFill>
                  <w14:solidFill>
                    <w14:schemeClr w14:val="tx1"/>
                  </w14:solidFill>
                </w14:textFill>
              </w:rPr>
              <w:t>备注</w:t>
            </w:r>
          </w:p>
        </w:tc>
      </w:tr>
      <w:tr w14:paraId="23A13E0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272" w:type="dxa"/>
            <w:tcBorders>
              <w:top w:val="single" w:color="000000" w:sz="4" w:space="0"/>
              <w:left w:val="nil"/>
              <w:bottom w:val="nil"/>
              <w:right w:val="nil"/>
            </w:tcBorders>
            <w:shd w:val="clear" w:color="auto" w:fill="FFFFFF"/>
            <w:noWrap w:val="0"/>
            <w:tcMar>
              <w:top w:w="70" w:type="dxa"/>
              <w:left w:w="100" w:type="dxa"/>
              <w:bottom w:w="70" w:type="dxa"/>
              <w:right w:w="100" w:type="dxa"/>
            </w:tcMar>
            <w:vAlign w:val="center"/>
          </w:tcPr>
          <w:p w14:paraId="0570F0D0">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bCs/>
                <w:color w:val="000000" w:themeColor="text1"/>
                <w:sz w:val="21"/>
                <w:szCs w:val="21"/>
                <w14:textFill>
                  <w14:solidFill>
                    <w14:schemeClr w14:val="tx1"/>
                  </w14:solidFill>
                </w14:textFill>
              </w:rPr>
              <w:t>累计社区点位（个）</w:t>
            </w:r>
          </w:p>
        </w:tc>
        <w:tc>
          <w:tcPr>
            <w:tcW w:w="886" w:type="dxa"/>
            <w:tcBorders>
              <w:top w:val="single" w:color="000000" w:sz="4" w:space="0"/>
              <w:left w:val="nil"/>
              <w:bottom w:val="nil"/>
              <w:right w:val="nil"/>
            </w:tcBorders>
            <w:shd w:val="clear" w:color="auto" w:fill="FFFFFF"/>
            <w:noWrap w:val="0"/>
            <w:tcMar>
              <w:top w:w="70" w:type="dxa"/>
              <w:left w:w="100" w:type="dxa"/>
              <w:bottom w:w="70" w:type="dxa"/>
              <w:right w:w="100" w:type="dxa"/>
            </w:tcMar>
            <w:vAlign w:val="center"/>
          </w:tcPr>
          <w:p w14:paraId="78A0A67D">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b w:val="0"/>
                <w:color w:val="000000" w:themeColor="text1"/>
                <w:sz w:val="21"/>
                <w14:textFill>
                  <w14:solidFill>
                    <w14:schemeClr w14:val="tx1"/>
                  </w14:solidFill>
                </w14:textFill>
              </w:rPr>
            </w:pPr>
            <w:r>
              <w:rPr>
                <w:rFonts w:ascii="宋体" w:hAnsi="宋体" w:eastAsia="宋体" w:cs="宋体"/>
                <w:b w:val="0"/>
                <w:bCs w:val="0"/>
                <w:color w:val="000000" w:themeColor="text1"/>
                <w:sz w:val="21"/>
                <w:szCs w:val="21"/>
                <w14:textFill>
                  <w14:solidFill>
                    <w14:schemeClr w14:val="tx1"/>
                  </w14:solidFill>
                </w14:textFill>
              </w:rPr>
              <w:t>1</w:t>
            </w:r>
          </w:p>
        </w:tc>
        <w:tc>
          <w:tcPr>
            <w:tcW w:w="886" w:type="dxa"/>
            <w:tcBorders>
              <w:top w:val="single" w:color="000000" w:sz="4" w:space="0"/>
              <w:left w:val="nil"/>
              <w:bottom w:val="nil"/>
              <w:right w:val="nil"/>
            </w:tcBorders>
            <w:shd w:val="clear" w:color="auto" w:fill="FFFFFF"/>
            <w:noWrap w:val="0"/>
            <w:tcMar>
              <w:top w:w="70" w:type="dxa"/>
              <w:left w:w="100" w:type="dxa"/>
              <w:bottom w:w="70" w:type="dxa"/>
              <w:right w:w="100" w:type="dxa"/>
            </w:tcMar>
            <w:vAlign w:val="center"/>
          </w:tcPr>
          <w:p w14:paraId="2426F136">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right"/>
              <w:textAlignment w:val="auto"/>
              <w:rPr>
                <w:rFonts w:ascii="宋体" w:eastAsia="宋体"/>
                <w:b w:val="0"/>
                <w:color w:val="000000" w:themeColor="text1"/>
                <w:sz w:val="21"/>
                <w14:textFill>
                  <w14:solidFill>
                    <w14:schemeClr w14:val="tx1"/>
                  </w14:solidFill>
                </w14:textFill>
              </w:rPr>
            </w:pPr>
            <w:r>
              <w:rPr>
                <w:rFonts w:ascii="宋体" w:hAnsi="宋体" w:eastAsia="宋体" w:cs="宋体"/>
                <w:b w:val="0"/>
                <w:bCs w:val="0"/>
                <w:color w:val="000000" w:themeColor="text1"/>
                <w:sz w:val="21"/>
                <w:szCs w:val="21"/>
                <w14:textFill>
                  <w14:solidFill>
                    <w14:schemeClr w14:val="tx1"/>
                  </w14:solidFill>
                </w14:textFill>
              </w:rPr>
              <w:t>9</w:t>
            </w:r>
          </w:p>
        </w:tc>
        <w:tc>
          <w:tcPr>
            <w:tcW w:w="886" w:type="dxa"/>
            <w:tcBorders>
              <w:top w:val="single" w:color="000000" w:sz="4" w:space="0"/>
              <w:left w:val="nil"/>
              <w:bottom w:val="nil"/>
              <w:right w:val="nil"/>
            </w:tcBorders>
            <w:shd w:val="clear" w:color="auto" w:fill="FFFFFF"/>
            <w:noWrap w:val="0"/>
            <w:tcMar>
              <w:top w:w="70" w:type="dxa"/>
              <w:left w:w="100" w:type="dxa"/>
              <w:bottom w:w="70" w:type="dxa"/>
              <w:right w:w="100" w:type="dxa"/>
            </w:tcMar>
            <w:vAlign w:val="center"/>
          </w:tcPr>
          <w:p w14:paraId="31BA809F">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right"/>
              <w:textAlignment w:val="auto"/>
              <w:rPr>
                <w:rFonts w:ascii="宋体" w:eastAsia="宋体"/>
                <w:b w:val="0"/>
                <w:color w:val="000000" w:themeColor="text1"/>
                <w:sz w:val="21"/>
                <w14:textFill>
                  <w14:solidFill>
                    <w14:schemeClr w14:val="tx1"/>
                  </w14:solidFill>
                </w14:textFill>
              </w:rPr>
            </w:pPr>
            <w:r>
              <w:rPr>
                <w:rFonts w:ascii="宋体" w:hAnsi="宋体" w:eastAsia="宋体" w:cs="宋体"/>
                <w:b w:val="0"/>
                <w:bCs w:val="0"/>
                <w:color w:val="000000" w:themeColor="text1"/>
                <w:sz w:val="21"/>
                <w:szCs w:val="21"/>
                <w14:textFill>
                  <w14:solidFill>
                    <w14:schemeClr w14:val="tx1"/>
                  </w14:solidFill>
                </w14:textFill>
              </w:rPr>
              <w:t>47</w:t>
            </w:r>
          </w:p>
        </w:tc>
        <w:tc>
          <w:tcPr>
            <w:tcW w:w="3670" w:type="dxa"/>
            <w:tcBorders>
              <w:top w:val="single" w:color="000000" w:sz="4" w:space="0"/>
              <w:left w:val="nil"/>
              <w:bottom w:val="nil"/>
              <w:right w:val="nil"/>
            </w:tcBorders>
            <w:shd w:val="clear" w:color="auto" w:fill="FFFFFF"/>
            <w:noWrap w:val="0"/>
            <w:tcMar>
              <w:top w:w="70" w:type="dxa"/>
              <w:left w:w="100" w:type="dxa"/>
              <w:bottom w:w="70" w:type="dxa"/>
              <w:right w:w="100" w:type="dxa"/>
            </w:tcMar>
            <w:vAlign w:val="center"/>
          </w:tcPr>
          <w:p w14:paraId="208AADA9">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ascii="宋体" w:hAnsi="宋体" w:eastAsia="宋体" w:cs="宋体"/>
                <w:b w:val="0"/>
                <w:bCs w:val="0"/>
                <w:color w:val="000000" w:themeColor="text1"/>
                <w:sz w:val="21"/>
                <w:szCs w:val="21"/>
                <w14:textFill>
                  <w14:solidFill>
                    <w14:schemeClr w14:val="tx1"/>
                  </w14:solidFill>
                </w14:textFill>
              </w:rPr>
              <w:t>—</w:t>
            </w:r>
          </w:p>
        </w:tc>
      </w:tr>
      <w:tr w14:paraId="275401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272" w:type="dxa"/>
            <w:tcBorders>
              <w:top w:val="nil"/>
              <w:left w:val="nil"/>
              <w:bottom w:val="nil"/>
              <w:right w:val="nil"/>
            </w:tcBorders>
            <w:shd w:val="clear" w:color="auto" w:fill="FFFFFF"/>
            <w:noWrap w:val="0"/>
            <w:tcMar>
              <w:top w:w="70" w:type="dxa"/>
              <w:left w:w="100" w:type="dxa"/>
              <w:bottom w:w="70" w:type="dxa"/>
              <w:right w:w="100" w:type="dxa"/>
            </w:tcMar>
            <w:vAlign w:val="center"/>
          </w:tcPr>
          <w:p w14:paraId="5C21FCDD">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bCs/>
                <w:color w:val="000000" w:themeColor="text1"/>
                <w:sz w:val="21"/>
                <w:szCs w:val="21"/>
                <w14:textFill>
                  <w14:solidFill>
                    <w14:schemeClr w14:val="tx1"/>
                  </w14:solidFill>
                </w14:textFill>
              </w:rPr>
              <w:t>营业收入（万元）</w:t>
            </w:r>
          </w:p>
        </w:tc>
        <w:tc>
          <w:tcPr>
            <w:tcW w:w="886" w:type="dxa"/>
            <w:tcBorders>
              <w:top w:val="nil"/>
              <w:left w:val="nil"/>
              <w:bottom w:val="nil"/>
              <w:right w:val="nil"/>
            </w:tcBorders>
            <w:shd w:val="clear" w:color="auto" w:fill="FFFFFF"/>
            <w:noWrap w:val="0"/>
            <w:tcMar>
              <w:top w:w="70" w:type="dxa"/>
              <w:left w:w="100" w:type="dxa"/>
              <w:bottom w:w="70" w:type="dxa"/>
              <w:right w:w="100" w:type="dxa"/>
            </w:tcMar>
            <w:vAlign w:val="center"/>
          </w:tcPr>
          <w:p w14:paraId="5899B823">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b w:val="0"/>
                <w:color w:val="000000" w:themeColor="text1"/>
                <w:sz w:val="21"/>
                <w14:textFill>
                  <w14:solidFill>
                    <w14:schemeClr w14:val="tx1"/>
                  </w14:solidFill>
                </w14:textFill>
              </w:rPr>
            </w:pPr>
            <w:r>
              <w:rPr>
                <w:rFonts w:ascii="宋体" w:hAnsi="宋体" w:eastAsia="宋体" w:cs="宋体"/>
                <w:b w:val="0"/>
                <w:bCs w:val="0"/>
                <w:color w:val="000000" w:themeColor="text1"/>
                <w:sz w:val="21"/>
                <w:szCs w:val="21"/>
                <w14:textFill>
                  <w14:solidFill>
                    <w14:schemeClr w14:val="tx1"/>
                  </w14:solidFill>
                </w14:textFill>
              </w:rPr>
              <w:t>7.0</w:t>
            </w:r>
          </w:p>
        </w:tc>
        <w:tc>
          <w:tcPr>
            <w:tcW w:w="886" w:type="dxa"/>
            <w:tcBorders>
              <w:top w:val="nil"/>
              <w:left w:val="nil"/>
              <w:bottom w:val="nil"/>
              <w:right w:val="nil"/>
            </w:tcBorders>
            <w:shd w:val="clear" w:color="auto" w:fill="FFFFFF"/>
            <w:noWrap w:val="0"/>
            <w:tcMar>
              <w:top w:w="70" w:type="dxa"/>
              <w:left w:w="100" w:type="dxa"/>
              <w:bottom w:w="70" w:type="dxa"/>
              <w:right w:w="100" w:type="dxa"/>
            </w:tcMar>
            <w:vAlign w:val="center"/>
          </w:tcPr>
          <w:p w14:paraId="46EE6B8F">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right"/>
              <w:textAlignment w:val="auto"/>
              <w:rPr>
                <w:rFonts w:ascii="宋体" w:eastAsia="宋体"/>
                <w:b w:val="0"/>
                <w:color w:val="000000" w:themeColor="text1"/>
                <w:sz w:val="21"/>
                <w14:textFill>
                  <w14:solidFill>
                    <w14:schemeClr w14:val="tx1"/>
                  </w14:solidFill>
                </w14:textFill>
              </w:rPr>
            </w:pPr>
            <w:r>
              <w:rPr>
                <w:rFonts w:ascii="宋体" w:hAnsi="宋体" w:eastAsia="宋体" w:cs="宋体"/>
                <w:b w:val="0"/>
                <w:bCs w:val="0"/>
                <w:color w:val="000000" w:themeColor="text1"/>
                <w:sz w:val="21"/>
                <w:szCs w:val="21"/>
                <w14:textFill>
                  <w14:solidFill>
                    <w14:schemeClr w14:val="tx1"/>
                  </w14:solidFill>
                </w14:textFill>
              </w:rPr>
              <w:t>59.0</w:t>
            </w:r>
          </w:p>
        </w:tc>
        <w:tc>
          <w:tcPr>
            <w:tcW w:w="886" w:type="dxa"/>
            <w:tcBorders>
              <w:top w:val="nil"/>
              <w:left w:val="nil"/>
              <w:bottom w:val="nil"/>
              <w:right w:val="nil"/>
            </w:tcBorders>
            <w:shd w:val="clear" w:color="auto" w:fill="FFFFFF"/>
            <w:noWrap w:val="0"/>
            <w:tcMar>
              <w:top w:w="70" w:type="dxa"/>
              <w:left w:w="100" w:type="dxa"/>
              <w:bottom w:w="70" w:type="dxa"/>
              <w:right w:w="100" w:type="dxa"/>
            </w:tcMar>
            <w:vAlign w:val="center"/>
          </w:tcPr>
          <w:p w14:paraId="08A20776">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right"/>
              <w:textAlignment w:val="auto"/>
              <w:rPr>
                <w:rFonts w:ascii="宋体" w:eastAsia="宋体"/>
                <w:b w:val="0"/>
                <w:color w:val="000000" w:themeColor="text1"/>
                <w:sz w:val="21"/>
                <w14:textFill>
                  <w14:solidFill>
                    <w14:schemeClr w14:val="tx1"/>
                  </w14:solidFill>
                </w14:textFill>
              </w:rPr>
            </w:pPr>
            <w:r>
              <w:rPr>
                <w:rFonts w:ascii="宋体" w:hAnsi="宋体" w:eastAsia="宋体" w:cs="宋体"/>
                <w:b w:val="0"/>
                <w:bCs w:val="0"/>
                <w:color w:val="000000" w:themeColor="text1"/>
                <w:sz w:val="21"/>
                <w:szCs w:val="21"/>
                <w14:textFill>
                  <w14:solidFill>
                    <w14:schemeClr w14:val="tx1"/>
                  </w14:solidFill>
                </w14:textFill>
              </w:rPr>
              <w:t>292.8</w:t>
            </w:r>
          </w:p>
        </w:tc>
        <w:tc>
          <w:tcPr>
            <w:tcW w:w="3670" w:type="dxa"/>
            <w:tcBorders>
              <w:top w:val="nil"/>
              <w:left w:val="nil"/>
              <w:bottom w:val="nil"/>
              <w:right w:val="nil"/>
            </w:tcBorders>
            <w:shd w:val="clear" w:color="auto" w:fill="FFFFFF"/>
            <w:noWrap w:val="0"/>
            <w:tcMar>
              <w:top w:w="70" w:type="dxa"/>
              <w:left w:w="100" w:type="dxa"/>
              <w:bottom w:w="70" w:type="dxa"/>
              <w:right w:w="100" w:type="dxa"/>
            </w:tcMar>
            <w:vAlign w:val="center"/>
          </w:tcPr>
          <w:p w14:paraId="22805381">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含税口径；第三年不含税284.3万元</w:t>
            </w:r>
          </w:p>
        </w:tc>
      </w:tr>
      <w:tr w14:paraId="6A9920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272" w:type="dxa"/>
            <w:tcBorders>
              <w:top w:val="nil"/>
              <w:left w:val="nil"/>
              <w:bottom w:val="nil"/>
              <w:right w:val="nil"/>
            </w:tcBorders>
            <w:shd w:val="clear" w:color="auto" w:fill="FFFFFF"/>
            <w:noWrap w:val="0"/>
            <w:tcMar>
              <w:top w:w="70" w:type="dxa"/>
              <w:left w:w="100" w:type="dxa"/>
              <w:bottom w:w="70" w:type="dxa"/>
              <w:right w:w="100" w:type="dxa"/>
            </w:tcMar>
            <w:vAlign w:val="center"/>
          </w:tcPr>
          <w:p w14:paraId="1440233A">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bCs/>
                <w:color w:val="000000" w:themeColor="text1"/>
                <w:sz w:val="21"/>
                <w:szCs w:val="21"/>
                <w14:textFill>
                  <w14:solidFill>
                    <w14:schemeClr w14:val="tx1"/>
                  </w14:solidFill>
                </w14:textFill>
              </w:rPr>
              <w:t>净利润（万元）</w:t>
            </w:r>
          </w:p>
        </w:tc>
        <w:tc>
          <w:tcPr>
            <w:tcW w:w="886" w:type="dxa"/>
            <w:tcBorders>
              <w:top w:val="nil"/>
              <w:left w:val="nil"/>
              <w:bottom w:val="nil"/>
              <w:right w:val="nil"/>
            </w:tcBorders>
            <w:shd w:val="clear" w:color="auto" w:fill="FFFFFF"/>
            <w:noWrap w:val="0"/>
            <w:tcMar>
              <w:top w:w="70" w:type="dxa"/>
              <w:left w:w="100" w:type="dxa"/>
              <w:bottom w:w="70" w:type="dxa"/>
              <w:right w:w="100" w:type="dxa"/>
            </w:tcMar>
            <w:vAlign w:val="center"/>
          </w:tcPr>
          <w:p w14:paraId="1A33F650">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b w:val="0"/>
                <w:color w:val="000000" w:themeColor="text1"/>
                <w:sz w:val="21"/>
                <w14:textFill>
                  <w14:solidFill>
                    <w14:schemeClr w14:val="tx1"/>
                  </w14:solidFill>
                </w14:textFill>
              </w:rPr>
            </w:pPr>
            <w:r>
              <w:rPr>
                <w:rFonts w:ascii="宋体" w:hAnsi="宋体" w:eastAsia="宋体" w:cs="宋体"/>
                <w:b w:val="0"/>
                <w:bCs w:val="0"/>
                <w:color w:val="000000" w:themeColor="text1"/>
                <w:sz w:val="21"/>
                <w:szCs w:val="21"/>
                <w14:textFill>
                  <w14:solidFill>
                    <w14:schemeClr w14:val="tx1"/>
                  </w14:solidFill>
                </w14:textFill>
              </w:rPr>
              <w:t>-36.1</w:t>
            </w:r>
          </w:p>
        </w:tc>
        <w:tc>
          <w:tcPr>
            <w:tcW w:w="886" w:type="dxa"/>
            <w:tcBorders>
              <w:top w:val="nil"/>
              <w:left w:val="nil"/>
              <w:bottom w:val="nil"/>
              <w:right w:val="nil"/>
            </w:tcBorders>
            <w:shd w:val="clear" w:color="auto" w:fill="FFFFFF"/>
            <w:noWrap w:val="0"/>
            <w:tcMar>
              <w:top w:w="70" w:type="dxa"/>
              <w:left w:w="100" w:type="dxa"/>
              <w:bottom w:w="70" w:type="dxa"/>
              <w:right w:w="100" w:type="dxa"/>
            </w:tcMar>
            <w:vAlign w:val="center"/>
          </w:tcPr>
          <w:p w14:paraId="1B90AF7B">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right"/>
              <w:textAlignment w:val="auto"/>
              <w:rPr>
                <w:rFonts w:ascii="宋体" w:eastAsia="宋体"/>
                <w:b w:val="0"/>
                <w:color w:val="000000" w:themeColor="text1"/>
                <w:sz w:val="21"/>
                <w14:textFill>
                  <w14:solidFill>
                    <w14:schemeClr w14:val="tx1"/>
                  </w14:solidFill>
                </w14:textFill>
              </w:rPr>
            </w:pPr>
            <w:r>
              <w:rPr>
                <w:rFonts w:ascii="宋体" w:hAnsi="宋体" w:eastAsia="宋体" w:cs="宋体"/>
                <w:b w:val="0"/>
                <w:bCs w:val="0"/>
                <w:color w:val="000000" w:themeColor="text1"/>
                <w:sz w:val="21"/>
                <w:szCs w:val="21"/>
                <w14:textFill>
                  <w14:solidFill>
                    <w14:schemeClr w14:val="tx1"/>
                  </w14:solidFill>
                </w14:textFill>
              </w:rPr>
              <w:t>-66.3</w:t>
            </w:r>
          </w:p>
        </w:tc>
        <w:tc>
          <w:tcPr>
            <w:tcW w:w="886" w:type="dxa"/>
            <w:tcBorders>
              <w:top w:val="nil"/>
              <w:left w:val="nil"/>
              <w:bottom w:val="nil"/>
              <w:right w:val="nil"/>
            </w:tcBorders>
            <w:shd w:val="clear" w:color="auto" w:fill="FFFFFF"/>
            <w:noWrap w:val="0"/>
            <w:tcMar>
              <w:top w:w="70" w:type="dxa"/>
              <w:left w:w="100" w:type="dxa"/>
              <w:bottom w:w="70" w:type="dxa"/>
              <w:right w:w="100" w:type="dxa"/>
            </w:tcMar>
            <w:vAlign w:val="center"/>
          </w:tcPr>
          <w:p w14:paraId="58FF1A93">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right"/>
              <w:textAlignment w:val="auto"/>
              <w:rPr>
                <w:rFonts w:ascii="宋体" w:eastAsia="宋体"/>
                <w:b w:val="0"/>
                <w:color w:val="000000" w:themeColor="text1"/>
                <w:sz w:val="21"/>
                <w14:textFill>
                  <w14:solidFill>
                    <w14:schemeClr w14:val="tx1"/>
                  </w14:solidFill>
                </w14:textFill>
              </w:rPr>
            </w:pPr>
            <w:r>
              <w:rPr>
                <w:rFonts w:ascii="宋体" w:hAnsi="宋体" w:eastAsia="宋体" w:cs="宋体"/>
                <w:b w:val="0"/>
                <w:bCs w:val="0"/>
                <w:color w:val="000000" w:themeColor="text1"/>
                <w:sz w:val="21"/>
                <w:szCs w:val="21"/>
                <w14:textFill>
                  <w14:solidFill>
                    <w14:schemeClr w14:val="tx1"/>
                  </w14:solidFill>
                </w14:textFill>
              </w:rPr>
              <w:t>11.0</w:t>
            </w:r>
          </w:p>
        </w:tc>
        <w:tc>
          <w:tcPr>
            <w:tcW w:w="3670" w:type="dxa"/>
            <w:tcBorders>
              <w:top w:val="nil"/>
              <w:left w:val="nil"/>
              <w:bottom w:val="nil"/>
              <w:right w:val="nil"/>
            </w:tcBorders>
            <w:shd w:val="clear" w:color="auto" w:fill="FFFFFF"/>
            <w:noWrap w:val="0"/>
            <w:tcMar>
              <w:top w:w="70" w:type="dxa"/>
              <w:left w:w="100" w:type="dxa"/>
              <w:bottom w:w="70" w:type="dxa"/>
              <w:right w:w="100" w:type="dxa"/>
            </w:tcMar>
            <w:vAlign w:val="center"/>
          </w:tcPr>
          <w:p w14:paraId="38DDDF9E">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第三年实现当年盈利</w:t>
            </w:r>
          </w:p>
        </w:tc>
      </w:tr>
      <w:tr w14:paraId="0F358A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2272" w:type="dxa"/>
            <w:tcBorders>
              <w:top w:val="nil"/>
              <w:left w:val="nil"/>
              <w:bottom w:val="single" w:color="000000" w:sz="12" w:space="0"/>
              <w:right w:val="nil"/>
            </w:tcBorders>
            <w:shd w:val="clear" w:color="auto" w:fill="FFFFFF"/>
            <w:noWrap w:val="0"/>
            <w:tcMar>
              <w:top w:w="70" w:type="dxa"/>
              <w:left w:w="100" w:type="dxa"/>
              <w:bottom w:w="70" w:type="dxa"/>
              <w:right w:w="100" w:type="dxa"/>
            </w:tcMar>
            <w:vAlign w:val="center"/>
          </w:tcPr>
          <w:p w14:paraId="6582A07D">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bCs/>
                <w:color w:val="000000" w:themeColor="text1"/>
                <w:sz w:val="21"/>
                <w:szCs w:val="21"/>
                <w14:textFill>
                  <w14:solidFill>
                    <w14:schemeClr w14:val="tx1"/>
                  </w14:solidFill>
                </w14:textFill>
              </w:rPr>
              <w:t>团队规模（人）</w:t>
            </w:r>
          </w:p>
        </w:tc>
        <w:tc>
          <w:tcPr>
            <w:tcW w:w="886" w:type="dxa"/>
            <w:tcBorders>
              <w:top w:val="nil"/>
              <w:left w:val="nil"/>
              <w:bottom w:val="single" w:color="000000" w:sz="12" w:space="0"/>
              <w:right w:val="nil"/>
            </w:tcBorders>
            <w:shd w:val="clear" w:color="auto" w:fill="FFFFFF"/>
            <w:noWrap w:val="0"/>
            <w:tcMar>
              <w:top w:w="70" w:type="dxa"/>
              <w:left w:w="100" w:type="dxa"/>
              <w:bottom w:w="70" w:type="dxa"/>
              <w:right w:w="100" w:type="dxa"/>
            </w:tcMar>
            <w:vAlign w:val="center"/>
          </w:tcPr>
          <w:p w14:paraId="4F79E888">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b w:val="0"/>
                <w:color w:val="000000" w:themeColor="text1"/>
                <w:sz w:val="21"/>
                <w14:textFill>
                  <w14:solidFill>
                    <w14:schemeClr w14:val="tx1"/>
                  </w14:solidFill>
                </w14:textFill>
              </w:rPr>
            </w:pPr>
            <w:r>
              <w:rPr>
                <w:rFonts w:ascii="宋体" w:hAnsi="宋体" w:eastAsia="宋体" w:cs="宋体"/>
                <w:b w:val="0"/>
                <w:bCs w:val="0"/>
                <w:color w:val="000000" w:themeColor="text1"/>
                <w:sz w:val="21"/>
                <w:szCs w:val="21"/>
                <w14:textFill>
                  <w14:solidFill>
                    <w14:schemeClr w14:val="tx1"/>
                  </w14:solidFill>
                </w14:textFill>
              </w:rPr>
              <w:t>12</w:t>
            </w:r>
          </w:p>
        </w:tc>
        <w:tc>
          <w:tcPr>
            <w:tcW w:w="886" w:type="dxa"/>
            <w:tcBorders>
              <w:top w:val="nil"/>
              <w:left w:val="nil"/>
              <w:bottom w:val="single" w:color="000000" w:sz="12" w:space="0"/>
              <w:right w:val="nil"/>
            </w:tcBorders>
            <w:shd w:val="clear" w:color="auto" w:fill="FFFFFF"/>
            <w:noWrap w:val="0"/>
            <w:tcMar>
              <w:top w:w="70" w:type="dxa"/>
              <w:left w:w="100" w:type="dxa"/>
              <w:bottom w:w="70" w:type="dxa"/>
              <w:right w:w="100" w:type="dxa"/>
            </w:tcMar>
            <w:vAlign w:val="center"/>
          </w:tcPr>
          <w:p w14:paraId="6E591A08">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right"/>
              <w:textAlignment w:val="auto"/>
              <w:rPr>
                <w:rFonts w:ascii="宋体" w:eastAsia="宋体"/>
                <w:b w:val="0"/>
                <w:color w:val="000000" w:themeColor="text1"/>
                <w:sz w:val="21"/>
                <w14:textFill>
                  <w14:solidFill>
                    <w14:schemeClr w14:val="tx1"/>
                  </w14:solidFill>
                </w14:textFill>
              </w:rPr>
            </w:pPr>
            <w:r>
              <w:rPr>
                <w:rFonts w:ascii="宋体" w:hAnsi="宋体" w:eastAsia="宋体" w:cs="宋体"/>
                <w:b w:val="0"/>
                <w:bCs w:val="0"/>
                <w:color w:val="000000" w:themeColor="text1"/>
                <w:sz w:val="21"/>
                <w:szCs w:val="21"/>
                <w14:textFill>
                  <w14:solidFill>
                    <w14:schemeClr w14:val="tx1"/>
                  </w14:solidFill>
                </w14:textFill>
              </w:rPr>
              <w:t>14</w:t>
            </w:r>
          </w:p>
        </w:tc>
        <w:tc>
          <w:tcPr>
            <w:tcW w:w="886" w:type="dxa"/>
            <w:tcBorders>
              <w:top w:val="nil"/>
              <w:left w:val="nil"/>
              <w:bottom w:val="single" w:color="000000" w:sz="12" w:space="0"/>
              <w:right w:val="nil"/>
            </w:tcBorders>
            <w:shd w:val="clear" w:color="auto" w:fill="FFFFFF"/>
            <w:noWrap w:val="0"/>
            <w:tcMar>
              <w:top w:w="70" w:type="dxa"/>
              <w:left w:w="100" w:type="dxa"/>
              <w:bottom w:w="70" w:type="dxa"/>
              <w:right w:w="100" w:type="dxa"/>
            </w:tcMar>
            <w:vAlign w:val="center"/>
          </w:tcPr>
          <w:p w14:paraId="194A5EE0">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right"/>
              <w:textAlignment w:val="auto"/>
              <w:rPr>
                <w:rFonts w:ascii="宋体" w:eastAsia="宋体"/>
                <w:b w:val="0"/>
                <w:color w:val="000000" w:themeColor="text1"/>
                <w:sz w:val="21"/>
                <w14:textFill>
                  <w14:solidFill>
                    <w14:schemeClr w14:val="tx1"/>
                  </w14:solidFill>
                </w14:textFill>
              </w:rPr>
            </w:pPr>
            <w:r>
              <w:rPr>
                <w:rFonts w:ascii="宋体" w:hAnsi="宋体" w:eastAsia="宋体" w:cs="宋体"/>
                <w:b w:val="0"/>
                <w:bCs w:val="0"/>
                <w:color w:val="000000" w:themeColor="text1"/>
                <w:sz w:val="21"/>
                <w:szCs w:val="21"/>
                <w14:textFill>
                  <w14:solidFill>
                    <w14:schemeClr w14:val="tx1"/>
                  </w14:solidFill>
                </w14:textFill>
              </w:rPr>
              <w:t>19</w:t>
            </w:r>
          </w:p>
        </w:tc>
        <w:tc>
          <w:tcPr>
            <w:tcW w:w="3670" w:type="dxa"/>
            <w:tcBorders>
              <w:top w:val="nil"/>
              <w:left w:val="nil"/>
              <w:bottom w:val="single" w:color="000000" w:sz="12" w:space="0"/>
              <w:right w:val="nil"/>
            </w:tcBorders>
            <w:shd w:val="clear" w:color="auto" w:fill="FFFFFF"/>
            <w:noWrap w:val="0"/>
            <w:tcMar>
              <w:top w:w="70" w:type="dxa"/>
              <w:left w:w="100" w:type="dxa"/>
              <w:bottom w:w="70" w:type="dxa"/>
              <w:right w:w="100" w:type="dxa"/>
            </w:tcMar>
            <w:vAlign w:val="center"/>
          </w:tcPr>
          <w:p w14:paraId="2F3CE9D3">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第二年起核心岗位全职化</w:t>
            </w:r>
          </w:p>
        </w:tc>
      </w:tr>
    </w:tbl>
    <w:p w14:paraId="27E4BC15">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三年累计净亏损约91.5万元，资金需求约225万元。盈亏平衡所需点位数在各项关键参数的合理区间内落于36至49个之间，对应海淀区内渗透率20.0%至27.2%，不需要跨区扩张即可达成。按第三年实际的存量与新增结构测算，平衡点为累计45个点位，对应渗透率25.0%，与47个点位的目标之间留有余量。</w:t>
      </w:r>
    </w:p>
    <w:p w14:paraId="05D209B7">
      <w:pPr>
        <w:pStyle w:val="3"/>
        <w:bidi w:val="0"/>
      </w:pPr>
      <w:bookmarkStart w:id="14" w:name="_Toc5565"/>
      <w:bookmarkStart w:id="15" w:name="_Toc24108"/>
      <w:r>
        <w:rPr>
          <w:rFonts w:hint="eastAsia"/>
        </w:rPr>
        <w:t>1.7核心结论</w:t>
      </w:r>
      <w:bookmarkEnd w:id="14"/>
      <w:bookmarkEnd w:id="15"/>
    </w:p>
    <w:p w14:paraId="1B93BEC3">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—问题真实且不可逆。跌倒伤害在触地瞬间形成，事后干预无法改变结果，而现有方案全部集中在触地之后。</w:t>
      </w:r>
    </w:p>
    <w:p w14:paraId="0B1E09E6">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—解法同时跨过两道门槛。主动气囊解决防护时点，护腰形态解决佩戴意愿。二者缺一，产品的真实防护效能都为零。</w:t>
      </w:r>
    </w:p>
    <w:p w14:paraId="011863B0">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—无耗材是可持续的成本优势。储气式冷气体方案在触发后可重新充气复用，使用者不必为每一次触发支付耗材费用，这直接决定了产品能否在社区场景中长期留存。</w:t>
      </w:r>
    </w:p>
    <w:p w14:paraId="6F8280F0">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—壁垒不在硬件而在学科与模式。把跌倒理解为人体平衡控制失效而非信号分类问题，需要运动生物力学的学科训练；把服务嵌入社区养老体系，需要长期的基层关系。两者都不是靠资金短期购买得到的。</w:t>
      </w:r>
    </w:p>
    <w:p w14:paraId="2B66FE90">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—社会价值超出产品本身。个体防护数据转化为社区适老化改造的决策依据，使企业沉淀的数据成为基层治理的公共资源。</w:t>
      </w:r>
    </w:p>
    <w:p w14:paraId="12EF8DD0">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—边界清晰、口径可核。产品按个人防护用品定位，主动移除电刺激理疗与疾病风险预警两项功能；全部数据标注来源，全部假设列示可核。</w:t>
      </w:r>
    </w:p>
    <w:p w14:paraId="1135E295">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最重要的一次认知转变发生在社区，而不是实验室。团队最初把跌倒识别当作一个时间序列分类问题，是运动人体科学与运动康复专业的成员让我们重新认识到，跌倒的本质是人体平衡控制的失效；而在颐清园反复观察到老人对监护设备的心理抵触，才让我们把产品形态定在了护腰上。一项技术能不能成立，最终由使用它的人决定，而不由技术的先进程度决定。</w:t>
      </w:r>
    </w:p>
    <w:p w14:paraId="347F4E93">
      <w:pPr>
        <w:keepNext w:val="0"/>
        <w:keepLines w:val="0"/>
        <w:pageBreakBefore w:val="0"/>
        <w:kinsoku/>
        <w:wordWrap/>
        <w:overflowPunct/>
        <w:topLinePunct w:val="0"/>
        <w:autoSpaceDE/>
        <w:autoSpaceDN/>
        <w:bidi w:val="0"/>
        <w:adjustRightInd/>
        <w:snapToGrid/>
        <w:spacing w:line="300" w:lineRule="auto"/>
        <w:textAlignment w:val="auto"/>
        <w:rPr>
          <w:color w:val="000000" w:themeColor="text1"/>
          <w14:textFill>
            <w14:solidFill>
              <w14:schemeClr w14:val="tx1"/>
            </w14:solidFill>
          </w14:textFill>
        </w:rPr>
      </w:pPr>
      <w:r>
        <w:rPr>
          <w:color w:val="000000" w:themeColor="text1"/>
          <w14:textFill>
            <w14:solidFill>
              <w14:schemeClr w14:val="tx1"/>
            </w14:solidFill>
          </w14:textFill>
        </w:rPr>
        <w:br w:type="page"/>
      </w:r>
    </w:p>
    <w:p w14:paraId="24A41350">
      <w:pPr>
        <w:pStyle w:val="2"/>
        <w:bidi w:val="0"/>
      </w:pPr>
      <w:bookmarkStart w:id="16" w:name="_Toc22124"/>
      <w:bookmarkStart w:id="17" w:name="_Toc24110"/>
      <w:r>
        <w:rPr>
          <w:rFonts w:hint="eastAsia"/>
        </w:rPr>
        <w:t>项目背景与市场分析</w:t>
      </w:r>
      <w:bookmarkEnd w:id="16"/>
      <w:bookmarkEnd w:id="17"/>
    </w:p>
    <w:p w14:paraId="7665AAF0">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本章论证三件事：这个问题有多大，为什么现有方案解决不了，以及现在是不是做这件事的时候。全部结论建立在可追溯的公开数据与团队一线调研之上，数据来源逐项标注于本章末尾。</w:t>
      </w:r>
    </w:p>
    <w:p w14:paraId="64BFE0F1">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本章的分析顺序为：先看宏观环境，再看用户是谁，然后测算市场容量，接着审视现有方案，最后判断机会窗口。这个顺序对应从外部到内部、从整体到具体的认知过程，每一步的结论都是下一步的输入。</w:t>
      </w:r>
    </w:p>
    <w:p w14:paraId="28716070">
      <w:pPr>
        <w:pStyle w:val="3"/>
        <w:bidi w:val="0"/>
      </w:pPr>
      <w:bookmarkStart w:id="18" w:name="_Toc15001"/>
      <w:bookmarkStart w:id="19" w:name="_Toc31782"/>
      <w:r>
        <w:rPr>
          <w:rFonts w:hint="eastAsia"/>
        </w:rPr>
        <w:t>2.1宏观环境分析</w:t>
      </w:r>
      <w:bookmarkEnd w:id="18"/>
      <w:bookmarkEnd w:id="19"/>
    </w:p>
    <w:p w14:paraId="2797ECA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本节采用PEST框架，从政策、经济、社会、技术四个维度判断本项目所处的外部环境。四个维度中，社会维度是问题的来源，政策与经济维度决定了买单能力，技术维度决定了解法是否可行。</w:t>
      </w:r>
    </w:p>
    <w:p w14:paraId="64178B61">
      <w:pPr>
        <w:pStyle w:val="4"/>
        <w:keepNext w:val="0"/>
        <w:keepLines w:val="0"/>
        <w:kinsoku/>
        <w:wordWrap/>
        <w:overflowPunct/>
        <w:topLinePunct w:val="0"/>
        <w:autoSpaceDE/>
        <w:autoSpaceDN/>
        <w:bidi w:val="0"/>
        <w:adjustRightInd/>
        <w:snapToGrid/>
        <w:spacing w:line="300" w:lineRule="auto"/>
        <w:textAlignment w:val="auto"/>
      </w:pPr>
      <w:bookmarkStart w:id="20" w:name="_Toc28305"/>
      <w:bookmarkStart w:id="21" w:name="_Toc11122"/>
      <w:r>
        <w:rPr>
          <w:rFonts w:hint="eastAsia"/>
        </w:rPr>
        <w:t>2.1.1政策环境</w:t>
      </w:r>
      <w:bookmarkEnd w:id="20"/>
      <w:bookmarkEnd w:id="21"/>
    </w:p>
    <w:p w14:paraId="1DFB4C3A">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本项目所处的赛道具有明确且持续的政策支持，以下四项与项目直接相关。</w:t>
      </w:r>
    </w:p>
    <w:p w14:paraId="7A534792">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2</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与本项目直接相关的政策依据</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53"/>
        <w:gridCol w:w="1792"/>
        <w:gridCol w:w="3555"/>
      </w:tblGrid>
      <w:tr w14:paraId="5114D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3253" w:type="dxa"/>
            <w:tcBorders>
              <w:top w:val="single" w:color="000000" w:sz="4" w:space="0"/>
              <w:left w:val="nil"/>
              <w:bottom w:val="single" w:color="000000" w:sz="4" w:space="0"/>
              <w:right w:val="nil"/>
              <w:tl2br w:val="nil"/>
            </w:tcBorders>
            <w:shd w:val="clear" w:color="auto" w:fill="FFFFFF"/>
            <w:tcMar>
              <w:top w:w="70" w:type="dxa"/>
              <w:left w:w="100" w:type="dxa"/>
              <w:bottom w:w="70" w:type="dxa"/>
              <w:right w:w="100" w:type="dxa"/>
            </w:tcMar>
            <w:vAlign w:val="center"/>
          </w:tcPr>
          <w:p w14:paraId="1E43335C">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hint="eastAsia" w:ascii="宋体" w:hAnsi="宋体" w:eastAsia="宋体" w:cs="宋体"/>
                <w:b/>
                <w:color w:val="000000" w:themeColor="text1"/>
                <w:sz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政策文件</w:t>
            </w:r>
          </w:p>
        </w:tc>
        <w:tc>
          <w:tcPr>
            <w:tcW w:w="1792" w:type="dxa"/>
            <w:tcBorders>
              <w:top w:val="single" w:color="000000" w:sz="4" w:space="0"/>
              <w:left w:val="nil"/>
              <w:bottom w:val="single" w:color="000000" w:sz="4" w:space="0"/>
              <w:right w:val="nil"/>
            </w:tcBorders>
            <w:shd w:val="clear" w:color="auto" w:fill="FFFFFF"/>
            <w:tcMar>
              <w:top w:w="70" w:type="dxa"/>
              <w:left w:w="100" w:type="dxa"/>
              <w:bottom w:w="70" w:type="dxa"/>
              <w:right w:w="100" w:type="dxa"/>
            </w:tcMar>
            <w:vAlign w:val="center"/>
          </w:tcPr>
          <w:p w14:paraId="70389E0C">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hint="eastAsia" w:ascii="宋体" w:hAnsi="宋体" w:eastAsia="宋体" w:cs="宋体"/>
                <w:b/>
                <w:color w:val="000000" w:themeColor="text1"/>
                <w:sz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发布层级</w:t>
            </w:r>
          </w:p>
        </w:tc>
        <w:tc>
          <w:tcPr>
            <w:tcW w:w="3554" w:type="dxa"/>
            <w:tcBorders>
              <w:top w:val="single" w:color="000000" w:sz="4" w:space="0"/>
              <w:left w:val="nil"/>
              <w:bottom w:val="single" w:color="000000" w:sz="4" w:space="0"/>
              <w:right w:val="nil"/>
            </w:tcBorders>
            <w:shd w:val="clear" w:color="auto" w:fill="FFFFFF"/>
            <w:tcMar>
              <w:top w:w="70" w:type="dxa"/>
              <w:left w:w="100" w:type="dxa"/>
              <w:bottom w:w="70" w:type="dxa"/>
              <w:right w:w="100" w:type="dxa"/>
            </w:tcMar>
            <w:vAlign w:val="center"/>
          </w:tcPr>
          <w:p w14:paraId="008BE7C1">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hint="eastAsia" w:ascii="宋体" w:hAnsi="宋体" w:eastAsia="宋体" w:cs="宋体"/>
                <w:b/>
                <w:color w:val="000000" w:themeColor="text1"/>
                <w:sz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与本项目的关联</w:t>
            </w:r>
          </w:p>
        </w:tc>
      </w:tr>
      <w:tr w14:paraId="10023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253" w:type="dxa"/>
            <w:tcBorders>
              <w:top w:val="single" w:color="000000" w:sz="4" w:space="0"/>
              <w:left w:val="nil"/>
              <w:bottom w:val="single" w:color="000000" w:sz="4" w:space="0"/>
              <w:right w:val="nil"/>
            </w:tcBorders>
            <w:shd w:val="clear" w:color="auto" w:fill="FFFFFF"/>
            <w:tcMar>
              <w:top w:w="70" w:type="dxa"/>
              <w:left w:w="100" w:type="dxa"/>
              <w:bottom w:w="70" w:type="dxa"/>
              <w:right w:w="100" w:type="dxa"/>
            </w:tcMar>
            <w:vAlign w:val="center"/>
          </w:tcPr>
          <w:p w14:paraId="7A61F678">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hint="eastAsia" w:ascii="宋体" w:hAnsi="宋体" w:eastAsia="宋体" w:cs="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《“十四五”国家老龄事业发展和养老服务体系规划》（国发〔2021〕35号）</w:t>
            </w:r>
          </w:p>
        </w:tc>
        <w:tc>
          <w:tcPr>
            <w:tcW w:w="1792" w:type="dxa"/>
            <w:tcBorders>
              <w:top w:val="single" w:color="000000" w:sz="4" w:space="0"/>
              <w:left w:val="nil"/>
              <w:bottom w:val="single" w:color="000000" w:sz="4" w:space="0"/>
              <w:right w:val="nil"/>
            </w:tcBorders>
            <w:shd w:val="clear" w:color="auto" w:fill="FFFFFF"/>
            <w:tcMar>
              <w:top w:w="70" w:type="dxa"/>
              <w:left w:w="100" w:type="dxa"/>
              <w:bottom w:w="70" w:type="dxa"/>
              <w:right w:w="100" w:type="dxa"/>
            </w:tcMar>
            <w:vAlign w:val="center"/>
          </w:tcPr>
          <w:p w14:paraId="45D2FB33">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hint="eastAsia" w:ascii="宋体" w:hAnsi="宋体" w:eastAsia="宋体" w:cs="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国务院</w:t>
            </w:r>
          </w:p>
        </w:tc>
        <w:tc>
          <w:tcPr>
            <w:tcW w:w="3554" w:type="dxa"/>
            <w:tcBorders>
              <w:top w:val="single" w:color="000000" w:sz="4" w:space="0"/>
              <w:left w:val="nil"/>
              <w:bottom w:val="single" w:color="000000" w:sz="4" w:space="0"/>
              <w:right w:val="nil"/>
            </w:tcBorders>
            <w:shd w:val="clear" w:color="auto" w:fill="FFFFFF"/>
            <w:tcMar>
              <w:top w:w="70" w:type="dxa"/>
              <w:left w:w="100" w:type="dxa"/>
              <w:bottom w:w="70" w:type="dxa"/>
              <w:right w:w="100" w:type="dxa"/>
            </w:tcMar>
            <w:vAlign w:val="center"/>
          </w:tcPr>
          <w:p w14:paraId="3B112B14">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hint="eastAsia" w:ascii="宋体" w:hAnsi="宋体" w:eastAsia="宋体" w:cs="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明确提出健全居家社区养老服务网络、推进老年用品科技化智能化升级，为社区场景的智能防护产品提供顶层依据</w:t>
            </w:r>
          </w:p>
        </w:tc>
      </w:tr>
      <w:tr w14:paraId="5CC2D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253" w:type="dxa"/>
            <w:tcBorders>
              <w:top w:val="single" w:color="000000" w:sz="4" w:space="0"/>
              <w:left w:val="nil"/>
              <w:bottom w:val="single" w:color="000000" w:sz="4" w:space="0"/>
              <w:right w:val="nil"/>
            </w:tcBorders>
            <w:shd w:val="clear" w:color="auto" w:fill="FFFFFF"/>
            <w:tcMar>
              <w:top w:w="70" w:type="dxa"/>
              <w:left w:w="100" w:type="dxa"/>
              <w:bottom w:w="70" w:type="dxa"/>
              <w:right w:w="100" w:type="dxa"/>
            </w:tcMar>
            <w:vAlign w:val="center"/>
          </w:tcPr>
          <w:p w14:paraId="40DDC49D">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hint="eastAsia" w:ascii="宋体" w:hAnsi="宋体" w:eastAsia="宋体" w:cs="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《关于发展银发经济增进老年人福祉的意见》（国办发〔2024〕1号）</w:t>
            </w:r>
          </w:p>
        </w:tc>
        <w:tc>
          <w:tcPr>
            <w:tcW w:w="1792" w:type="dxa"/>
            <w:tcBorders>
              <w:top w:val="single" w:color="000000" w:sz="4" w:space="0"/>
              <w:left w:val="nil"/>
              <w:bottom w:val="single" w:color="000000" w:sz="4" w:space="0"/>
              <w:right w:val="nil"/>
            </w:tcBorders>
            <w:shd w:val="clear" w:color="auto" w:fill="FFFFFF"/>
            <w:tcMar>
              <w:top w:w="70" w:type="dxa"/>
              <w:left w:w="100" w:type="dxa"/>
              <w:bottom w:w="70" w:type="dxa"/>
              <w:right w:w="100" w:type="dxa"/>
            </w:tcMar>
            <w:vAlign w:val="center"/>
          </w:tcPr>
          <w:p w14:paraId="71E6F654">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hint="eastAsia" w:ascii="宋体" w:hAnsi="宋体" w:eastAsia="宋体" w:cs="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国务院办公厅</w:t>
            </w:r>
          </w:p>
        </w:tc>
        <w:tc>
          <w:tcPr>
            <w:tcW w:w="3554" w:type="dxa"/>
            <w:tcBorders>
              <w:top w:val="single" w:color="000000" w:sz="4" w:space="0"/>
              <w:left w:val="nil"/>
              <w:bottom w:val="single" w:color="000000" w:sz="4" w:space="0"/>
              <w:right w:val="nil"/>
            </w:tcBorders>
            <w:shd w:val="clear" w:color="auto" w:fill="FFFFFF"/>
            <w:tcMar>
              <w:top w:w="70" w:type="dxa"/>
              <w:left w:w="100" w:type="dxa"/>
              <w:bottom w:w="70" w:type="dxa"/>
              <w:right w:w="100" w:type="dxa"/>
            </w:tcMar>
            <w:vAlign w:val="center"/>
          </w:tcPr>
          <w:p w14:paraId="359DE91B">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hint="eastAsia" w:ascii="宋体" w:hAnsi="宋体" w:eastAsia="宋体" w:cs="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首次以专门文件形式部署银发经济，明确支持智能护理设备、适老化产品与老年用品产业发展</w:t>
            </w:r>
          </w:p>
        </w:tc>
      </w:tr>
      <w:tr w14:paraId="0580E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253" w:type="dxa"/>
            <w:tcBorders>
              <w:top w:val="single" w:color="000000" w:sz="4" w:space="0"/>
              <w:left w:val="nil"/>
              <w:bottom w:val="single" w:color="000000" w:sz="4" w:space="0"/>
              <w:right w:val="nil"/>
            </w:tcBorders>
            <w:shd w:val="clear" w:color="auto" w:fill="FFFFFF"/>
            <w:tcMar>
              <w:top w:w="70" w:type="dxa"/>
              <w:left w:w="100" w:type="dxa"/>
              <w:bottom w:w="70" w:type="dxa"/>
              <w:right w:w="100" w:type="dxa"/>
            </w:tcMar>
            <w:vAlign w:val="center"/>
          </w:tcPr>
          <w:p w14:paraId="5C6FE45A">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hint="eastAsia" w:ascii="宋体" w:hAnsi="宋体" w:eastAsia="宋体" w:cs="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《智慧健康养老产业发展行动计划（2021—2025年）》</w:t>
            </w:r>
          </w:p>
        </w:tc>
        <w:tc>
          <w:tcPr>
            <w:tcW w:w="1792" w:type="dxa"/>
            <w:tcBorders>
              <w:top w:val="single" w:color="000000" w:sz="4" w:space="0"/>
              <w:left w:val="nil"/>
              <w:bottom w:val="single" w:color="000000" w:sz="4" w:space="0"/>
              <w:right w:val="nil"/>
            </w:tcBorders>
            <w:shd w:val="clear" w:color="auto" w:fill="FFFFFF"/>
            <w:tcMar>
              <w:top w:w="70" w:type="dxa"/>
              <w:left w:w="100" w:type="dxa"/>
              <w:bottom w:w="70" w:type="dxa"/>
              <w:right w:w="100" w:type="dxa"/>
            </w:tcMar>
            <w:vAlign w:val="center"/>
          </w:tcPr>
          <w:p w14:paraId="427DCF66">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hint="eastAsia" w:ascii="宋体" w:hAnsi="宋体" w:eastAsia="宋体" w:cs="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工业和信息化部、民政部、国家卫生健康委</w:t>
            </w:r>
          </w:p>
        </w:tc>
        <w:tc>
          <w:tcPr>
            <w:tcW w:w="3554" w:type="dxa"/>
            <w:tcBorders>
              <w:top w:val="single" w:color="000000" w:sz="4" w:space="0"/>
              <w:left w:val="nil"/>
              <w:bottom w:val="single" w:color="000000" w:sz="4" w:space="0"/>
              <w:right w:val="nil"/>
            </w:tcBorders>
            <w:shd w:val="clear" w:color="auto" w:fill="FFFFFF"/>
            <w:tcMar>
              <w:top w:w="70" w:type="dxa"/>
              <w:left w:w="100" w:type="dxa"/>
              <w:bottom w:w="70" w:type="dxa"/>
              <w:right w:w="100" w:type="dxa"/>
            </w:tcMar>
            <w:vAlign w:val="center"/>
          </w:tcPr>
          <w:p w14:paraId="064657DF">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hint="eastAsia" w:ascii="宋体" w:hAnsi="宋体" w:eastAsia="宋体" w:cs="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直接对应智慧健康养老产品的研发与推广路径</w:t>
            </w:r>
          </w:p>
        </w:tc>
      </w:tr>
      <w:tr w14:paraId="66850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253" w:type="dxa"/>
            <w:tcBorders>
              <w:top w:val="single" w:color="000000" w:sz="4" w:space="0"/>
              <w:left w:val="nil"/>
              <w:bottom w:val="single" w:color="000000" w:sz="4" w:space="0"/>
              <w:right w:val="nil"/>
            </w:tcBorders>
            <w:shd w:val="clear" w:color="auto" w:fill="FFFFFF"/>
            <w:tcMar>
              <w:top w:w="70" w:type="dxa"/>
              <w:left w:w="100" w:type="dxa"/>
              <w:bottom w:w="70" w:type="dxa"/>
              <w:right w:w="100" w:type="dxa"/>
            </w:tcMar>
            <w:vAlign w:val="center"/>
          </w:tcPr>
          <w:p w14:paraId="4EEFA189">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hint="eastAsia" w:ascii="宋体" w:hAnsi="宋体" w:eastAsia="宋体" w:cs="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《智慧健康养老产品及服务推广目录》</w:t>
            </w:r>
          </w:p>
        </w:tc>
        <w:tc>
          <w:tcPr>
            <w:tcW w:w="1792" w:type="dxa"/>
            <w:tcBorders>
              <w:top w:val="single" w:color="000000" w:sz="4" w:space="0"/>
              <w:left w:val="nil"/>
              <w:bottom w:val="single" w:color="000000" w:sz="4" w:space="0"/>
              <w:right w:val="nil"/>
            </w:tcBorders>
            <w:shd w:val="clear" w:color="auto" w:fill="FFFFFF"/>
            <w:tcMar>
              <w:top w:w="70" w:type="dxa"/>
              <w:left w:w="100" w:type="dxa"/>
              <w:bottom w:w="70" w:type="dxa"/>
              <w:right w:w="100" w:type="dxa"/>
            </w:tcMar>
            <w:vAlign w:val="center"/>
          </w:tcPr>
          <w:p w14:paraId="4B2FFFE1">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hint="eastAsia" w:ascii="宋体" w:hAnsi="宋体" w:eastAsia="宋体" w:cs="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工业和信息化部、民政部、国家卫生健康委</w:t>
            </w:r>
          </w:p>
        </w:tc>
        <w:tc>
          <w:tcPr>
            <w:tcW w:w="3554" w:type="dxa"/>
            <w:tcBorders>
              <w:top w:val="single" w:color="000000" w:sz="4" w:space="0"/>
              <w:left w:val="nil"/>
              <w:bottom w:val="single" w:color="000000" w:sz="4" w:space="0"/>
              <w:right w:val="nil"/>
            </w:tcBorders>
            <w:shd w:val="clear" w:color="auto" w:fill="FFFFFF"/>
            <w:tcMar>
              <w:top w:w="70" w:type="dxa"/>
              <w:left w:w="100" w:type="dxa"/>
              <w:bottom w:w="70" w:type="dxa"/>
              <w:right w:w="100" w:type="dxa"/>
            </w:tcMar>
            <w:vAlign w:val="center"/>
          </w:tcPr>
          <w:p w14:paraId="49E5DA36">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hint="eastAsia" w:ascii="宋体" w:hAnsi="宋体" w:eastAsia="宋体" w:cs="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设有面向智慧健康养老产品的国家级推广目录，是本项目中期争取进入的政策通道</w:t>
            </w:r>
          </w:p>
        </w:tc>
      </w:tr>
    </w:tbl>
    <w:p w14:paraId="0EA671F8">
      <w:pPr>
        <w:keepNext w:val="0"/>
        <w:keepLines w:val="0"/>
        <w:pageBreakBefore w:val="0"/>
        <w:kinsoku/>
        <w:wordWrap/>
        <w:overflowPunct/>
        <w:topLinePunct w:val="0"/>
        <w:autoSpaceDE/>
        <w:autoSpaceDN/>
        <w:bidi w:val="0"/>
        <w:adjustRightInd/>
        <w:snapToGrid/>
        <w:spacing w:before="120" w:after="20" w:line="300" w:lineRule="auto"/>
        <w:jc w:val="center"/>
        <w:textAlignment w:val="auto"/>
        <w:rPr>
          <w:color w:val="000000" w:themeColor="text1"/>
          <w14:textFill>
            <w14:solidFill>
              <w14:schemeClr w14:val="tx1"/>
            </w14:solidFill>
          </w14:textFill>
        </w:rPr>
      </w:pPr>
    </w:p>
    <w:p w14:paraId="710857FB">
      <w:pPr>
        <w:keepNext w:val="0"/>
        <w:keepLines/>
        <w:pageBreakBefore w:val="0"/>
        <w:widowControl w:val="0"/>
        <w:kinsoku/>
        <w:wordWrap/>
        <w:overflowPunct/>
        <w:topLinePunct w:val="0"/>
        <w:autoSpaceDE/>
        <w:autoSpaceDN/>
        <w:bidi w:val="0"/>
        <w:adjustRightInd/>
        <w:snapToGrid/>
        <w:spacing w:before="120" w:after="2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476750" cy="1466850"/>
            <wp:effectExtent l="0" t="0" r="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noChangeArrowheads="1"/>
                    </pic:cNvPicPr>
                  </pic:nvPicPr>
                  <pic:blipFill>
                    <a:blip r:embed="rId10"/>
                    <a:srcRect/>
                    <a:stretch>
                      <a:fillRect/>
                    </a:stretch>
                  </pic:blipFill>
                  <pic:spPr>
                    <a:xfrm>
                      <a:off x="0" y="0"/>
                      <a:ext cx="4476750" cy="1466850"/>
                    </a:xfrm>
                    <a:prstGeom prst="rect">
                      <a:avLst/>
                    </a:prstGeom>
                  </pic:spPr>
                </pic:pic>
              </a:graphicData>
            </a:graphic>
          </wp:inline>
        </w:drawing>
      </w:r>
    </w:p>
    <w:p w14:paraId="06013038">
      <w:pPr>
        <w:keepNext w:val="0"/>
        <w:keepLines/>
        <w:pageBreakBefore w:val="0"/>
        <w:widowControl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476750" cy="1885950"/>
            <wp:effectExtent l="0" t="0" r="0" b="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noChangeArrowheads="1"/>
                    </pic:cNvPicPr>
                  </pic:nvPicPr>
                  <pic:blipFill>
                    <a:blip r:embed="rId11"/>
                    <a:srcRect/>
                    <a:stretch>
                      <a:fillRect/>
                    </a:stretch>
                  </pic:blipFill>
                  <pic:spPr>
                    <a:xfrm>
                      <a:off x="0" y="0"/>
                      <a:ext cx="4476750" cy="1885950"/>
                    </a:xfrm>
                    <a:prstGeom prst="rect">
                      <a:avLst/>
                    </a:prstGeom>
                  </pic:spPr>
                </pic:pic>
              </a:graphicData>
            </a:graphic>
          </wp:inline>
        </w:drawing>
      </w:r>
    </w:p>
    <w:p w14:paraId="247E9D8C">
      <w:pPr>
        <w:keepNext w:val="0"/>
        <w:keepLines/>
        <w:pageBreakBefore w:val="0"/>
        <w:widowControl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476750" cy="2352675"/>
            <wp:effectExtent l="0" t="0" r="0" b="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noChangeArrowheads="1"/>
                    </pic:cNvPicPr>
                  </pic:nvPicPr>
                  <pic:blipFill>
                    <a:blip r:embed="rId12"/>
                    <a:srcRect/>
                    <a:stretch>
                      <a:fillRect/>
                    </a:stretch>
                  </pic:blipFill>
                  <pic:spPr>
                    <a:xfrm>
                      <a:off x="0" y="0"/>
                      <a:ext cx="4476750" cy="2352675"/>
                    </a:xfrm>
                    <a:prstGeom prst="rect">
                      <a:avLst/>
                    </a:prstGeom>
                  </pic:spPr>
                </pic:pic>
              </a:graphicData>
            </a:graphic>
          </wp:inline>
        </w:drawing>
      </w:r>
    </w:p>
    <w:p w14:paraId="5B0A7623">
      <w:pPr>
        <w:keepNext w:val="0"/>
        <w:keepLines/>
        <w:pageBreakBefore w:val="0"/>
        <w:widowControl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476750" cy="2000250"/>
            <wp:effectExtent l="0" t="0" r="0" b="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noChangeArrowheads="1"/>
                    </pic:cNvPicPr>
                  </pic:nvPicPr>
                  <pic:blipFill>
                    <a:blip r:embed="rId13"/>
                    <a:srcRect/>
                    <a:stretch>
                      <a:fillRect/>
                    </a:stretch>
                  </pic:blipFill>
                  <pic:spPr>
                    <a:xfrm>
                      <a:off x="0" y="0"/>
                      <a:ext cx="4476750" cy="2000250"/>
                    </a:xfrm>
                    <a:prstGeom prst="rect">
                      <a:avLst/>
                    </a:prstGeom>
                  </pic:spPr>
                </pic:pic>
              </a:graphicData>
            </a:graphic>
          </wp:inline>
        </w:drawing>
      </w:r>
    </w:p>
    <w:p w14:paraId="33E0C8D5">
      <w:pPr>
        <w:pStyle w:val="8"/>
        <w:keepNext w:val="0"/>
        <w:keepLines/>
        <w:pageBreakBefore w:val="0"/>
        <w:widowControl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rPr>
        <w:t xml:space="preserve">图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rPr>
          <w:rFonts w:hint="eastAsia"/>
        </w:rPr>
        <w:instrText xml:space="preserve"> SEQ 图 \* ARABIC \s 1 </w:instrText>
      </w:r>
      <w:r>
        <w:fldChar w:fldCharType="separate"/>
      </w:r>
      <w:r>
        <w:t>1</w:t>
      </w:r>
      <w:r>
        <w:fldChar w:fldCharType="end"/>
      </w:r>
      <w:r>
        <w:rPr>
          <w:rFonts w:hint="eastAsia" w:ascii="黑体" w:hAnsi="黑体" w:eastAsia="黑体" w:cs="黑体"/>
          <w:color w:val="000000" w:themeColor="text1"/>
          <w:sz w:val="21"/>
          <w:szCs w:val="21"/>
          <w14:textFill>
            <w14:solidFill>
              <w14:schemeClr w14:val="tx1"/>
            </w14:solidFill>
          </w14:textFill>
        </w:rPr>
        <w:t>四项政策文件影印件</w:t>
      </w:r>
    </w:p>
    <w:p w14:paraId="6638E000">
      <w:pPr>
        <w:pStyle w:val="4"/>
        <w:keepNext w:val="0"/>
        <w:keepLines w:val="0"/>
        <w:kinsoku/>
        <w:wordWrap/>
        <w:overflowPunct/>
        <w:topLinePunct w:val="0"/>
        <w:autoSpaceDE/>
        <w:autoSpaceDN/>
        <w:bidi w:val="0"/>
        <w:adjustRightInd/>
        <w:snapToGrid/>
        <w:spacing w:line="300" w:lineRule="auto"/>
        <w:textAlignment w:val="auto"/>
      </w:pPr>
      <w:bookmarkStart w:id="22" w:name="_Toc30621"/>
      <w:bookmarkStart w:id="23" w:name="_Toc6245"/>
      <w:r>
        <w:rPr>
          <w:rFonts w:hint="eastAsia"/>
        </w:rPr>
        <w:t>2.1.2经济环境</w:t>
      </w:r>
      <w:bookmarkEnd w:id="22"/>
      <w:bookmarkEnd w:id="23"/>
    </w:p>
    <w:p w14:paraId="299EF615">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经济维度回答一个本项目必须直面的问题：这个市场里，钱从哪里来。</w:t>
      </w:r>
    </w:p>
    <w:p w14:paraId="3739DF17">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产业规模层面，据《中国老龄产业发展报告》蓝皮书（2024年12月发布）测算，我国银发经济规模约7万亿元，占国内生产总值比重约6%；到2035年有望达到30万亿元左右，占比约10%。这一增长不是需求被创造出来的结果，而是人口结构变动的必然投射——它意味着面向老年群体的产品与服务，其市场基础具有结构性而非周期性的稳定。</w:t>
      </w:r>
    </w:p>
    <w:p w14:paraId="61F23B6F">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但规模大不等于个人愿意付钱</w:t>
      </w:r>
    </w:p>
    <w:p w14:paraId="4ED9FC3B">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243份一线问卷显示，约八成受访老人可接受的产品价位在599元以下。这个数字与银发经济的万亿级规模看似矛盾，实则揭示了老年消费市场最核心的结构特征：老年群体的支付意愿显著低于其支付能力，尤其在预防性支出上——因为预防的收益是一件没有发生的坏事，而人对未发生之事的估值天然偏低。</w:t>
      </w:r>
    </w:p>
    <w:p w14:paraId="33D0C9D9">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一发现直接决定了本项目的商业模式选择。一次髋部骨折的直接医疗与康复费用在5万至15万元区间，而承担这笔代价的并非老人一人，还包括家庭、社区与医保体系。既然成本由多方承担，付费方就不应当被默认为老人本人。本项目以社区养老服务机构为主要付费方，其全部依据就在这里，详见第四章。</w:t>
      </w:r>
    </w:p>
    <w:p w14:paraId="7D2185B7">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财政侧的资金通道同样存在。社区养老服务驿站与区域养老服务中心普遍纳入地方财政的运营补贴范围，居家适老化改造亦有专项资金支持，政府购买养老服务已是成熟的资金机制。这意味着本项目面向社区机构的收费，并非要求基层组织从零预算中挤出开支，而是嵌入既有的资金流向。</w:t>
      </w:r>
    </w:p>
    <w:p w14:paraId="6BCC24BF">
      <w:pPr>
        <w:pStyle w:val="4"/>
        <w:keepNext w:val="0"/>
        <w:keepLines w:val="0"/>
        <w:kinsoku/>
        <w:wordWrap/>
        <w:overflowPunct/>
        <w:topLinePunct w:val="0"/>
        <w:autoSpaceDE/>
        <w:autoSpaceDN/>
        <w:bidi w:val="0"/>
        <w:adjustRightInd/>
        <w:snapToGrid/>
        <w:spacing w:line="300" w:lineRule="auto"/>
        <w:textAlignment w:val="auto"/>
      </w:pPr>
      <w:bookmarkStart w:id="24" w:name="_Toc23989"/>
      <w:bookmarkStart w:id="25" w:name="_Toc23120"/>
      <w:r>
        <w:rPr>
          <w:rFonts w:hint="eastAsia"/>
        </w:rPr>
        <w:t>2.1.3社会环境</w:t>
      </w:r>
      <w:bookmarkEnd w:id="24"/>
      <w:bookmarkEnd w:id="25"/>
    </w:p>
    <w:p w14:paraId="417631BA">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社会维度是本项目问题的直接来源，需要看清四层事实。</w:t>
      </w:r>
    </w:p>
    <w:p w14:paraId="76DF731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第一层，人口基本盘。</w:t>
      </w:r>
      <w:r>
        <w:rPr>
          <w:rFonts w:hint="eastAsia" w:ascii="宋体" w:hAnsi="宋体" w:eastAsia="宋体" w:cs="宋体"/>
          <w:b w:val="0"/>
          <w:bCs w:val="0"/>
          <w:color w:val="000000" w:themeColor="text1"/>
          <w:sz w:val="24"/>
          <w:szCs w:val="24"/>
          <w14:textFill>
            <w14:solidFill>
              <w14:schemeClr w14:val="tx1"/>
            </w14:solidFill>
          </w14:textFill>
        </w:rPr>
        <w:t>国家统计局《中华人民共和国2025年国民经济和社会发展统计公报》显示，截至2025年末，全国60岁及以上人口32338万人，占全国人口23.0%；65岁及以上人口22365万人，占15.9%。同期全国总人口140489万人，较上年末减少339万人，人口自然增长率为负。老年人口规模的扩大不是周期性波动，而是人口结构的长期趋势。</w:t>
      </w:r>
    </w:p>
    <w:p w14:paraId="6F04840E">
      <w:pPr>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143500" cy="3467100"/>
            <wp:effectExtent l="0" t="0" r="0" b="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noChangeArrowheads="1"/>
                    </pic:cNvPicPr>
                  </pic:nvPicPr>
                  <pic:blipFill>
                    <a:blip r:embed="rId14"/>
                    <a:srcRect/>
                    <a:stretch>
                      <a:fillRect/>
                    </a:stretch>
                  </pic:blipFill>
                  <pic:spPr>
                    <a:xfrm>
                      <a:off x="0" y="0"/>
                      <a:ext cx="5143500" cy="3467100"/>
                    </a:xfrm>
                    <a:prstGeom prst="rect">
                      <a:avLst/>
                    </a:prstGeom>
                  </pic:spPr>
                </pic:pic>
              </a:graphicData>
            </a:graphic>
          </wp:inline>
        </w:drawing>
      </w:r>
    </w:p>
    <w:p w14:paraId="35B20EFD">
      <w:pPr>
        <w:pStyle w:val="8"/>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rFonts w:hint="eastAsia"/>
        </w:rPr>
        <w:t xml:space="preserve">图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rPr>
          <w:rFonts w:hint="eastAsia"/>
        </w:rPr>
        <w:instrText xml:space="preserve"> SEQ 图 \* ARABIC \s 1 </w:instrText>
      </w:r>
      <w:r>
        <w:fldChar w:fldCharType="separate"/>
      </w:r>
      <w:r>
        <w:t>2</w:t>
      </w:r>
      <w:r>
        <w:fldChar w:fldCharType="end"/>
      </w:r>
      <w:r>
        <w:rPr>
          <w:rFonts w:hint="eastAsia" w:ascii="黑体" w:hAnsi="黑体" w:eastAsia="黑体" w:cs="黑体"/>
          <w:color w:val="000000" w:themeColor="text1"/>
          <w:sz w:val="21"/>
          <w:szCs w:val="21"/>
          <w14:textFill>
            <w14:solidFill>
              <w14:schemeClr w14:val="tx1"/>
            </w14:solidFill>
          </w14:textFill>
        </w:rPr>
        <w:t>中国老年人跌倒危害与老龄化趋势</w:t>
      </w:r>
    </w:p>
    <w:p w14:paraId="418E818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第二层，跌倒有多常见、后果如何。</w:t>
      </w:r>
      <w:r>
        <w:rPr>
          <w:rFonts w:hint="eastAsia" w:ascii="宋体" w:hAnsi="宋体" w:eastAsia="宋体" w:cs="宋体"/>
          <w:b w:val="0"/>
          <w:bCs w:val="0"/>
          <w:color w:val="000000" w:themeColor="text1"/>
          <w:sz w:val="24"/>
          <w:szCs w:val="24"/>
          <w14:textFill>
            <w14:solidFill>
              <w14:schemeClr w14:val="tx1"/>
            </w14:solidFill>
          </w14:textFill>
        </w:rPr>
        <w:t>跌倒是我国65岁及以上老年人伤害死亡的首位原因。一项覆盖北京、上海、湖北、四川、云南、广西六地区、纳入21084名60岁及以上社区老年人的调查显示，经复杂加权后的年跌倒发生率为14.7%，其中女性17.8%高于男性11.4%，80岁及以上组达18.2%，农村16.2%高于城市12.6%。同一调查显示，跌倒后受伤比例经加权后高达79.5%——老年人一旦跌倒，接近八成会造成实际伤害。伤害类型中，擦伤挫伤占70.1%，手臂骨折10.0%，头部受伤7.0%，股骨头骨折4.6%，髋部骨折2.4%。</w:t>
      </w:r>
    </w:p>
    <w:p w14:paraId="00353A60">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第三层，高风险人群有多少。</w:t>
      </w:r>
      <w:r>
        <w:rPr>
          <w:rFonts w:hint="eastAsia" w:ascii="宋体" w:hAnsi="宋体" w:eastAsia="宋体" w:cs="宋体"/>
          <w:b w:val="0"/>
          <w:bCs w:val="0"/>
          <w:color w:val="000000" w:themeColor="text1"/>
          <w:sz w:val="24"/>
          <w:szCs w:val="24"/>
          <w14:textFill>
            <w14:solidFill>
              <w14:schemeClr w14:val="tx1"/>
            </w14:solidFill>
          </w14:textFill>
        </w:rPr>
        <w:t>一项基于2024年全国横断面监测、纳入7000名60至79岁社区老年人的研究显示，跌倒高风险人群检出率为10.5%，其中城镇11.5%、75至79岁组12.4%。该研究同时识别出无伴侣共同生活是显著危险因素，比值比为1.97。</w:t>
      </w:r>
    </w:p>
    <w:p w14:paraId="5ED68129">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最后这个数字对本项目具有特殊意义</w:t>
      </w:r>
    </w:p>
    <w:p w14:paraId="3E8A4C6C">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无伴侣共同生活的比值比达到1.97，接近其他多数危险因素的两倍量级。这从流行病学层面印证了本项目的场景选择：独居老人不仅是跌倒后无人发现的群体，本身就是跌倒风险更高的群体。这一人群正是社区养老服务体系巡视探访的重点对象，也是本项目的核心服务对象。</w:t>
      </w:r>
    </w:p>
    <w:p w14:paraId="03B9124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第四层，为什么防护必须发生在触地之前。</w:t>
      </w:r>
      <w:r>
        <w:rPr>
          <w:rFonts w:hint="eastAsia" w:ascii="宋体" w:hAnsi="宋体" w:eastAsia="宋体" w:cs="宋体"/>
          <w:b w:val="0"/>
          <w:bCs w:val="0"/>
          <w:color w:val="000000" w:themeColor="text1"/>
          <w:sz w:val="24"/>
          <w:szCs w:val="24"/>
          <w14:textFill>
            <w14:solidFill>
              <w14:schemeClr w14:val="tx1"/>
            </w14:solidFill>
          </w14:textFill>
        </w:rPr>
        <w:t>在全部跌倒伤害类型中，髋部骨折的发生比例并不最高，但后果最严重。据北京市卫生健康委员会公开的科普资料，我国每年老年人因跌倒导致的髋部骨折新发病例超过100万例，且呈逐年增加态势。骨折后6个月死亡率约10%至20%，1年死亡率高达20%至30%；存活者中约50%致残，约35%无法恢复独立行走，25%需要长期家庭护理。</w:t>
      </w:r>
    </w:p>
    <w:p w14:paraId="2C9400AA">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髋部骨折被称为人生最后一次骨折，原因不在骨折本身，而在于其后果链条：骨折导致长期卧床，卧床导致肺部感染、深静脉血栓等并发症，并发症导致死亡。这条链条一旦启动便难以逆转。</w:t>
      </w:r>
    </w:p>
    <w:p w14:paraId="7965AFA3">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决定了防护的介入时点。跌倒发生后的报警、定位与救援，能够缩短的是从受伤到获得救治的时间，但无法改变冲击已经发生、骨折已经形成这一事实。要真正影响后果，防护必须发生在髋部触地之前。这是本项目全部技术设计的出发点，也是它与市面上事后响应型产品的根本分野。</w:t>
      </w:r>
    </w:p>
    <w:p w14:paraId="0B69243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补充一层：腰部症状与产品形态。</w:t>
      </w:r>
      <w:r>
        <w:rPr>
          <w:rFonts w:hint="eastAsia" w:ascii="宋体" w:hAnsi="宋体" w:eastAsia="宋体" w:cs="宋体"/>
          <w:b w:val="0"/>
          <w:bCs w:val="0"/>
          <w:color w:val="000000" w:themeColor="text1"/>
          <w:sz w:val="24"/>
          <w:szCs w:val="24"/>
          <w14:textFill>
            <w14:solidFill>
              <w14:schemeClr w14:val="tx1"/>
            </w14:solidFill>
          </w14:textFill>
        </w:rPr>
        <w:t>本项目以护腰为产品形态，其需求依据同样有数据支撑。一项纳入26项研究的中国人群腰椎间盘突出症Meta分析估计，60岁以上人群患病率约11%，95%置信区间约7%至15%。基于CHARLS多地区数据的研究显示，45岁及以上人群腰痛报告率为27.2%。这两组数据说明腰部不适在老年群体中是高频问题，它构成了老人主动佩戴护腰的现实动机，也是本项目将防护功能嵌入护腰形态、而非另做一件专用防护装备的商业逻辑基础。</w:t>
      </w:r>
    </w:p>
    <w:p w14:paraId="76B9BB4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需要说明的是，本项目不宣称对腰椎疾病具有治疗作用。护腰形态提供的是日常物理支撑与佩戴动机，腰椎疾病的诊疗属于医疗范畴，不在产品功能边界之内。</w:t>
      </w:r>
    </w:p>
    <w:p w14:paraId="0E749140">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关于跌倒发生率的口径统一</w:t>
      </w:r>
    </w:p>
    <w:p w14:paraId="73A35277">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公开文献中存在多个不同的老年人跌倒发生率数字，差异主要来自统计口径而非事实分歧。国际文献中常见的30%左右为西方人群数据；我国基于社区人群的加权调查结果为14.7%；中国疾控系统另有约20.7%的口径。三者的样本框、年龄结构与调查方法均不同，不可混用。</w:t>
      </w:r>
    </w:p>
    <w:p w14:paraId="45ABA20E">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全部材料统一采用14.7%这一口径，理由是它来自六地区21084人的中国社区人群加权调查，与本项目的目标场景（社区居家老人）匹配度最高，且样本量与代表性最优。团队既往材料中出现过30.2%与40%两个数字，经本次核查后予以更正，不再使用。</w:t>
      </w:r>
    </w:p>
    <w:p w14:paraId="67B50E5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即便采用最保守的14.7%，其绝对规模依然巨大：以2025年末60岁及以上人口32338万人计，对应每年约4753万人次跌倒，其中约3779万人次造成实际伤害。问题的严重性不依赖于把数字说大。</w:t>
      </w:r>
    </w:p>
    <w:p w14:paraId="6F818310">
      <w:pPr>
        <w:pStyle w:val="4"/>
        <w:keepNext w:val="0"/>
        <w:keepLines w:val="0"/>
        <w:kinsoku/>
        <w:wordWrap/>
        <w:overflowPunct/>
        <w:topLinePunct w:val="0"/>
        <w:autoSpaceDE/>
        <w:autoSpaceDN/>
        <w:bidi w:val="0"/>
        <w:adjustRightInd/>
        <w:snapToGrid/>
        <w:spacing w:line="300" w:lineRule="auto"/>
        <w:textAlignment w:val="auto"/>
      </w:pPr>
      <w:bookmarkStart w:id="26" w:name="_Toc12966"/>
      <w:bookmarkStart w:id="27" w:name="_Toc13111"/>
      <w:r>
        <w:rPr>
          <w:rFonts w:hint="eastAsia"/>
        </w:rPr>
        <w:t>2.1.4技术环境</w:t>
      </w:r>
      <w:bookmarkEnd w:id="26"/>
      <w:bookmarkEnd w:id="27"/>
    </w:p>
    <w:p w14:paraId="564AFA8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主动式防跌产品在十年前无法成立，今天可以，原因是三项技术条件同时达到了可用门槛。</w:t>
      </w:r>
    </w:p>
    <w:p w14:paraId="2885B446">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—柔性传感技术走向可穿戴。柔性传感材料的成熟使贴身、轻薄、不干扰活动的传感形态成为可能，这是防护装备能够被日常佩戴的前提。</w:t>
      </w:r>
    </w:p>
    <w:p w14:paraId="1BAE4BB0">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—端侧推理能力达到可用门槛。微控制器算力与轻量化模型部署工具链的成熟，使百毫秒级的本地实时推理不再依赖云端，这直接决定了主动防护在物理上是否可行。</w:t>
      </w:r>
    </w:p>
    <w:p w14:paraId="341B4631">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—微型气动执行机构成本下降。摩托车骑行防护领域已验证微型气动驱动气囊的技术路线并实现量产，其成本与体积已下降至可穿戴产品可接受的范围。</w:t>
      </w:r>
    </w:p>
    <w:p w14:paraId="450B66C5">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三项条件缺一不可：缺第一项则产品无法被长期佩戴，缺第二项则识别无法在触地前完成，缺第三项则成本无法进入社区采购区间。它们在近几年同时成熟，构成了本项目的技术时间窗。</w:t>
      </w:r>
    </w:p>
    <w:p w14:paraId="6CC66793">
      <w:pPr>
        <w:pStyle w:val="3"/>
        <w:bidi w:val="0"/>
      </w:pPr>
      <w:bookmarkStart w:id="28" w:name="_Toc9353"/>
      <w:bookmarkStart w:id="29" w:name="_Toc31367"/>
      <w:r>
        <w:rPr>
          <w:rFonts w:hint="eastAsia"/>
        </w:rPr>
        <w:t>2.2一线调研与目标用户画像</w:t>
      </w:r>
      <w:bookmarkEnd w:id="28"/>
      <w:bookmarkEnd w:id="29"/>
    </w:p>
    <w:p w14:paraId="6689B5AC">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宏观数据说明问题存在，但不能说明用户想要什么。本节基于团队的一线调研，回答两个问题：老人实际怎么想，以及本项目的用户究竟是谁。</w:t>
      </w:r>
    </w:p>
    <w:p w14:paraId="0EA20D86">
      <w:pPr>
        <w:pStyle w:val="4"/>
        <w:keepNext w:val="0"/>
        <w:keepLines w:val="0"/>
        <w:kinsoku/>
        <w:wordWrap/>
        <w:overflowPunct/>
        <w:topLinePunct w:val="0"/>
        <w:autoSpaceDE/>
        <w:autoSpaceDN/>
        <w:bidi w:val="0"/>
        <w:adjustRightInd/>
        <w:snapToGrid/>
        <w:spacing w:line="300" w:lineRule="auto"/>
        <w:textAlignment w:val="auto"/>
      </w:pPr>
      <w:bookmarkStart w:id="30" w:name="_Toc31146"/>
      <w:bookmarkStart w:id="31" w:name="_Toc5245"/>
      <w:r>
        <w:rPr>
          <w:rFonts w:hint="eastAsia"/>
        </w:rPr>
        <w:t>2.2.1调研设计</w:t>
      </w:r>
      <w:bookmarkEnd w:id="30"/>
      <w:bookmarkEnd w:id="31"/>
    </w:p>
    <w:p w14:paraId="106E9954">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2026年暑期，团队进入北京体育大学颐清园养老社区开展实践，4次进入社区，开展健康宣讲活动4场，接触老年人200余人次，回收有效问卷243份，并完成20余名老人的步态数据采集，取得32份有效步态数据。调研工具为团队自主设计的《老年人日常安全防护与智能穿戴产品需求调查问卷》，共20题。</w:t>
      </w:r>
    </w:p>
    <w:p w14:paraId="4A213D60">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问卷的核心设计思路是不直接询问是否需要防跌产品，而是先取得客观风险事实，再逐层推进到产品概念与购买意愿。前9题不出现智能护腰字样，以避免受访者产生迎合性回答。这样得到的需求证据强于直接询问的结果。问卷结构如下。</w:t>
      </w:r>
    </w:p>
    <w:p w14:paraId="05C5438D">
      <w:pPr>
        <w:keepNext/>
        <w:keepLines/>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2</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2</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调研问卷结构</w:t>
      </w:r>
    </w:p>
    <w:tbl>
      <w:tblPr>
        <w:tblStyle w:val="15"/>
        <w:tblW w:w="89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1109"/>
        <w:gridCol w:w="1488"/>
        <w:gridCol w:w="6321"/>
      </w:tblGrid>
      <w:tr w14:paraId="2CF022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787" w:hRule="atLeast"/>
          <w:tblHeader/>
          <w:jc w:val="center"/>
        </w:trPr>
        <w:tc>
          <w:tcPr>
            <w:tcW w:w="1109" w:type="dxa"/>
            <w:tcBorders>
              <w:top w:val="single" w:color="000000" w:sz="4" w:space="0"/>
              <w:left w:val="single" w:color="000000" w:sz="4" w:space="0"/>
              <w:bottom w:val="single" w:color="000000" w:sz="4" w:space="0"/>
              <w:right w:val="nil"/>
              <w:tl2br w:val="nil"/>
            </w:tcBorders>
            <w:shd w:val="clear" w:color="auto" w:fill="FFFFFF"/>
            <w:noWrap w:val="0"/>
            <w:tcMar>
              <w:top w:w="70" w:type="dxa"/>
              <w:left w:w="100" w:type="dxa"/>
              <w:bottom w:w="70" w:type="dxa"/>
              <w:right w:w="100" w:type="dxa"/>
            </w:tcMar>
            <w:vAlign w:val="center"/>
          </w:tcPr>
          <w:p w14:paraId="7A8077F5">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val="0"/>
                <w:color w:val="000000" w:themeColor="text1"/>
                <w:sz w:val="21"/>
                <w14:textFill>
                  <w14:solidFill>
                    <w14:schemeClr w14:val="tx1"/>
                  </w14:solidFill>
                </w14:textFill>
              </w:rPr>
            </w:pPr>
            <w:r>
              <w:rPr>
                <w:rFonts w:hint="eastAsia" w:ascii="黑体" w:hAnsi="黑体" w:eastAsia="黑体" w:cs="黑体"/>
                <w:b w:val="0"/>
                <w:bCs/>
                <w:color w:val="000000" w:themeColor="text1"/>
                <w:sz w:val="21"/>
                <w:szCs w:val="21"/>
                <w14:textFill>
                  <w14:solidFill>
                    <w14:schemeClr w14:val="tx1"/>
                  </w14:solidFill>
                </w14:textFill>
              </w:rPr>
              <w:t>部分</w:t>
            </w:r>
          </w:p>
        </w:tc>
        <w:tc>
          <w:tcPr>
            <w:tcW w:w="1488" w:type="dxa"/>
            <w:tcBorders>
              <w:top w:val="single" w:color="000000" w:sz="4" w:space="0"/>
              <w:left w:val="nil"/>
              <w:bottom w:val="single" w:color="000000" w:sz="4" w:space="0"/>
              <w:right w:val="nil"/>
            </w:tcBorders>
            <w:shd w:val="clear" w:color="auto" w:fill="FFFFFF"/>
            <w:noWrap w:val="0"/>
            <w:tcMar>
              <w:top w:w="70" w:type="dxa"/>
              <w:left w:w="100" w:type="dxa"/>
              <w:bottom w:w="70" w:type="dxa"/>
              <w:right w:w="100" w:type="dxa"/>
            </w:tcMar>
            <w:vAlign w:val="center"/>
          </w:tcPr>
          <w:p w14:paraId="50F5C121">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val="0"/>
                <w:color w:val="000000" w:themeColor="text1"/>
                <w:sz w:val="21"/>
                <w14:textFill>
                  <w14:solidFill>
                    <w14:schemeClr w14:val="tx1"/>
                  </w14:solidFill>
                </w14:textFill>
              </w:rPr>
            </w:pPr>
            <w:r>
              <w:rPr>
                <w:rFonts w:hint="eastAsia" w:ascii="黑体" w:hAnsi="黑体" w:eastAsia="黑体" w:cs="黑体"/>
                <w:b w:val="0"/>
                <w:bCs/>
                <w:color w:val="000000" w:themeColor="text1"/>
                <w:sz w:val="21"/>
                <w:szCs w:val="21"/>
                <w14:textFill>
                  <w14:solidFill>
                    <w14:schemeClr w14:val="tx1"/>
                  </w14:solidFill>
                </w14:textFill>
              </w:rPr>
              <w:t>题目范围</w:t>
            </w:r>
          </w:p>
        </w:tc>
        <w:tc>
          <w:tcPr>
            <w:tcW w:w="6321" w:type="dxa"/>
            <w:tcBorders>
              <w:top w:val="single" w:color="000000" w:sz="4" w:space="0"/>
              <w:left w:val="nil"/>
              <w:bottom w:val="single" w:color="000000" w:sz="4" w:space="0"/>
              <w:right w:val="single" w:color="000000" w:sz="4" w:space="0"/>
            </w:tcBorders>
            <w:shd w:val="clear" w:color="auto" w:fill="FFFFFF"/>
            <w:noWrap w:val="0"/>
            <w:tcMar>
              <w:top w:w="70" w:type="dxa"/>
              <w:left w:w="100" w:type="dxa"/>
              <w:bottom w:w="70" w:type="dxa"/>
              <w:right w:w="100" w:type="dxa"/>
            </w:tcMar>
            <w:vAlign w:val="center"/>
          </w:tcPr>
          <w:p w14:paraId="63137D7C">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val="0"/>
                <w:color w:val="000000" w:themeColor="text1"/>
                <w:sz w:val="21"/>
                <w14:textFill>
                  <w14:solidFill>
                    <w14:schemeClr w14:val="tx1"/>
                  </w14:solidFill>
                </w14:textFill>
              </w:rPr>
            </w:pPr>
            <w:r>
              <w:rPr>
                <w:rFonts w:hint="eastAsia" w:ascii="黑体" w:hAnsi="黑体" w:eastAsia="黑体" w:cs="黑体"/>
                <w:b w:val="0"/>
                <w:bCs/>
                <w:color w:val="000000" w:themeColor="text1"/>
                <w:sz w:val="21"/>
                <w:szCs w:val="21"/>
                <w14:textFill>
                  <w14:solidFill>
                    <w14:schemeClr w14:val="tx1"/>
                  </w14:solidFill>
                </w14:textFill>
              </w:rPr>
              <w:t>测量目标</w:t>
            </w:r>
          </w:p>
        </w:tc>
      </w:tr>
      <w:tr w14:paraId="19F14AC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787" w:hRule="atLeast"/>
          <w:jc w:val="center"/>
        </w:trPr>
        <w:tc>
          <w:tcPr>
            <w:tcW w:w="1109" w:type="dxa"/>
            <w:tcBorders>
              <w:top w:val="single" w:color="000000" w:sz="4" w:space="0"/>
              <w:left w:val="single" w:color="000000" w:sz="4" w:space="0"/>
              <w:bottom w:val="single" w:color="000000" w:sz="4" w:space="0"/>
              <w:right w:val="nil"/>
            </w:tcBorders>
            <w:shd w:val="clear" w:color="auto" w:fill="FFFFFF"/>
            <w:noWrap w:val="0"/>
            <w:tcMar>
              <w:top w:w="70" w:type="dxa"/>
              <w:left w:w="100" w:type="dxa"/>
              <w:bottom w:w="70" w:type="dxa"/>
              <w:right w:w="100" w:type="dxa"/>
            </w:tcMar>
            <w:vAlign w:val="center"/>
          </w:tcPr>
          <w:p w14:paraId="08FA206E">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第一部分</w:t>
            </w:r>
          </w:p>
        </w:tc>
        <w:tc>
          <w:tcPr>
            <w:tcW w:w="1488" w:type="dxa"/>
            <w:tcBorders>
              <w:top w:val="single" w:color="000000" w:sz="4" w:space="0"/>
              <w:left w:val="nil"/>
              <w:bottom w:val="single" w:color="000000" w:sz="4" w:space="0"/>
              <w:right w:val="nil"/>
            </w:tcBorders>
            <w:shd w:val="clear" w:color="auto" w:fill="FFFFFF"/>
            <w:noWrap w:val="0"/>
            <w:tcMar>
              <w:top w:w="70" w:type="dxa"/>
              <w:left w:w="100" w:type="dxa"/>
              <w:bottom w:w="70" w:type="dxa"/>
              <w:right w:w="100" w:type="dxa"/>
            </w:tcMar>
            <w:vAlign w:val="center"/>
          </w:tcPr>
          <w:p w14:paraId="2C139AB9">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Q1至Q5</w:t>
            </w:r>
          </w:p>
        </w:tc>
        <w:tc>
          <w:tcPr>
            <w:tcW w:w="6321" w:type="dxa"/>
            <w:tcBorders>
              <w:top w:val="single" w:color="000000" w:sz="4" w:space="0"/>
              <w:left w:val="nil"/>
              <w:bottom w:val="single" w:color="000000" w:sz="4" w:space="0"/>
              <w:right w:val="single" w:color="000000" w:sz="4" w:space="0"/>
            </w:tcBorders>
            <w:shd w:val="clear" w:color="auto" w:fill="FFFFFF"/>
            <w:noWrap w:val="0"/>
            <w:tcMar>
              <w:top w:w="70" w:type="dxa"/>
              <w:left w:w="100" w:type="dxa"/>
              <w:bottom w:w="70" w:type="dxa"/>
              <w:right w:w="100" w:type="dxa"/>
            </w:tcMar>
            <w:vAlign w:val="center"/>
          </w:tcPr>
          <w:p w14:paraId="2D6B271B">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年龄、日常活动能力、过去两年的跌倒与险跌经历、身边熟人跌倒情况、跌倒后果担忧。建立客观风险与风险感知</w:t>
            </w:r>
          </w:p>
        </w:tc>
      </w:tr>
      <w:tr w14:paraId="540586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495" w:hRule="atLeast"/>
          <w:jc w:val="center"/>
        </w:trPr>
        <w:tc>
          <w:tcPr>
            <w:tcW w:w="1109" w:type="dxa"/>
            <w:tcBorders>
              <w:top w:val="single" w:color="000000" w:sz="4" w:space="0"/>
              <w:left w:val="single" w:color="000000" w:sz="4" w:space="0"/>
              <w:bottom w:val="single" w:color="000000" w:sz="4" w:space="0"/>
              <w:right w:val="nil"/>
            </w:tcBorders>
            <w:shd w:val="clear" w:color="auto" w:fill="FFFFFF"/>
            <w:noWrap w:val="0"/>
            <w:tcMar>
              <w:top w:w="70" w:type="dxa"/>
              <w:left w:w="100" w:type="dxa"/>
              <w:bottom w:w="70" w:type="dxa"/>
              <w:right w:w="100" w:type="dxa"/>
            </w:tcMar>
            <w:vAlign w:val="center"/>
          </w:tcPr>
          <w:p w14:paraId="58765A12">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第二部分</w:t>
            </w:r>
          </w:p>
        </w:tc>
        <w:tc>
          <w:tcPr>
            <w:tcW w:w="1488" w:type="dxa"/>
            <w:tcBorders>
              <w:top w:val="single" w:color="000000" w:sz="4" w:space="0"/>
              <w:left w:val="nil"/>
              <w:bottom w:val="single" w:color="000000" w:sz="4" w:space="0"/>
              <w:right w:val="nil"/>
            </w:tcBorders>
            <w:shd w:val="clear" w:color="auto" w:fill="FFFFFF"/>
            <w:noWrap w:val="0"/>
            <w:tcMar>
              <w:top w:w="70" w:type="dxa"/>
              <w:left w:w="100" w:type="dxa"/>
              <w:bottom w:w="70" w:type="dxa"/>
              <w:right w:w="100" w:type="dxa"/>
            </w:tcMar>
            <w:vAlign w:val="center"/>
          </w:tcPr>
          <w:p w14:paraId="028DEFDE">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Q6至Q7</w:t>
            </w:r>
          </w:p>
        </w:tc>
        <w:tc>
          <w:tcPr>
            <w:tcW w:w="6321" w:type="dxa"/>
            <w:tcBorders>
              <w:top w:val="single" w:color="000000" w:sz="4" w:space="0"/>
              <w:left w:val="nil"/>
              <w:bottom w:val="single" w:color="000000" w:sz="4" w:space="0"/>
              <w:right w:val="single" w:color="000000" w:sz="4" w:space="0"/>
            </w:tcBorders>
            <w:shd w:val="clear" w:color="auto" w:fill="FFFFFF"/>
            <w:noWrap w:val="0"/>
            <w:tcMar>
              <w:top w:w="70" w:type="dxa"/>
              <w:left w:w="100" w:type="dxa"/>
              <w:bottom w:w="70" w:type="dxa"/>
              <w:right w:w="100" w:type="dxa"/>
            </w:tcMar>
            <w:vAlign w:val="center"/>
          </w:tcPr>
          <w:p w14:paraId="660CDB65">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主动防护理念认同度、日常穿戴防护产品接受度及其障碍</w:t>
            </w:r>
          </w:p>
        </w:tc>
      </w:tr>
      <w:tr w14:paraId="7A7698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495" w:hRule="atLeast"/>
          <w:jc w:val="center"/>
        </w:trPr>
        <w:tc>
          <w:tcPr>
            <w:tcW w:w="1109" w:type="dxa"/>
            <w:tcBorders>
              <w:top w:val="single" w:color="000000" w:sz="4" w:space="0"/>
              <w:left w:val="single" w:color="000000" w:sz="4" w:space="0"/>
              <w:bottom w:val="single" w:color="000000" w:sz="4" w:space="0"/>
              <w:right w:val="nil"/>
            </w:tcBorders>
            <w:shd w:val="clear" w:color="auto" w:fill="FFFFFF"/>
            <w:noWrap w:val="0"/>
            <w:tcMar>
              <w:top w:w="70" w:type="dxa"/>
              <w:left w:w="100" w:type="dxa"/>
              <w:bottom w:w="70" w:type="dxa"/>
              <w:right w:w="100" w:type="dxa"/>
            </w:tcMar>
            <w:vAlign w:val="center"/>
          </w:tcPr>
          <w:p w14:paraId="373C59F8">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第三部分</w:t>
            </w:r>
          </w:p>
        </w:tc>
        <w:tc>
          <w:tcPr>
            <w:tcW w:w="1488" w:type="dxa"/>
            <w:tcBorders>
              <w:top w:val="single" w:color="000000" w:sz="4" w:space="0"/>
              <w:left w:val="nil"/>
              <w:bottom w:val="single" w:color="000000" w:sz="4" w:space="0"/>
              <w:right w:val="nil"/>
            </w:tcBorders>
            <w:shd w:val="clear" w:color="auto" w:fill="FFFFFF"/>
            <w:noWrap w:val="0"/>
            <w:tcMar>
              <w:top w:w="70" w:type="dxa"/>
              <w:left w:w="100" w:type="dxa"/>
              <w:bottom w:w="70" w:type="dxa"/>
              <w:right w:w="100" w:type="dxa"/>
            </w:tcMar>
            <w:vAlign w:val="center"/>
          </w:tcPr>
          <w:p w14:paraId="118B6B64">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Q8至Q9</w:t>
            </w:r>
          </w:p>
        </w:tc>
        <w:tc>
          <w:tcPr>
            <w:tcW w:w="6321" w:type="dxa"/>
            <w:tcBorders>
              <w:top w:val="single" w:color="000000" w:sz="4" w:space="0"/>
              <w:left w:val="nil"/>
              <w:bottom w:val="single" w:color="000000" w:sz="4" w:space="0"/>
              <w:right w:val="single" w:color="000000" w:sz="4" w:space="0"/>
            </w:tcBorders>
            <w:shd w:val="clear" w:color="auto" w:fill="FFFFFF"/>
            <w:noWrap w:val="0"/>
            <w:tcMar>
              <w:top w:w="70" w:type="dxa"/>
              <w:left w:w="100" w:type="dxa"/>
              <w:bottom w:w="70" w:type="dxa"/>
              <w:right w:w="100" w:type="dxa"/>
            </w:tcMar>
            <w:vAlign w:val="center"/>
          </w:tcPr>
          <w:p w14:paraId="2E160C9E">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监测类与防护类功能的偏好排序、智能监测与家属联动的接受度</w:t>
            </w:r>
          </w:p>
        </w:tc>
      </w:tr>
      <w:tr w14:paraId="327339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787" w:hRule="atLeast"/>
          <w:jc w:val="center"/>
        </w:trPr>
        <w:tc>
          <w:tcPr>
            <w:tcW w:w="1109" w:type="dxa"/>
            <w:tcBorders>
              <w:top w:val="single" w:color="000000" w:sz="4" w:space="0"/>
              <w:left w:val="single" w:color="000000" w:sz="4" w:space="0"/>
              <w:bottom w:val="single" w:color="000000" w:sz="4" w:space="0"/>
              <w:right w:val="nil"/>
            </w:tcBorders>
            <w:shd w:val="clear" w:color="auto" w:fill="FFFFFF"/>
            <w:noWrap w:val="0"/>
            <w:tcMar>
              <w:top w:w="70" w:type="dxa"/>
              <w:left w:w="100" w:type="dxa"/>
              <w:bottom w:w="70" w:type="dxa"/>
              <w:right w:w="100" w:type="dxa"/>
            </w:tcMar>
            <w:vAlign w:val="center"/>
          </w:tcPr>
          <w:p w14:paraId="673F491E">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第四部分</w:t>
            </w:r>
          </w:p>
        </w:tc>
        <w:tc>
          <w:tcPr>
            <w:tcW w:w="1488" w:type="dxa"/>
            <w:tcBorders>
              <w:top w:val="single" w:color="000000" w:sz="4" w:space="0"/>
              <w:left w:val="nil"/>
              <w:bottom w:val="single" w:color="000000" w:sz="4" w:space="0"/>
              <w:right w:val="nil"/>
            </w:tcBorders>
            <w:shd w:val="clear" w:color="auto" w:fill="FFFFFF"/>
            <w:noWrap w:val="0"/>
            <w:tcMar>
              <w:top w:w="70" w:type="dxa"/>
              <w:left w:w="100" w:type="dxa"/>
              <w:bottom w:w="70" w:type="dxa"/>
              <w:right w:w="100" w:type="dxa"/>
            </w:tcMar>
            <w:vAlign w:val="center"/>
          </w:tcPr>
          <w:p w14:paraId="7A6972D7">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Q10至Q12</w:t>
            </w:r>
          </w:p>
        </w:tc>
        <w:tc>
          <w:tcPr>
            <w:tcW w:w="6321" w:type="dxa"/>
            <w:tcBorders>
              <w:top w:val="single" w:color="000000" w:sz="4" w:space="0"/>
              <w:left w:val="nil"/>
              <w:bottom w:val="single" w:color="000000" w:sz="4" w:space="0"/>
              <w:right w:val="single" w:color="000000" w:sz="4" w:space="0"/>
            </w:tcBorders>
            <w:shd w:val="clear" w:color="auto" w:fill="FFFFFF"/>
            <w:noWrap w:val="0"/>
            <w:tcMar>
              <w:top w:w="70" w:type="dxa"/>
              <w:left w:w="100" w:type="dxa"/>
              <w:bottom w:w="70" w:type="dxa"/>
              <w:right w:w="100" w:type="dxa"/>
            </w:tcMar>
            <w:vAlign w:val="center"/>
          </w:tcPr>
          <w:p w14:paraId="08B44E8F">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腰部症状、护腰功能需求排序、传统护具使用经验与痛点</w:t>
            </w:r>
          </w:p>
        </w:tc>
      </w:tr>
      <w:tr w14:paraId="7FA141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798" w:hRule="atLeast"/>
          <w:jc w:val="center"/>
        </w:trPr>
        <w:tc>
          <w:tcPr>
            <w:tcW w:w="1109" w:type="dxa"/>
            <w:tcBorders>
              <w:top w:val="single" w:color="000000" w:sz="4" w:space="0"/>
              <w:left w:val="single" w:color="000000" w:sz="4" w:space="0"/>
              <w:bottom w:val="single" w:color="000000" w:sz="4" w:space="0"/>
              <w:right w:val="nil"/>
            </w:tcBorders>
            <w:shd w:val="clear" w:color="auto" w:fill="FFFFFF"/>
            <w:noWrap w:val="0"/>
            <w:tcMar>
              <w:top w:w="70" w:type="dxa"/>
              <w:left w:w="100" w:type="dxa"/>
              <w:bottom w:w="70" w:type="dxa"/>
              <w:right w:w="100" w:type="dxa"/>
            </w:tcMar>
            <w:vAlign w:val="center"/>
          </w:tcPr>
          <w:p w14:paraId="670CB64A">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第五部分</w:t>
            </w:r>
          </w:p>
        </w:tc>
        <w:tc>
          <w:tcPr>
            <w:tcW w:w="1488" w:type="dxa"/>
            <w:tcBorders>
              <w:top w:val="single" w:color="000000" w:sz="4" w:space="0"/>
              <w:left w:val="nil"/>
              <w:bottom w:val="single" w:color="000000" w:sz="4" w:space="0"/>
              <w:right w:val="nil"/>
            </w:tcBorders>
            <w:shd w:val="clear" w:color="auto" w:fill="FFFFFF"/>
            <w:noWrap w:val="0"/>
            <w:tcMar>
              <w:top w:w="70" w:type="dxa"/>
              <w:left w:w="100" w:type="dxa"/>
              <w:bottom w:w="70" w:type="dxa"/>
              <w:right w:w="100" w:type="dxa"/>
            </w:tcMar>
            <w:vAlign w:val="center"/>
          </w:tcPr>
          <w:p w14:paraId="545F8B2F">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Q13至Q15b</w:t>
            </w:r>
          </w:p>
        </w:tc>
        <w:tc>
          <w:tcPr>
            <w:tcW w:w="6321" w:type="dxa"/>
            <w:tcBorders>
              <w:top w:val="single" w:color="000000" w:sz="4" w:space="0"/>
              <w:left w:val="nil"/>
              <w:bottom w:val="single" w:color="000000" w:sz="4" w:space="0"/>
              <w:right w:val="single" w:color="000000" w:sz="4" w:space="0"/>
            </w:tcBorders>
            <w:shd w:val="clear" w:color="auto" w:fill="FFFFFF"/>
            <w:noWrap w:val="0"/>
            <w:tcMar>
              <w:top w:w="70" w:type="dxa"/>
              <w:left w:w="100" w:type="dxa"/>
              <w:bottom w:w="70" w:type="dxa"/>
              <w:right w:w="100" w:type="dxa"/>
            </w:tcMar>
            <w:vAlign w:val="center"/>
          </w:tcPr>
          <w:p w14:paraId="619AC046">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val="0"/>
                <w:color w:val="000000" w:themeColor="text1"/>
                <w:sz w:val="21"/>
                <w14:textFill>
                  <w14:solidFill>
                    <w14:schemeClr w14:val="tx1"/>
                  </w14:solidFill>
                </w14:textFill>
              </w:rPr>
            </w:pPr>
            <w:r>
              <w:rPr>
                <w:rFonts w:hint="eastAsia" w:ascii="宋体" w:hAnsi="宋体" w:eastAsia="宋体" w:cs="宋体"/>
                <w:b w:val="0"/>
                <w:color w:val="000000" w:themeColor="text1"/>
                <w:sz w:val="21"/>
                <w:szCs w:val="21"/>
                <w14:textFill>
                  <w14:solidFill>
                    <w14:schemeClr w14:val="tx1"/>
                  </w14:solidFill>
                </w14:textFill>
              </w:rPr>
              <w:t>产品概念接受度、购买驱动因素、购买意愿、可接受价格区间、购买决策者</w:t>
            </w:r>
          </w:p>
        </w:tc>
      </w:tr>
    </w:tbl>
    <w:p w14:paraId="009A21A4">
      <w:pPr>
        <w:pStyle w:val="4"/>
        <w:keepNext w:val="0"/>
        <w:keepLines w:val="0"/>
        <w:kinsoku/>
        <w:wordWrap/>
        <w:overflowPunct/>
        <w:topLinePunct w:val="0"/>
        <w:autoSpaceDE/>
        <w:autoSpaceDN/>
        <w:bidi w:val="0"/>
        <w:adjustRightInd/>
        <w:snapToGrid/>
        <w:spacing w:line="300" w:lineRule="auto"/>
        <w:textAlignment w:val="auto"/>
      </w:pPr>
      <w:bookmarkStart w:id="32" w:name="_Toc27797"/>
      <w:bookmarkStart w:id="33" w:name="_Toc23457"/>
      <w:r>
        <w:rPr>
          <w:rFonts w:hint="eastAsia"/>
        </w:rPr>
        <w:t>2.2.2主要调研发现</w:t>
      </w:r>
      <w:bookmarkEnd w:id="32"/>
      <w:bookmarkEnd w:id="33"/>
    </w:p>
    <w:p w14:paraId="516D2CA0">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243份有效问卷中，有四项发现直接改变了团队的产品决策。它们的价值不在于证实了我们原有的想法，恰恰在于推翻了其中几个。</w:t>
      </w:r>
    </w:p>
    <w:p w14:paraId="474609E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发现一：老人要的是防护，不是数据。</w:t>
      </w:r>
      <w:r>
        <w:rPr>
          <w:rFonts w:hint="eastAsia" w:ascii="宋体" w:hAnsi="宋体" w:eastAsia="宋体" w:cs="宋体"/>
          <w:b w:val="0"/>
          <w:bCs w:val="0"/>
          <w:color w:val="000000" w:themeColor="text1"/>
          <w:sz w:val="24"/>
          <w:szCs w:val="24"/>
          <w14:textFill>
            <w14:solidFill>
              <w14:schemeClr w14:val="tx1"/>
            </w14:solidFill>
          </w14:textFill>
        </w:rPr>
        <w:t>在功能偏好排序中，仅11.9%的受访老人把健康数据记录排在首位；而选择直接身体防护或监测与防护一体的合计达66.3%。团队原本设想的步态趋势分析、健康周报等数据类功能，在老人的优先级里排在很后面。这一发现促使功能规划从做加法转为做减法。</w:t>
      </w:r>
    </w:p>
    <w:p w14:paraId="559BBBD0">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发现二：提高使用意愿的因素里，没有一项是智能。</w:t>
      </w:r>
      <w:r>
        <w:rPr>
          <w:rFonts w:hint="eastAsia" w:ascii="宋体" w:hAnsi="宋体" w:eastAsia="宋体" w:cs="宋体"/>
          <w:b w:val="0"/>
          <w:bCs w:val="0"/>
          <w:color w:val="000000" w:themeColor="text1"/>
          <w:sz w:val="24"/>
          <w:szCs w:val="24"/>
          <w14:textFill>
            <w14:solidFill>
              <w14:schemeClr w14:val="tx1"/>
            </w14:solidFill>
          </w14:textFill>
        </w:rPr>
        <w:t>受访者选出的前三项因素依次是：跌倒时能提供实际保护、穿着轻便舒适、有实际测试或认证证明。这直接影响了本项目的传播口径——对外表述的重心从智能转向可靠，详见第五章。</w:t>
      </w:r>
    </w:p>
    <w:p w14:paraId="43FC4257">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发现三：产品形态的心理门槛远高于功能门槛。</w:t>
      </w:r>
      <w:r>
        <w:rPr>
          <w:rFonts w:hint="eastAsia" w:ascii="宋体" w:hAnsi="宋体" w:eastAsia="宋体" w:cs="宋体"/>
          <w:b w:val="0"/>
          <w:bCs w:val="0"/>
          <w:color w:val="000000" w:themeColor="text1"/>
          <w:sz w:val="24"/>
          <w:szCs w:val="24"/>
          <w14:textFill>
            <w14:solidFill>
              <w14:schemeClr w14:val="tx1"/>
            </w14:solidFill>
          </w14:textFill>
        </w:rPr>
        <w:t>现场反复观察到同一个现象：老年群体对任何带有监护设备、病患用品标签的产品都存在明确的心理抵触，而护腰是他们本就熟悉、甚至会主动购买的日常护具。这一观察直接确立了以护腰为载体的形态决策——这个决策不是在实验室里推演出来的，是在社区里看出来的。</w:t>
      </w:r>
    </w:p>
    <w:p w14:paraId="6C87D68F">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发现四：支付意愿低于预期，且决策者常常不是使用者。</w:t>
      </w:r>
      <w:r>
        <w:rPr>
          <w:rFonts w:hint="eastAsia" w:ascii="宋体" w:hAnsi="宋体" w:eastAsia="宋体" w:cs="宋体"/>
          <w:b w:val="0"/>
          <w:bCs w:val="0"/>
          <w:color w:val="000000" w:themeColor="text1"/>
          <w:sz w:val="24"/>
          <w:szCs w:val="24"/>
          <w14:textFill>
            <w14:solidFill>
              <w14:schemeClr w14:val="tx1"/>
            </w14:solidFill>
          </w14:textFill>
        </w:rPr>
        <w:t>约八成受访者可接受的价位在599元以下。同时，跌倒恐惧的影响被量化：26.7%的受访老人明确表示担心以后不敢独自出门。这两项共同支撑了本项目由B端切入的商业模式判断。</w:t>
      </w:r>
    </w:p>
    <w:p w14:paraId="5DC5F28E">
      <w:pPr>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048250" cy="3095625"/>
            <wp:effectExtent l="0" t="0" r="0" b="0"/>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noChangeArrowheads="1"/>
                    </pic:cNvPicPr>
                  </pic:nvPicPr>
                  <pic:blipFill>
                    <a:blip r:embed="rId15"/>
                    <a:srcRect/>
                    <a:stretch>
                      <a:fillRect/>
                    </a:stretch>
                  </pic:blipFill>
                  <pic:spPr>
                    <a:xfrm>
                      <a:off x="0" y="0"/>
                      <a:ext cx="5048250" cy="3095625"/>
                    </a:xfrm>
                    <a:prstGeom prst="rect">
                      <a:avLst/>
                    </a:prstGeom>
                  </pic:spPr>
                </pic:pic>
              </a:graphicData>
            </a:graphic>
          </wp:inline>
        </w:drawing>
      </w:r>
    </w:p>
    <w:p w14:paraId="65740D5C">
      <w:pPr>
        <w:pStyle w:val="8"/>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rFonts w:hint="eastAsia"/>
        </w:rPr>
        <w:t xml:space="preserve">图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rPr>
          <w:rFonts w:hint="eastAsia"/>
        </w:rPr>
        <w:instrText xml:space="preserve"> SEQ 图 \* ARABIC \s 1 </w:instrText>
      </w:r>
      <w:r>
        <w:fldChar w:fldCharType="separate"/>
      </w:r>
      <w:r>
        <w:t>3</w:t>
      </w:r>
      <w:r>
        <w:fldChar w:fldCharType="end"/>
      </w:r>
      <w:r>
        <w:rPr>
          <w:rFonts w:hint="eastAsia" w:ascii="黑体" w:hAnsi="黑体" w:eastAsia="黑体" w:cs="黑体"/>
          <w:color w:val="000000" w:themeColor="text1"/>
          <w:sz w:val="21"/>
          <w:szCs w:val="21"/>
          <w14:textFill>
            <w14:solidFill>
              <w14:schemeClr w14:val="tx1"/>
            </w14:solidFill>
          </w14:textFill>
        </w:rPr>
        <w:t>老年用户需求转化漏斗</w:t>
      </w:r>
    </w:p>
    <w:p w14:paraId="66A5164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转化漏斗从主动防护理念认同，到产品概念接受，到明确兴趣，再到购买意愿与强购买意愿，逐级收窄。漏斗各层之间的落差即为产品证据、体验与价格尚未解决的转化空间，这是产品设计与推广策略的直接输入，第五章据此设计了六步转化链路。</w:t>
      </w:r>
    </w:p>
    <w:p w14:paraId="73AAF1E8">
      <w:pPr>
        <w:keepNext w:val="0"/>
        <w:keepLines w:val="0"/>
        <w:pageBreakBefore w:val="0"/>
        <w:kinsoku/>
        <w:wordWrap/>
        <w:overflowPunct/>
        <w:topLinePunct w:val="0"/>
        <w:autoSpaceDE/>
        <w:autoSpaceDN/>
        <w:bidi w:val="0"/>
        <w:adjustRightInd/>
        <w:snapToGrid/>
        <w:spacing w:before="120" w:after="2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428875" cy="1828800"/>
            <wp:effectExtent l="0" t="0" r="0" b="0"/>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noChangeArrowheads="1"/>
                    </pic:cNvPicPr>
                  </pic:nvPicPr>
                  <pic:blipFill>
                    <a:blip r:embed="rId16"/>
                    <a:srcRect/>
                    <a:stretch>
                      <a:fillRect/>
                    </a:stretch>
                  </pic:blipFill>
                  <pic:spPr>
                    <a:xfrm>
                      <a:off x="0" y="0"/>
                      <a:ext cx="2428875" cy="1828800"/>
                    </a:xfrm>
                    <a:prstGeom prst="rect">
                      <a:avLst/>
                    </a:prstGeom>
                  </pic:spPr>
                </pic:pic>
              </a:graphicData>
            </a:graphic>
          </wp:inline>
        </w:drawing>
      </w:r>
      <w:r>
        <w:rPr>
          <w:color w:val="000000" w:themeColor="text1"/>
          <w14:textFill>
            <w14:solidFill>
              <w14:schemeClr w14:val="tx1"/>
            </w14:solidFill>
          </w14:textFill>
        </w:rPr>
        <w:drawing>
          <wp:inline distT="0" distB="0" distL="0" distR="0">
            <wp:extent cx="2428875" cy="1819275"/>
            <wp:effectExtent l="0" t="0" r="0" b="0"/>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noChangeArrowheads="1"/>
                    </pic:cNvPicPr>
                  </pic:nvPicPr>
                  <pic:blipFill>
                    <a:blip r:embed="rId17"/>
                    <a:srcRect/>
                    <a:stretch>
                      <a:fillRect/>
                    </a:stretch>
                  </pic:blipFill>
                  <pic:spPr>
                    <a:xfrm>
                      <a:off x="0" y="0"/>
                      <a:ext cx="2428875" cy="1819275"/>
                    </a:xfrm>
                    <a:prstGeom prst="rect">
                      <a:avLst/>
                    </a:prstGeom>
                  </pic:spPr>
                </pic:pic>
              </a:graphicData>
            </a:graphic>
          </wp:inline>
        </w:drawing>
      </w:r>
    </w:p>
    <w:p w14:paraId="13D9BF52">
      <w:pPr>
        <w:pStyle w:val="8"/>
        <w:keepNext w:val="0"/>
        <w:keepLines w:val="0"/>
        <w:pageBreakBefore w:val="0"/>
        <w:kinsoku/>
        <w:wordWrap/>
        <w:overflowPunct/>
        <w:topLinePunct w:val="0"/>
        <w:autoSpaceDE/>
        <w:autoSpaceDN/>
        <w:bidi w:val="0"/>
        <w:adjustRightInd/>
        <w:snapToGrid/>
        <w:spacing w:before="120" w:after="20" w:line="300" w:lineRule="auto"/>
        <w:jc w:val="center"/>
        <w:textAlignment w:val="auto"/>
        <w:rPr>
          <w:color w:val="000000" w:themeColor="text1"/>
          <w14:textFill>
            <w14:solidFill>
              <w14:schemeClr w14:val="tx1"/>
            </w14:solidFill>
          </w14:textFill>
        </w:rPr>
      </w:pPr>
      <w:r>
        <w:rPr>
          <w:rFonts w:hint="eastAsia"/>
        </w:rPr>
        <w:t xml:space="preserve">图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rPr>
          <w:rFonts w:hint="eastAsia"/>
        </w:rPr>
        <w:instrText xml:space="preserve"> SEQ 图 \* ARABIC \s 1 </w:instrText>
      </w:r>
      <w:r>
        <w:fldChar w:fldCharType="separate"/>
      </w:r>
      <w:r>
        <w:t>4</w:t>
      </w:r>
      <w:r>
        <w:fldChar w:fldCharType="end"/>
      </w:r>
      <w:r>
        <w:rPr>
          <w:rFonts w:hint="eastAsia"/>
          <w:lang w:val="en-US" w:eastAsia="zh-CN"/>
        </w:rPr>
        <w:t xml:space="preserve"> </w:t>
      </w:r>
      <w:r>
        <w:rPr>
          <w:rFonts w:hint="eastAsia" w:ascii="黑体" w:hAnsi="黑体" w:eastAsia="黑体" w:cs="黑体"/>
          <w:color w:val="000000" w:themeColor="text1"/>
          <w:sz w:val="21"/>
          <w:szCs w:val="21"/>
          <w14:textFill>
            <w14:solidFill>
              <w14:schemeClr w14:val="tx1"/>
            </w14:solidFill>
          </w14:textFill>
        </w:rPr>
        <w:t>2026年暑期社区调研与健康宣讲现场</w:t>
      </w:r>
    </w:p>
    <w:p w14:paraId="6383EED1">
      <w:pPr>
        <w:pStyle w:val="4"/>
        <w:keepNext w:val="0"/>
        <w:keepLines w:val="0"/>
        <w:kinsoku/>
        <w:wordWrap/>
        <w:overflowPunct/>
        <w:topLinePunct w:val="0"/>
        <w:autoSpaceDE/>
        <w:autoSpaceDN/>
        <w:bidi w:val="0"/>
        <w:adjustRightInd/>
        <w:snapToGrid/>
        <w:spacing w:line="300" w:lineRule="auto"/>
        <w:textAlignment w:val="auto"/>
      </w:pPr>
      <w:bookmarkStart w:id="34" w:name="_Toc11401"/>
      <w:bookmarkStart w:id="35" w:name="_Toc20831"/>
      <w:r>
        <w:rPr>
          <w:rFonts w:hint="eastAsia"/>
        </w:rPr>
        <w:t>2.2.3统计口径与结论边界</w:t>
      </w:r>
      <w:bookmarkEnd w:id="34"/>
      <w:bookmarkEnd w:id="35"/>
    </w:p>
    <w:p w14:paraId="61C63557">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243份样本可支撑总体比例估计与主要人群分层，但不足以将5个百分点左右的细微差异解释为稳定规律。团队据此设定三条结论纪律。</w:t>
      </w:r>
    </w:p>
    <w:p w14:paraId="45D8FACD">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—所有比例结论均附95%置信区间，并以约几成的表述方式呈现，不使用精确到小数点后一位的因果性说法。</w:t>
      </w:r>
    </w:p>
    <w:p w14:paraId="1244B58F">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—预先锁定三项主要结果指标，即产品概念接受率、购买意愿率、核心需求人群购买意愿率；其余题目仅作探索性分析，不进行大量显著性检验后择优报告。</w:t>
      </w:r>
    </w:p>
    <w:p w14:paraId="3EDB0254">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—小样本子组不单独解释。例如按年龄细分后每组仅数十人，其比例的置信区间较宽，组间差异不足以支撑结论。</w:t>
      </w:r>
    </w:p>
    <w:p w14:paraId="2B78FA25">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这套纪律的意义在于：一份诚实标注了边界的调研，比一份声称精确证明了某个百分比的调研更经得起追问。</w:t>
      </w:r>
    </w:p>
    <w:p w14:paraId="065074DC">
      <w:pPr>
        <w:pStyle w:val="4"/>
        <w:keepNext w:val="0"/>
        <w:keepLines w:val="0"/>
        <w:kinsoku/>
        <w:wordWrap/>
        <w:overflowPunct/>
        <w:topLinePunct w:val="0"/>
        <w:autoSpaceDE/>
        <w:autoSpaceDN/>
        <w:bidi w:val="0"/>
        <w:adjustRightInd/>
        <w:snapToGrid/>
        <w:spacing w:line="300" w:lineRule="auto"/>
        <w:textAlignment w:val="auto"/>
      </w:pPr>
      <w:bookmarkStart w:id="36" w:name="_Toc27898"/>
      <w:bookmarkStart w:id="37" w:name="_Toc22165"/>
      <w:r>
        <w:rPr>
          <w:rFonts w:hint="eastAsia"/>
        </w:rPr>
        <w:t>2.2.4目标用户画像</w:t>
      </w:r>
      <w:bookmarkEnd w:id="36"/>
      <w:bookmarkEnd w:id="37"/>
    </w:p>
    <w:p w14:paraId="71439A24">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本项目的用户结构有一个必须讲清楚的特殊之处：使用者、影响者与付费者是三个不同的人。多数消费品的这三个角色高度重合，本项目不重合，这决定了产品设计、定价与获客必须分别对待。</w:t>
      </w:r>
    </w:p>
    <w:p w14:paraId="72CF9731">
      <w:pPr>
        <w:keepNext/>
        <w:keepLines/>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2</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目标用户画像</w:t>
      </w:r>
    </w:p>
    <w:tbl>
      <w:tblPr>
        <w:tblStyle w:val="15"/>
        <w:tblW w:w="86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10"/>
        <w:gridCol w:w="2360"/>
        <w:gridCol w:w="2452"/>
        <w:gridCol w:w="2570"/>
      </w:tblGrid>
      <w:tr w14:paraId="7B892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2E9C3E2E">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角色</w:t>
            </w:r>
          </w:p>
        </w:tc>
        <w:tc>
          <w:tcPr>
            <w:tcW w:w="23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698ED9CE">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是谁</w:t>
            </w:r>
          </w:p>
        </w:tc>
        <w:tc>
          <w:tcPr>
            <w:tcW w:w="0" w:type="auto"/>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20C029F2">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核心诉求</w:t>
            </w:r>
          </w:p>
        </w:tc>
        <w:tc>
          <w:tcPr>
            <w:tcW w:w="257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055E4E95">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对本项目的意义</w:t>
            </w:r>
          </w:p>
        </w:tc>
      </w:tr>
      <w:tr w14:paraId="77D76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69E0A66A">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使用者</w:t>
            </w:r>
          </w:p>
        </w:tc>
        <w:tc>
          <w:tcPr>
            <w:tcW w:w="23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06EA57FF">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社区中高风险老人，以独居、高龄、有跌倒或险跌经历、伴腰部不适者为典型</w:t>
            </w:r>
          </w:p>
        </w:tc>
        <w:tc>
          <w:tcPr>
            <w:tcW w:w="0" w:type="auto"/>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08940102">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不要让我看起来像个病人；穿着不能累赘；真摔的时候得管用</w:t>
            </w:r>
          </w:p>
        </w:tc>
        <w:tc>
          <w:tcPr>
            <w:tcW w:w="257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1A62AB19">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决定产品形态与依从性设计——护腰载体、无需操作、免学习交互</w:t>
            </w:r>
          </w:p>
        </w:tc>
      </w:tr>
      <w:tr w14:paraId="403F2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3BD6C6FB">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影响者与部分付费者</w:t>
            </w:r>
          </w:p>
        </w:tc>
        <w:tc>
          <w:tcPr>
            <w:tcW w:w="23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37676021">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45至55岁子女，多数不与老人同城居住</w:t>
            </w:r>
          </w:p>
        </w:tc>
        <w:tc>
          <w:tcPr>
            <w:tcW w:w="0" w:type="auto"/>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742D75B2">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出事我能不能第一时间知道；平时能不能安心</w:t>
            </w:r>
          </w:p>
        </w:tc>
        <w:tc>
          <w:tcPr>
            <w:tcW w:w="257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6DEE4E37">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决定家属端功能与双通道响应设计，是C端场景的实际决策人</w:t>
            </w:r>
          </w:p>
        </w:tc>
      </w:tr>
      <w:tr w14:paraId="15B70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31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2E3557D4">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主要付费者</w:t>
            </w:r>
          </w:p>
        </w:tc>
        <w:tc>
          <w:tcPr>
            <w:tcW w:w="23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48E885DE">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社区养老服务驿站、区域养老服务中心及其运营方</w:t>
            </w:r>
          </w:p>
        </w:tc>
        <w:tc>
          <w:tcPr>
            <w:tcW w:w="24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1AE48F03">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降低责任事故风险；完成上级考核指标；财政资金花得有依据</w:t>
            </w:r>
          </w:p>
        </w:tc>
        <w:tc>
          <w:tcPr>
            <w:tcW w:w="257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33F6C16B">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决定商业模式与定价结构——按社区点位收费、输出可用于适老化改造决策的数据</w:t>
            </w:r>
          </w:p>
        </w:tc>
      </w:tr>
    </w:tbl>
    <w:p w14:paraId="44AE836D">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三角结构带来的两个直接结论</w:t>
      </w:r>
    </w:p>
    <w:p w14:paraId="1EC87124">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第一，产品必须同时满足两套完全不同的评价标准：对老人，它要像一件普通护腰；对机构，它要输出可核查、可上报、可用于决策的数据。这两者不冲突，但必须分别设计，不能指望一套界面同时服务两类人——这正是本项目将网页端管理平台与家属端应用分开建设的原因，详见第三章。</w:t>
      </w:r>
    </w:p>
    <w:p w14:paraId="3C7776C4">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第二，获客的入口是机构而非个人。由社区驿站完成进场、评估与部署，既解决了老人对陌生产品的信任门槛，也解决了单个家庭获客成本过高的问题，详见第五章。</w:t>
      </w:r>
    </w:p>
    <w:p w14:paraId="30B34C92">
      <w:pPr>
        <w:pStyle w:val="3"/>
        <w:bidi w:val="0"/>
      </w:pPr>
      <w:bookmarkStart w:id="38" w:name="_Toc18610"/>
      <w:bookmarkStart w:id="39" w:name="_Toc16021"/>
      <w:r>
        <w:rPr>
          <w:rFonts w:hint="eastAsia"/>
        </w:rPr>
        <w:t>2.3市场规模测算</w:t>
      </w:r>
      <w:bookmarkEnd w:id="38"/>
      <w:bookmarkEnd w:id="39"/>
    </w:p>
    <w:p w14:paraId="54FAEF6E">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上一节确定了目标用户是谁，本节据此测算这批用户有多少。测算采用自上而下与自下而上相结合的方式，分三层展开，每层的口径与来源均予以标注。</w:t>
      </w:r>
    </w:p>
    <w:p w14:paraId="27200CB0">
      <w:pPr>
        <w:pStyle w:val="4"/>
        <w:keepNext w:val="0"/>
        <w:keepLines w:val="0"/>
        <w:kinsoku/>
        <w:wordWrap/>
        <w:overflowPunct/>
        <w:topLinePunct w:val="0"/>
        <w:autoSpaceDE/>
        <w:autoSpaceDN/>
        <w:bidi w:val="0"/>
        <w:adjustRightInd/>
        <w:snapToGrid/>
        <w:spacing w:line="300" w:lineRule="auto"/>
        <w:textAlignment w:val="auto"/>
      </w:pPr>
      <w:bookmarkStart w:id="40" w:name="_Toc17573"/>
      <w:bookmarkStart w:id="41" w:name="_Toc24283"/>
      <w:r>
        <w:rPr>
          <w:rFonts w:hint="eastAsia"/>
        </w:rPr>
        <w:t>2.3.1三层市场口径</w:t>
      </w:r>
      <w:bookmarkEnd w:id="40"/>
      <w:bookmarkEnd w:id="41"/>
    </w:p>
    <w:p w14:paraId="4439FBC7">
      <w:pPr>
        <w:keepNext/>
        <w:keepLines/>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2</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三层市场规模测算</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82"/>
        <w:gridCol w:w="2292"/>
        <w:gridCol w:w="915"/>
        <w:gridCol w:w="4111"/>
      </w:tblGrid>
      <w:tr w14:paraId="0B54B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503DFD1D">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层级</w:t>
            </w:r>
          </w:p>
        </w:tc>
        <w:tc>
          <w:tcPr>
            <w:tcW w:w="0" w:type="auto"/>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08AA28D2">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口径定义</w:t>
            </w:r>
          </w:p>
        </w:tc>
        <w:tc>
          <w:tcPr>
            <w:tcW w:w="915"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31DD045A">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规模</w:t>
            </w:r>
          </w:p>
        </w:tc>
        <w:tc>
          <w:tcPr>
            <w:tcW w:w="4111"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47A315D2">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测算依据</w:t>
            </w:r>
          </w:p>
        </w:tc>
      </w:tr>
      <w:tr w14:paraId="2D5A9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4FB8FE04">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TAM总体潜在市场</w:t>
            </w:r>
          </w:p>
        </w:tc>
        <w:tc>
          <w:tcPr>
            <w:tcW w:w="0" w:type="auto"/>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5DD80D55">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全国60岁及以上人口</w:t>
            </w:r>
          </w:p>
        </w:tc>
        <w:tc>
          <w:tcPr>
            <w:tcW w:w="915"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7F1C6B13">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3.23亿人</w:t>
            </w:r>
          </w:p>
        </w:tc>
        <w:tc>
          <w:tcPr>
            <w:tcW w:w="4111"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1790E75D">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国家统计局2025年统计公报，60岁及以上32338万人</w:t>
            </w:r>
          </w:p>
        </w:tc>
      </w:tr>
      <w:tr w14:paraId="6478B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6F42EEEA">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SAM可服务市场</w:t>
            </w:r>
          </w:p>
        </w:tc>
        <w:tc>
          <w:tcPr>
            <w:tcW w:w="0" w:type="auto"/>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2CA0DC98">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全国65岁及以上人口中的跌倒高风险人群</w:t>
            </w:r>
          </w:p>
        </w:tc>
        <w:tc>
          <w:tcPr>
            <w:tcW w:w="915"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690205D3">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约2348万人</w:t>
            </w:r>
          </w:p>
        </w:tc>
        <w:tc>
          <w:tcPr>
            <w:tcW w:w="4111"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6AF0A5CA">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65岁及以上22365万人，乘以2024年全国横断面监测的跌倒高风险检出率10.5%</w:t>
            </w:r>
          </w:p>
        </w:tc>
      </w:tr>
      <w:tr w14:paraId="5428D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28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27421A91">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SOM验证期可获得市场</w:t>
            </w:r>
          </w:p>
        </w:tc>
        <w:tc>
          <w:tcPr>
            <w:tcW w:w="22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71BA59B5">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海淀区社区级养老服务点位覆盖的中高风险老人</w:t>
            </w:r>
          </w:p>
        </w:tc>
        <w:tc>
          <w:tcPr>
            <w:tcW w:w="915"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3D6135B4">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约9000人</w:t>
            </w:r>
          </w:p>
        </w:tc>
        <w:tc>
          <w:tcPr>
            <w:tcW w:w="4111"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325523E1">
            <w:pPr>
              <w:keepNext/>
              <w:keepLines/>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海淀区社区养老服务驿站160家与区域养老服务中心20家，合计180个点位，按每点位50名中高风险老人计</w:t>
            </w:r>
          </w:p>
        </w:tc>
      </w:tr>
    </w:tbl>
    <w:p w14:paraId="45A1ABE1">
      <w:pPr>
        <w:bidi w:val="0"/>
      </w:pPr>
      <w:r>
        <w:rPr>
          <w:rFonts w:hint="eastAsia"/>
        </w:rPr>
        <w:t>SOM的测算口径与第四章的单社区经济模型、第七章的财务测算完全一致，即以每个社区点位服务50名中高风险老人为基本单元。三章使用同一套假设，可相互核对。</w:t>
      </w:r>
    </w:p>
    <w:p w14:paraId="289755B1">
      <w:pPr>
        <w:pStyle w:val="4"/>
        <w:keepNext w:val="0"/>
        <w:keepLines w:val="0"/>
        <w:kinsoku/>
        <w:wordWrap/>
        <w:overflowPunct/>
        <w:topLinePunct w:val="0"/>
        <w:autoSpaceDE/>
        <w:autoSpaceDN/>
        <w:bidi w:val="0"/>
        <w:adjustRightInd/>
        <w:snapToGrid/>
        <w:spacing w:line="300" w:lineRule="auto"/>
        <w:textAlignment w:val="auto"/>
        <w:rPr>
          <w:color w:val="000000" w:themeColor="text1"/>
          <w14:textFill>
            <w14:solidFill>
              <w14:schemeClr w14:val="tx1"/>
            </w14:solidFill>
          </w14:textFill>
        </w:rPr>
      </w:pPr>
      <w:bookmarkStart w:id="42" w:name="_Toc4971"/>
      <w:bookmarkStart w:id="43" w:name="_Toc5413"/>
      <w:r>
        <w:rPr>
          <w:rFonts w:hint="eastAsia"/>
        </w:rPr>
        <w:t>2.3.2测算的边界说明</w:t>
      </w:r>
      <w:bookmarkEnd w:id="42"/>
      <w:bookmarkEnd w:id="43"/>
    </w:p>
    <w:p w14:paraId="5F4C7886">
      <w:pPr>
        <w:bidi w:val="0"/>
      </w:pPr>
      <w:r>
        <w:rPr>
          <w:rFonts w:hint="eastAsia"/>
        </w:rPr>
        <w:t>第一，TAM层的3.23亿人是人口规模，不是购买人群。老年人口总数并不等于潜在客户数，直接以人口基数乘以某个接受度比例得出市场规模的做法，会严重高估证据强度，本项目不采用。</w:t>
      </w:r>
    </w:p>
    <w:p w14:paraId="0E3C9E11">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第二，SAM层使用的10.5%来自60至79岁人群的监测数据，将其应用于65岁及以上全体人口属于近似处理。80岁以上人群的跌倒风险实际更高，因此该口径偏保守。</w:t>
      </w:r>
    </w:p>
    <w:p w14:paraId="56DEC612">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第三，SOM层的每点位50人为规划假设，非实测值。团队将在颐清园首个社区完成风险评估后，以实际分级结果修正该参数。</w:t>
      </w:r>
    </w:p>
    <w:p w14:paraId="5E3E0BAA">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此外，据海淀区民政部门公开数据，全区已累计开展巡视探访22.97万人次、覆盖老年人20952人。这批被纳入重点关注的高龄独居老人，与本项目的目标服务对象高度重合，可作为验证期人群基础的交叉参照。</w:t>
      </w:r>
    </w:p>
    <w:p w14:paraId="1B29587A">
      <w:pPr>
        <w:pStyle w:val="3"/>
        <w:bidi w:val="0"/>
      </w:pPr>
      <w:bookmarkStart w:id="44" w:name="_Toc20333"/>
      <w:bookmarkStart w:id="45" w:name="_Toc3369"/>
      <w:r>
        <w:rPr>
          <w:rFonts w:hint="eastAsia"/>
        </w:rPr>
        <w:t>2.4现有解决方案的三重缺陷</w:t>
      </w:r>
      <w:bookmarkEnd w:id="44"/>
      <w:bookmarkEnd w:id="45"/>
    </w:p>
    <w:p w14:paraId="61F60910">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市场上已有多类面向老年跌倒问题的方案，但均未解决核心矛盾。</w:t>
      </w:r>
    </w:p>
    <w:p w14:paraId="6F7D9661">
      <w:pPr>
        <w:keepNext/>
        <w:keepLines w:val="0"/>
        <w:pageBreakBefore w:val="0"/>
        <w:kinsoku/>
        <w:wordWrap/>
        <w:overflowPunct/>
        <w:topLinePunct w:val="0"/>
        <w:autoSpaceDE/>
        <w:autoSpaceDN/>
        <w:bidi w:val="0"/>
        <w:adjustRightInd/>
        <w:snapToGrid/>
        <w:spacing w:before="60" w:after="200" w:line="300" w:lineRule="auto"/>
        <w:ind w:left="0" w:leftChars="0" w:firstLine="0" w:firstLineChars="0"/>
        <w:jc w:val="center"/>
        <w:textAlignment w:val="auto"/>
        <w:rPr>
          <w:rFonts w:hint="eastAsia" w:eastAsia="黑体"/>
          <w:sz w:val="24"/>
          <w:szCs w:val="24"/>
          <w:lang w:val="en-US"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2</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现有解决方案的类别与缺陷</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70"/>
        <w:gridCol w:w="1868"/>
        <w:gridCol w:w="5462"/>
      </w:tblGrid>
      <w:tr w14:paraId="0E05D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27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29A0FB91">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方案类别</w:t>
            </w:r>
          </w:p>
        </w:tc>
        <w:tc>
          <w:tcPr>
            <w:tcW w:w="186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1F2A05DD">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代表形态</w:t>
            </w:r>
          </w:p>
        </w:tc>
        <w:tc>
          <w:tcPr>
            <w:tcW w:w="546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77170283">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根本缺陷</w:t>
            </w:r>
          </w:p>
        </w:tc>
      </w:tr>
      <w:tr w14:paraId="1C4D8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27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36C15667">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事后报警类</w:t>
            </w:r>
          </w:p>
        </w:tc>
        <w:tc>
          <w:tcPr>
            <w:tcW w:w="186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7D88293B">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跌倒报警手环、一键呼叫胸牌、智能手表</w:t>
            </w:r>
          </w:p>
        </w:tc>
        <w:tc>
          <w:tcPr>
            <w:tcW w:w="546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2B84370D">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仅在跌倒发生后触发通知，无法阻断冲击，已形成的骨折伤害不可逆；且此类设备的监护属性明显，老年人佩戴意愿低</w:t>
            </w:r>
          </w:p>
        </w:tc>
      </w:tr>
      <w:tr w14:paraId="1C2FF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27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7387BCD6">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环境监测类</w:t>
            </w:r>
          </w:p>
        </w:tc>
        <w:tc>
          <w:tcPr>
            <w:tcW w:w="186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609C79AC">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毫米波雷达、摄像头、智能地垫</w:t>
            </w:r>
          </w:p>
        </w:tc>
        <w:tc>
          <w:tcPr>
            <w:tcW w:w="546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7F8F6B9E">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不随身，仅覆盖固定空间，出门即失效；隐私顾虑显著；部署成本高，难以在居家场景规模化</w:t>
            </w:r>
          </w:p>
        </w:tc>
      </w:tr>
      <w:tr w14:paraId="0332F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27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1EEF4F24">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传统被动防护类</w:t>
            </w:r>
          </w:p>
        </w:tc>
        <w:tc>
          <w:tcPr>
            <w:tcW w:w="186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10F260AB">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海绵髋部保护垫、护髋裤</w:t>
            </w:r>
          </w:p>
        </w:tc>
        <w:tc>
          <w:tcPr>
            <w:tcW w:w="546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636BFB9B">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有防护但无识别，且体积臃肿、闷热、影响活动，长期佩戴依从性极差，实际使用率远低于配发率</w:t>
            </w:r>
          </w:p>
        </w:tc>
      </w:tr>
      <w:tr w14:paraId="48CCF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27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34BF0E96">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国外智能气囊类</w:t>
            </w:r>
          </w:p>
        </w:tc>
        <w:tc>
          <w:tcPr>
            <w:tcW w:w="186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53546EAE">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穿戴式气囊护髋产品</w:t>
            </w:r>
          </w:p>
        </w:tc>
        <w:tc>
          <w:tcPr>
            <w:tcW w:w="546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49C496C9">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方向正确，但识别模型基于西方人群步态训练，对我国老年群体常见的拖步、小碎步、偏瘫步态适配不足，误报率偏高；价格高，且缺乏适配中国社区养老体系的服务方案</w:t>
            </w:r>
          </w:p>
        </w:tc>
      </w:tr>
    </w:tbl>
    <w:p w14:paraId="28B183A3">
      <w:pPr>
        <w:pStyle w:val="4"/>
        <w:keepNext w:val="0"/>
        <w:keepLines w:val="0"/>
        <w:kinsoku/>
        <w:wordWrap/>
        <w:overflowPunct/>
        <w:topLinePunct w:val="0"/>
        <w:autoSpaceDE/>
        <w:autoSpaceDN/>
        <w:bidi w:val="0"/>
        <w:adjustRightInd/>
        <w:snapToGrid/>
        <w:spacing w:line="300" w:lineRule="auto"/>
        <w:textAlignment w:val="auto"/>
      </w:pPr>
      <w:bookmarkStart w:id="46" w:name="_Toc29673"/>
      <w:r>
        <w:rPr>
          <w:rFonts w:hint="eastAsia"/>
        </w:rPr>
        <w:t>三重缺陷的实质</w:t>
      </w:r>
      <w:bookmarkEnd w:id="46"/>
    </w:p>
    <w:p w14:paraId="366FFAD5">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第一重是时点缺陷：干预发生在伤害形成之后。</w:t>
      </w:r>
    </w:p>
    <w:p w14:paraId="3A458716">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第二重是依从性缺陷：有效的产品老人不愿长期佩戴，愿意佩戴的产品没有防护能力。</w:t>
      </w:r>
    </w:p>
    <w:p w14:paraId="78727E04">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第三重是体系缺陷：现有产品都是卖给个人或家庭的孤立设备，没有嵌入社区养老服务体系，因而无人负责运营、无人负责响应、无法形成持续服务。</w:t>
      </w:r>
    </w:p>
    <w:p w14:paraId="1A97B469">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本项目的三层设计正是分别针对这三重缺陷：主动气囊防护解决时点问题，护腰形态与社区激励机制解决依从性问题，社区防跌安全服务模式解决体系问题。</w:t>
      </w:r>
    </w:p>
    <w:p w14:paraId="100A856E">
      <w:pPr>
        <w:pStyle w:val="3"/>
        <w:bidi w:val="0"/>
      </w:pPr>
      <w:bookmarkStart w:id="47" w:name="_Toc13554"/>
      <w:bookmarkStart w:id="48" w:name="_Toc4568"/>
      <w:r>
        <w:rPr>
          <w:rFonts w:hint="eastAsia"/>
        </w:rPr>
        <w:t>2.5项目机会窗口</w:t>
      </w:r>
      <w:bookmarkEnd w:id="47"/>
      <w:bookmarkEnd w:id="48"/>
    </w:p>
    <w:p w14:paraId="0C3FC1B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需求存在与时机成熟是两件事。本节说明为什么现在是切入这一问题的合适时点。技术端的条件已在2.1.4说明，此处不再重复。</w:t>
      </w:r>
    </w:p>
    <w:p w14:paraId="4B15BB41">
      <w:pPr>
        <w:pStyle w:val="4"/>
        <w:keepNext w:val="0"/>
        <w:keepLines w:val="0"/>
        <w:kinsoku/>
        <w:wordWrap/>
        <w:overflowPunct/>
        <w:topLinePunct w:val="0"/>
        <w:autoSpaceDE/>
        <w:autoSpaceDN/>
        <w:bidi w:val="0"/>
        <w:adjustRightInd/>
        <w:snapToGrid/>
        <w:spacing w:line="300" w:lineRule="auto"/>
        <w:textAlignment w:val="auto"/>
      </w:pPr>
      <w:bookmarkStart w:id="49" w:name="_Toc22771"/>
      <w:bookmarkStart w:id="50" w:name="_Toc11498"/>
      <w:r>
        <w:rPr>
          <w:rFonts w:hint="eastAsia"/>
        </w:rPr>
        <w:t>2.5.1政策端：从鼓励产业到建设体系</w:t>
      </w:r>
      <w:bookmarkEnd w:id="49"/>
      <w:bookmarkEnd w:id="50"/>
    </w:p>
    <w:p w14:paraId="05C38A21">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政策重心已从鼓励智慧养老产业发展，转向建设覆盖到社区的养老服务体系。海淀区已建成160家社区养老服务驿站与20家区域养老服务中心，这意味着承接本项目服务模式的基层组织载体已经就位。在没有这类载体的年代，任何面向社区的养老服务方案都只能停留在设想阶段。</w:t>
      </w:r>
    </w:p>
    <w:p w14:paraId="44D5E76F">
      <w:pPr>
        <w:pStyle w:val="4"/>
        <w:keepNext w:val="0"/>
        <w:keepLines w:val="0"/>
        <w:kinsoku/>
        <w:wordWrap/>
        <w:overflowPunct/>
        <w:topLinePunct w:val="0"/>
        <w:autoSpaceDE/>
        <w:autoSpaceDN/>
        <w:bidi w:val="0"/>
        <w:adjustRightInd/>
        <w:snapToGrid/>
        <w:spacing w:line="300" w:lineRule="auto"/>
        <w:textAlignment w:val="auto"/>
      </w:pPr>
      <w:bookmarkStart w:id="51" w:name="_Toc763"/>
      <w:bookmarkStart w:id="52" w:name="_Toc17272"/>
      <w:r>
        <w:rPr>
          <w:rFonts w:hint="eastAsia"/>
        </w:rPr>
        <w:t>2.5.2需求端：老人并不排斥智能设备，门槛在使用体验</w:t>
      </w:r>
      <w:bookmarkEnd w:id="51"/>
      <w:bookmarkEnd w:id="52"/>
    </w:p>
    <w:p w14:paraId="6EC85DB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两项研究共同揭示了一个容易被误判的事实。2018年在兰州对1235名60岁以上老人的面对面调查显示，健康监护可穿戴设备的使用意向为37.89%，而受访者最希望具备的功能恰恰是跌倒报警，占60.00%，高于定位与代谢监测。2025年发表的一项基于2022年全国148个城市、4085名老年人的研究显示，对移动健康设备的使用意愿平均为63.70分，满分100分。</w:t>
      </w:r>
    </w:p>
    <w:p w14:paraId="04789DC5">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两项研究的时间、地区与测量方法不同，不能拼接为接受度上升的时间序列。但它们指向同一个结论：老年人对智能设备的抵触并非源于不理解其价值，而是源于操作门槛、使用体验与是否有明确用处。</w:t>
      </w:r>
    </w:p>
    <w:p w14:paraId="48B0053F">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这对本项目是有利信号。我们的产品在设计上几乎不需要老人操作——佩戴即工作，识别与触发全部自动完成，不要求老人学习任何交互。在这个市场中，功能少而无需操作，可能恰恰是竞争优势而非缺陷。</w:t>
      </w:r>
    </w:p>
    <w:p w14:paraId="7B1A237A">
      <w:pPr>
        <w:pStyle w:val="4"/>
        <w:keepNext w:val="0"/>
        <w:keepLines w:val="0"/>
        <w:kinsoku/>
        <w:wordWrap/>
        <w:overflowPunct/>
        <w:topLinePunct w:val="0"/>
        <w:autoSpaceDE/>
        <w:autoSpaceDN/>
        <w:bidi w:val="0"/>
        <w:adjustRightInd/>
        <w:snapToGrid/>
        <w:spacing w:line="300" w:lineRule="auto"/>
        <w:textAlignment w:val="auto"/>
      </w:pPr>
      <w:bookmarkStart w:id="53" w:name="_Toc14665"/>
      <w:bookmarkStart w:id="54" w:name="_Toc17303"/>
      <w:r>
        <w:rPr>
          <w:rFonts w:hint="eastAsia"/>
        </w:rPr>
        <w:t>2.5.3竞争端：真正的空白在哪里</w:t>
      </w:r>
      <w:bookmarkEnd w:id="53"/>
      <w:bookmarkEnd w:id="54"/>
    </w:p>
    <w:p w14:paraId="58EF2054">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国外已有穿戴式气囊护髋产品，证明了这条技术路径的可行性，但尚未出现适配中国社区养老场景的方案。空白具体存在于三处：面向中国老年步态特征训练的识别模型、可被社区规模化采购的成本区间、以及嵌入基层养老服务体系的服务模式。</w:t>
      </w:r>
    </w:p>
    <w:p w14:paraId="336FE1F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这三处空白共同构成了本项目的机会窗口，其中第三处最为关键——它不是技术问题，因而也不是国外厂商可以通过技术迭代跨越的问题。</w:t>
      </w:r>
    </w:p>
    <w:p w14:paraId="4368AE79">
      <w:pPr>
        <w:pStyle w:val="2"/>
        <w:bidi w:val="0"/>
      </w:pPr>
      <w:bookmarkStart w:id="55" w:name="_Toc18081"/>
      <w:bookmarkStart w:id="56" w:name="_Toc21896"/>
      <w:r>
        <w:rPr>
          <w:rFonts w:hint="eastAsia"/>
        </w:rPr>
        <w:t>产品与技术</w:t>
      </w:r>
      <w:bookmarkEnd w:id="55"/>
      <w:bookmarkEnd w:id="56"/>
    </w:p>
    <w:p w14:paraId="3335FD1C">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本章回答三个问题：我们要做的究竟是什么产品，它凭什么成立，以及我们凭什么是做成它的人。三个问题依次对应产品形态、技术路线与技术资产三个层次。</w:t>
      </w:r>
    </w:p>
    <w:p w14:paraId="4BDB3112">
      <w:pPr>
        <w:pStyle w:val="3"/>
        <w:bidi w:val="0"/>
      </w:pPr>
      <w:bookmarkStart w:id="57" w:name="_Toc18753"/>
      <w:bookmarkStart w:id="58" w:name="_Toc11265"/>
      <w:r>
        <w:rPr>
          <w:rFonts w:hint="eastAsia"/>
        </w:rPr>
        <w:t>3.1产品定位与形态</w:t>
      </w:r>
      <w:bookmarkEnd w:id="57"/>
      <w:bookmarkEnd w:id="58"/>
    </w:p>
    <w:p w14:paraId="54EC4500">
      <w:pPr>
        <w:pStyle w:val="4"/>
        <w:keepNext w:val="0"/>
        <w:keepLines w:val="0"/>
        <w:kinsoku/>
        <w:wordWrap/>
        <w:overflowPunct/>
        <w:topLinePunct w:val="0"/>
        <w:autoSpaceDE/>
        <w:autoSpaceDN/>
        <w:bidi w:val="0"/>
        <w:adjustRightInd/>
        <w:snapToGrid/>
        <w:spacing w:line="300" w:lineRule="auto"/>
        <w:textAlignment w:val="auto"/>
      </w:pPr>
      <w:bookmarkStart w:id="59" w:name="_Toc1627"/>
      <w:bookmarkStart w:id="60" w:name="_Toc17126"/>
      <w:r>
        <w:rPr>
          <w:rFonts w:hint="eastAsia"/>
        </w:rPr>
        <w:t>3.1.1一句话定位</w:t>
      </w:r>
      <w:bookmarkEnd w:id="59"/>
      <w:bookmarkEnd w:id="60"/>
    </w:p>
    <w:p w14:paraId="79BA155A">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安行护腰是一套面向社区居家养老场景的老年主动防跌解决方案：以老年人日常愿意佩戴的护腰为产品形态，融合柔性传感与惯性测量，通过端侧轻量化算法在跌倒触地前识别不可逆失衡并触发腰髋部缓冲气囊；同时将风险数据沉淀为社区级跌倒风险画像，支撑社区养老服务体系开展分级照护与适老化环境改造。</w:t>
      </w:r>
    </w:p>
    <w:p w14:paraId="7059D87C">
      <w:pPr>
        <w:keepNext w:val="0"/>
        <w:keepLines w:val="0"/>
        <w:pageBreakBefore w:val="0"/>
        <w:kinsoku/>
        <w:wordWrap/>
        <w:overflowPunct/>
        <w:topLinePunct w:val="0"/>
        <w:autoSpaceDE/>
        <w:autoSpaceDN/>
        <w:bidi w:val="0"/>
        <w:adjustRightInd/>
        <w:snapToGrid/>
        <w:spacing w:before="120" w:after="20" w:line="300" w:lineRule="auto"/>
        <w:ind w:left="0" w:leftChars="0" w:firstLine="0" w:firstLineChars="0"/>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333625" cy="2333625"/>
            <wp:effectExtent l="0" t="0" r="0" b="0"/>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noChangeArrowheads="1"/>
                    </pic:cNvPicPr>
                  </pic:nvPicPr>
                  <pic:blipFill>
                    <a:blip r:embed="rId18"/>
                    <a:srcRect/>
                    <a:stretch>
                      <a:fillRect/>
                    </a:stretch>
                  </pic:blipFill>
                  <pic:spPr>
                    <a:xfrm>
                      <a:off x="0" y="0"/>
                      <a:ext cx="2333625" cy="2333625"/>
                    </a:xfrm>
                    <a:prstGeom prst="rect">
                      <a:avLst/>
                    </a:prstGeom>
                  </pic:spPr>
                </pic:pic>
              </a:graphicData>
            </a:graphic>
          </wp:inline>
        </w:drawing>
      </w:r>
      <w:r>
        <w:rPr>
          <w:color w:val="000000" w:themeColor="text1"/>
          <w14:textFill>
            <w14:solidFill>
              <w14:schemeClr w14:val="tx1"/>
            </w14:solidFill>
          </w14:textFill>
        </w:rPr>
        <w:drawing>
          <wp:inline distT="0" distB="0" distL="0" distR="0">
            <wp:extent cx="2333625" cy="2333625"/>
            <wp:effectExtent l="0" t="0" r="0" b="0"/>
            <wp:docPr id="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
                    <pic:cNvPicPr>
                      <a:picLocks noChangeAspect="1" noChangeArrowheads="1"/>
                    </pic:cNvPicPr>
                  </pic:nvPicPr>
                  <pic:blipFill>
                    <a:blip r:embed="rId19"/>
                    <a:srcRect/>
                    <a:stretch>
                      <a:fillRect/>
                    </a:stretch>
                  </pic:blipFill>
                  <pic:spPr>
                    <a:xfrm>
                      <a:off x="0" y="0"/>
                      <a:ext cx="2333625" cy="2333625"/>
                    </a:xfrm>
                    <a:prstGeom prst="rect">
                      <a:avLst/>
                    </a:prstGeom>
                  </pic:spPr>
                </pic:pic>
              </a:graphicData>
            </a:graphic>
          </wp:inline>
        </w:drawing>
      </w:r>
    </w:p>
    <w:p w14:paraId="49F5E1CC">
      <w:pPr>
        <w:keepNext w:val="0"/>
        <w:keepLines w:val="0"/>
        <w:pageBreakBefore w:val="0"/>
        <w:kinsoku/>
        <w:wordWrap/>
        <w:overflowPunct/>
        <w:topLinePunct w:val="0"/>
        <w:autoSpaceDE/>
        <w:autoSpaceDN/>
        <w:bidi w:val="0"/>
        <w:adjustRightInd/>
        <w:snapToGrid/>
        <w:spacing w:before="20" w:after="20" w:line="300" w:lineRule="auto"/>
        <w:ind w:left="0" w:leftChars="0" w:firstLine="0" w:firstLineChars="0"/>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355215" cy="1527175"/>
            <wp:effectExtent l="0" t="0" r="6985" b="6350"/>
            <wp:docPr id="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pic:cNvPicPr>
                      <a:picLocks noChangeAspect="1" noChangeArrowheads="1"/>
                    </pic:cNvPicPr>
                  </pic:nvPicPr>
                  <pic:blipFill>
                    <a:blip r:embed="rId20"/>
                    <a:srcRect/>
                    <a:stretch>
                      <a:fillRect/>
                    </a:stretch>
                  </pic:blipFill>
                  <pic:spPr>
                    <a:xfrm>
                      <a:off x="0" y="0"/>
                      <a:ext cx="2355215" cy="1527175"/>
                    </a:xfrm>
                    <a:prstGeom prst="rect">
                      <a:avLst/>
                    </a:prstGeom>
                  </pic:spPr>
                </pic:pic>
              </a:graphicData>
            </a:graphic>
          </wp:inline>
        </w:drawing>
      </w:r>
      <w:r>
        <w:rPr>
          <w:color w:val="000000" w:themeColor="text1"/>
          <w14:textFill>
            <w14:solidFill>
              <w14:schemeClr w14:val="tx1"/>
            </w14:solidFill>
          </w14:textFill>
        </w:rPr>
        <w:drawing>
          <wp:inline distT="0" distB="0" distL="0" distR="0">
            <wp:extent cx="2333625" cy="1517650"/>
            <wp:effectExtent l="0" t="0" r="0" b="6350"/>
            <wp:docPr id="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4"/>
                    <pic:cNvPicPr>
                      <a:picLocks noChangeAspect="1" noChangeArrowheads="1"/>
                    </pic:cNvPicPr>
                  </pic:nvPicPr>
                  <pic:blipFill>
                    <a:blip r:embed="rId21"/>
                    <a:srcRect/>
                    <a:stretch>
                      <a:fillRect/>
                    </a:stretch>
                  </pic:blipFill>
                  <pic:spPr>
                    <a:xfrm>
                      <a:off x="0" y="0"/>
                      <a:ext cx="2333625" cy="1517650"/>
                    </a:xfrm>
                    <a:prstGeom prst="rect">
                      <a:avLst/>
                    </a:prstGeom>
                  </pic:spPr>
                </pic:pic>
              </a:graphicData>
            </a:graphic>
          </wp:inline>
        </w:drawing>
      </w:r>
    </w:p>
    <w:p w14:paraId="1C575D4B">
      <w:pPr>
        <w:pStyle w:val="8"/>
        <w:keepNext w:val="0"/>
        <w:keepLines w:val="0"/>
        <w:pageBreakBefore w:val="0"/>
        <w:kinsoku/>
        <w:wordWrap/>
        <w:overflowPunct/>
        <w:topLinePunct w:val="0"/>
        <w:autoSpaceDE/>
        <w:autoSpaceDN/>
        <w:bidi w:val="0"/>
        <w:adjustRightInd/>
        <w:snapToGrid/>
        <w:spacing w:before="20" w:after="20" w:line="300" w:lineRule="auto"/>
        <w:ind w:left="0" w:leftChars="0" w:firstLine="0" w:firstLineChars="0"/>
        <w:jc w:val="center"/>
        <w:textAlignment w:val="auto"/>
        <w:rPr>
          <w:color w:val="000000" w:themeColor="text1"/>
          <w14:textFill>
            <w14:solidFill>
              <w14:schemeClr w14:val="tx1"/>
            </w14:solidFill>
          </w14:textFill>
        </w:rPr>
      </w:pPr>
      <w:r>
        <w:rPr>
          <w:rFonts w:hint="eastAsia"/>
        </w:rP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rPr>
          <w:rFonts w:hint="eastAsia"/>
        </w:rPr>
        <w:instrText xml:space="preserve"> SEQ 图 \* ARABIC \s 1 </w:instrText>
      </w:r>
      <w:r>
        <w:fldChar w:fldCharType="separate"/>
      </w:r>
      <w:r>
        <w:t>1</w:t>
      </w:r>
      <w:r>
        <w:fldChar w:fldCharType="end"/>
      </w:r>
      <w:r>
        <w:rPr>
          <w:rFonts w:hint="eastAsia" w:ascii="黑体" w:hAnsi="黑体" w:eastAsia="黑体" w:cs="黑体"/>
          <w:color w:val="000000" w:themeColor="text1"/>
          <w:sz w:val="21"/>
          <w:szCs w:val="21"/>
          <w14:textFill>
            <w14:solidFill>
              <w14:schemeClr w14:val="tx1"/>
            </w14:solidFill>
          </w14:textFill>
        </w:rPr>
        <w:t>安行护腰产品形态（气囊展开状态图、穿戴正面图、展开图</w:t>
      </w:r>
      <w:r>
        <w:rPr>
          <w:rFonts w:hint="eastAsia" w:ascii="黑体" w:hAnsi="黑体" w:cs="黑体"/>
          <w:color w:val="000000" w:themeColor="text1"/>
          <w:sz w:val="21"/>
          <w:szCs w:val="21"/>
          <w:lang w:eastAsia="zh-CN"/>
          <w14:textFill>
            <w14:solidFill>
              <w14:schemeClr w14:val="tx1"/>
            </w14:solidFill>
          </w14:textFill>
        </w:rPr>
        <w:t>、</w:t>
      </w:r>
      <w:r>
        <w:rPr>
          <w:rFonts w:hint="eastAsia" w:ascii="黑体" w:hAnsi="黑体" w:eastAsia="黑体" w:cs="黑体"/>
          <w:color w:val="000000" w:themeColor="text1"/>
          <w:sz w:val="21"/>
          <w:szCs w:val="21"/>
          <w14:textFill>
            <w14:solidFill>
              <w14:schemeClr w14:val="tx1"/>
            </w14:solidFill>
          </w14:textFill>
        </w:rPr>
        <w:t>内部剖面图）</w:t>
      </w:r>
    </w:p>
    <w:p w14:paraId="6C1071CF">
      <w:pPr>
        <w:pStyle w:val="4"/>
        <w:keepNext w:val="0"/>
        <w:keepLines w:val="0"/>
        <w:kinsoku/>
        <w:wordWrap/>
        <w:overflowPunct/>
        <w:topLinePunct w:val="0"/>
        <w:autoSpaceDE/>
        <w:autoSpaceDN/>
        <w:bidi w:val="0"/>
        <w:adjustRightInd/>
        <w:snapToGrid/>
        <w:spacing w:line="300" w:lineRule="auto"/>
        <w:textAlignment w:val="auto"/>
      </w:pPr>
      <w:bookmarkStart w:id="61" w:name="_Toc5647"/>
      <w:bookmarkStart w:id="62" w:name="_Toc3321"/>
      <w:r>
        <w:rPr>
          <w:rFonts w:hint="eastAsia"/>
        </w:rPr>
        <w:t>3.1.2为什么是护腰而不是护髋裤</w:t>
      </w:r>
      <w:bookmarkEnd w:id="61"/>
      <w:bookmarkEnd w:id="62"/>
    </w:p>
    <w:p w14:paraId="56DA04E2">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产品在技术上以髋部大转子区域的主动缓冲防护为核心目标，形态上却选择护腰作为载体。这一选择不是妥协，而是团队在社区一线调研后作出的产品决策。</w:t>
      </w:r>
    </w:p>
    <w:p w14:paraId="1C39EDE0">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防跌产品的第一道门槛不是技术，而是佩戴率。一件防护效果再好的装备，若老人不愿意每天穿在身上，其真实防护效能为零。我们在颐清园养老社区的走访中反复观察到同一现象：老年群体对任何带有监护设备、病患用品标签的产品都存在明确的心理抵触，而护腰是他们本就熟悉、甚至主动购买的日常护具。</w:t>
      </w:r>
    </w:p>
    <w:p w14:paraId="46BC14F3">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护腰形态因此带来两重价值。其一，它消解了佩戴时的病患感与被监视感。其二，护腰本身具备腰部支撑的物理功能，使产品在未触发防护的绝大多数时间里仍对用户有实际价值——用户不是为了有一天可能摔倒而佩戴，而是为了今天腰舒服一点而佩戴，防护是附带获得的。</w:t>
      </w:r>
    </w:p>
    <w:p w14:paraId="25510B2B">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品牌释义（对外统一表述）</w:t>
      </w:r>
    </w:p>
    <w:p w14:paraId="0FE51ED6">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安行护腰取安然行走、护住腰髋之意：技术目标在髋，产品形态在腰，二者统一于让老人愿意每天戴着它安心走路这一根本目标。</w:t>
      </w:r>
    </w:p>
    <w:p w14:paraId="0606EEBF">
      <w:pPr>
        <w:pStyle w:val="4"/>
        <w:keepNext w:val="0"/>
        <w:keepLines w:val="0"/>
        <w:kinsoku/>
        <w:wordWrap/>
        <w:overflowPunct/>
        <w:topLinePunct w:val="0"/>
        <w:autoSpaceDE/>
        <w:autoSpaceDN/>
        <w:bidi w:val="0"/>
        <w:adjustRightInd/>
        <w:snapToGrid/>
        <w:spacing w:line="300" w:lineRule="auto"/>
        <w:textAlignment w:val="auto"/>
      </w:pPr>
      <w:bookmarkStart w:id="63" w:name="_Toc4123"/>
      <w:bookmarkStart w:id="64" w:name="_Toc10596"/>
      <w:r>
        <w:rPr>
          <w:rFonts w:hint="eastAsia"/>
        </w:rPr>
        <w:t>3.1.3防护部位的确定</w:t>
      </w:r>
      <w:bookmarkEnd w:id="63"/>
      <w:bookmarkEnd w:id="64"/>
    </w:p>
    <w:p w14:paraId="2E58E31E">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穿戴式主动防护装置的可展开体积、重量与成本三者相互制约，因此在产品定义阶段必须先回答一个问题：把有限的防护能力投向身体的哪个部位。本项目一期确定的防护范围是髋部大转子区域与腰骶部，这一范围由三项依据共同界定。</w:t>
      </w:r>
    </w:p>
    <w:p w14:paraId="4E6DC9CA">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依据一：伤害后果的严重程度差异。</w:t>
      </w:r>
      <w:r>
        <w:rPr>
          <w:rFonts w:hint="eastAsia" w:ascii="宋体" w:hAnsi="宋体" w:eastAsia="宋体" w:cs="宋体"/>
          <w:b w:val="0"/>
          <w:bCs w:val="0"/>
          <w:color w:val="000000" w:themeColor="text1"/>
          <w:sz w:val="24"/>
          <w:szCs w:val="24"/>
          <w14:textFill>
            <w14:solidFill>
              <w14:schemeClr w14:val="tx1"/>
            </w14:solidFill>
          </w14:textFill>
        </w:rPr>
        <w:t>按六地区21084名社区老年人的加权调查，跌倒伤害的类型分布为擦伤挫伤70.1%、手臂骨折10.0%、头部受伤7.0%、股骨头骨折4.6%、髋部骨折2.4%。就发生比例而言，髋部相关骨折（髋部骨折与股骨头骨折合计7.0%）并不突出。真正拉开差距的是后果：我国每年老年人跌倒导致的髋部骨折新发病例超过100万例，骨折后6个月死亡率约10%至20%，1年死亡率高达20%至30%，存活者中约50%致残、约35%无法恢复独立行走、25%需要长期家庭护理。其余部位的损伤以软组织损伤与四肢骨折为主，绝大多数可以康复，不构成同等量级的不可逆后果。</w:t>
      </w:r>
    </w:p>
    <w:p w14:paraId="62EA19C0">
      <w:pPr>
        <w:pStyle w:val="8"/>
        <w:keepNext/>
        <w:ind w:left="0" w:leftChars="0" w:firstLine="0" w:firstLineChars="0"/>
        <w:jc w:val="center"/>
        <w:rPr>
          <w:rFonts w:hint="eastAsia" w:ascii="黑体" w:hAnsi="黑体" w:eastAsia="黑体" w:cs="黑体"/>
          <w:sz w:val="24"/>
          <w:szCs w:val="24"/>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老年跌倒伤害类型分布与后果性质</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39"/>
        <w:gridCol w:w="946"/>
        <w:gridCol w:w="6015"/>
      </w:tblGrid>
      <w:tr w14:paraId="6F9B7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639"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50718C7E">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伤害类型</w:t>
            </w:r>
          </w:p>
        </w:tc>
        <w:tc>
          <w:tcPr>
            <w:tcW w:w="94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2481B55D">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占比</w:t>
            </w:r>
          </w:p>
        </w:tc>
        <w:tc>
          <w:tcPr>
            <w:tcW w:w="6015"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14550FE4">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后果性质</w:t>
            </w:r>
          </w:p>
        </w:tc>
      </w:tr>
      <w:tr w14:paraId="6181E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639"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53F79E68">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擦伤挫伤</w:t>
            </w:r>
          </w:p>
        </w:tc>
        <w:tc>
          <w:tcPr>
            <w:tcW w:w="94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35DE50C6">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70.1%</w:t>
            </w:r>
          </w:p>
        </w:tc>
        <w:tc>
          <w:tcPr>
            <w:tcW w:w="6015"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06D65E2F">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轻度软组织损伤，一般可自行恢复</w:t>
            </w:r>
          </w:p>
        </w:tc>
      </w:tr>
      <w:tr w14:paraId="180E0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639"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6802ECF3">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手臂骨折</w:t>
            </w:r>
          </w:p>
        </w:tc>
        <w:tc>
          <w:tcPr>
            <w:tcW w:w="94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4266B9FB">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10.0%</w:t>
            </w:r>
          </w:p>
        </w:tc>
        <w:tc>
          <w:tcPr>
            <w:tcW w:w="6015"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3EBED590">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可康复，极少致残或致死</w:t>
            </w:r>
          </w:p>
        </w:tc>
      </w:tr>
      <w:tr w14:paraId="188AA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639"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57A268D7">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头部受伤</w:t>
            </w:r>
          </w:p>
        </w:tc>
        <w:tc>
          <w:tcPr>
            <w:tcW w:w="94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507F2C33">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7.0%</w:t>
            </w:r>
          </w:p>
        </w:tc>
        <w:tc>
          <w:tcPr>
            <w:tcW w:w="6015"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7E8C24C3">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以轻度损伤为主，重度颅脑损伤为少数</w:t>
            </w:r>
          </w:p>
        </w:tc>
      </w:tr>
      <w:tr w14:paraId="3AD3C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639"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77713FC9">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股骨头骨折</w:t>
            </w:r>
          </w:p>
        </w:tc>
        <w:tc>
          <w:tcPr>
            <w:tcW w:w="94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4489AC68">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4.6%</w:t>
            </w:r>
          </w:p>
        </w:tc>
        <w:tc>
          <w:tcPr>
            <w:tcW w:w="6015"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2F3E85D5">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髋部相关骨折，后果严重</w:t>
            </w:r>
          </w:p>
        </w:tc>
      </w:tr>
      <w:tr w14:paraId="64CDF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639"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5B1A0901">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髋部骨折</w:t>
            </w:r>
          </w:p>
        </w:tc>
        <w:tc>
          <w:tcPr>
            <w:tcW w:w="94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71B1841B">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2.4%</w:t>
            </w:r>
          </w:p>
        </w:tc>
        <w:tc>
          <w:tcPr>
            <w:tcW w:w="6015"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1558629A">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髋部相关骨折，1年死亡率20%至30%，约50%致残</w:t>
            </w:r>
          </w:p>
        </w:tc>
      </w:tr>
    </w:tbl>
    <w:p w14:paraId="28E2FF8F">
      <w:pPr>
        <w:keepNext w:val="0"/>
        <w:keepLines w:val="0"/>
        <w:pageBreakBefore w:val="0"/>
        <w:kinsoku/>
        <w:wordWrap/>
        <w:overflowPunct/>
        <w:topLinePunct w:val="0"/>
        <w:autoSpaceDE/>
        <w:autoSpaceDN/>
        <w:bidi w:val="0"/>
        <w:adjustRightInd/>
        <w:snapToGrid/>
        <w:spacing w:before="60" w:after="200" w:line="300" w:lineRule="auto"/>
        <w:jc w:val="center"/>
        <w:textAlignment w:val="auto"/>
        <w:rPr>
          <w:color w:val="000000" w:themeColor="text1"/>
          <w14:textFill>
            <w14:solidFill>
              <w14:schemeClr w14:val="tx1"/>
            </w14:solidFill>
          </w14:textFill>
        </w:rPr>
      </w:pPr>
    </w:p>
    <w:p w14:paraId="03ADEB65">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依据二：不同部位的可防护程度不同。</w:t>
      </w:r>
      <w:r>
        <w:rPr>
          <w:rFonts w:hint="eastAsia" w:ascii="宋体" w:hAnsi="宋体" w:eastAsia="宋体" w:cs="宋体"/>
          <w:b w:val="0"/>
          <w:bCs w:val="0"/>
          <w:color w:val="000000" w:themeColor="text1"/>
          <w:sz w:val="24"/>
          <w:szCs w:val="24"/>
          <w14:textFill>
            <w14:solidFill>
              <w14:schemeClr w14:val="tx1"/>
            </w14:solidFill>
          </w14:textFill>
        </w:rPr>
        <w:t>髋部具备一项其他部位不具备的特性——着地位置高度可预测。侧向跌倒时，人体的着地点稳定落在大转子区域，位置偏移范围有限，因而小体积气囊即可实现可靠覆盖。头部与上肢则不同：跌倒过程中头部的运动轨迹与最终着地点受跌倒方向、身体姿态、本能保护动作的影响而变化极大，同等体积的气囊无法保证在正确的位置和时刻完成展开。这也是骑行与马术防护领域的通行做法——头部由头盔以被动方式防护，气囊装置则集中防护躯干与髋部，即便做到颈部亦止于护圈形态。腰骶部之所以一并纳入，是因为向后跌倒时该区域着地同样位置固定，且完全处于护腰的既有覆盖范围之内，纳入防护不增加额外的结构负担。</w:t>
      </w:r>
    </w:p>
    <w:p w14:paraId="165B337A">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依据三：防护范围与佩戴意愿之间存在真实取舍。</w:t>
      </w:r>
      <w:r>
        <w:rPr>
          <w:rFonts w:hint="eastAsia" w:ascii="宋体" w:hAnsi="宋体" w:eastAsia="宋体" w:cs="宋体"/>
          <w:b w:val="0"/>
          <w:bCs w:val="0"/>
          <w:color w:val="000000" w:themeColor="text1"/>
          <w:sz w:val="24"/>
          <w:szCs w:val="24"/>
          <w14:textFill>
            <w14:solidFill>
              <w14:schemeClr w14:val="tx1"/>
            </w14:solidFill>
          </w14:textFill>
        </w:rPr>
        <w:t>243份问卷显示，能够提高使用意愿的因素中，穿着轻便舒适以53.9%位列第二，仅次于跌倒时能够提供保护的56.4%；而在明确表示不愿尝试防护产品的受访者中，不舒服占52.0%、穿戴麻烦占28.0%。扩大防护范围意味着气囊容积、储气量与整机重量同步增加，按本项目的结构测算，防护范围由腰髋扩展至背颈将使气体需求增至约三倍、整机重量接近翻倍。这一代价直接作用于排名第二的购买驱动因素之上。对一款依靠长期佩戴才能生效的产品而言，佩戴意愿的损失会转化为防护效能的损失。</w:t>
      </w:r>
    </w:p>
    <w:p w14:paraId="18B7273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三项依据指向同一个结论：在一期的资源与体积约束下，把防护能力集中于后果最不可逆、且物理上最可被可靠覆盖的部位，是效能最高的配置方式。更大范围的防护并非不可实现，其技术路径与分代安排见3.2.4。</w:t>
      </w:r>
    </w:p>
    <w:p w14:paraId="11208CFE">
      <w:pPr>
        <w:pStyle w:val="4"/>
        <w:keepNext w:val="0"/>
        <w:keepLines w:val="0"/>
        <w:kinsoku/>
        <w:wordWrap/>
        <w:overflowPunct/>
        <w:topLinePunct w:val="0"/>
        <w:autoSpaceDE/>
        <w:autoSpaceDN/>
        <w:bidi w:val="0"/>
        <w:adjustRightInd/>
        <w:snapToGrid/>
        <w:spacing w:line="300" w:lineRule="auto"/>
        <w:textAlignment w:val="auto"/>
      </w:pPr>
      <w:bookmarkStart w:id="65" w:name="_Toc22062"/>
      <w:bookmarkStart w:id="66" w:name="_Toc17706"/>
      <w:r>
        <w:rPr>
          <w:rFonts w:hint="eastAsia"/>
        </w:rPr>
        <w:t>3.1.4产品属性与合规定位</w:t>
      </w:r>
      <w:bookmarkEnd w:id="65"/>
      <w:bookmarkEnd w:id="66"/>
    </w:p>
    <w:p w14:paraId="0A784D2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产品按个人防护用品、普通消费品定位，核心价值为物理防护与应急响应，不作任何医疗诊断、治疗或疾病预测声明，现阶段不申报医疗器械注册。未来若拓展至医疗机构采购场景，将另行开展器械分类界定与注册路径评估。相关边界的完整说明见第八章。</w:t>
      </w:r>
    </w:p>
    <w:p w14:paraId="29D12604">
      <w:pPr>
        <w:pStyle w:val="3"/>
        <w:bidi w:val="0"/>
      </w:pPr>
      <w:bookmarkStart w:id="67" w:name="_Toc6208"/>
      <w:bookmarkStart w:id="68" w:name="_Toc15352"/>
      <w:r>
        <w:rPr>
          <w:rFonts w:hint="eastAsia"/>
        </w:rPr>
        <w:t>3.2一期核心功能</w:t>
      </w:r>
      <w:bookmarkEnd w:id="67"/>
      <w:bookmarkEnd w:id="68"/>
    </w:p>
    <w:p w14:paraId="4CD0C434">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一期只做一件事：把跌倒发生瞬间的物理伤害降下来。围绕这一目标，产品有且只有一个核心卖点，其余功能均为闭环的必要环节，不并列为卖点。</w:t>
      </w:r>
    </w:p>
    <w:p w14:paraId="6D35F303">
      <w:pPr>
        <w:pStyle w:val="4"/>
        <w:keepNext w:val="0"/>
        <w:keepLines w:val="0"/>
        <w:kinsoku/>
        <w:wordWrap/>
        <w:overflowPunct/>
        <w:topLinePunct w:val="0"/>
        <w:autoSpaceDE/>
        <w:autoSpaceDN/>
        <w:bidi w:val="0"/>
        <w:adjustRightInd/>
        <w:snapToGrid/>
        <w:spacing w:line="300" w:lineRule="auto"/>
        <w:textAlignment w:val="auto"/>
      </w:pPr>
      <w:bookmarkStart w:id="69" w:name="_Toc16989"/>
      <w:bookmarkStart w:id="70" w:name="_Toc24993"/>
      <w:r>
        <w:rPr>
          <w:rFonts w:hint="eastAsia"/>
        </w:rPr>
        <w:t>3.2.1核心卖点：临跌倒风险识别与主动气囊缓冲防护</w:t>
      </w:r>
      <w:bookmarkEnd w:id="69"/>
      <w:bookmarkEnd w:id="70"/>
    </w:p>
    <w:p w14:paraId="50E68C47">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识别环节。分布于腰髋区域的柔性传感阵列采集织物形变、压力分布与冲击信号，惯性测量单元同步提供三轴加速度、角速度与姿态角。二者构成的多模态特征向量输入部署于主控端的轻量化神经网络，实时判别当前运动状态属于安全、预警、触发三类中的哪一类。算法的核心任务不是检测跌倒，而是在重心发生不可逆偏移的瞬间，把它与坐下、弯腰、转身、快走这些形态相似的日常动作区分开。</w:t>
      </w:r>
    </w:p>
    <w:p w14:paraId="75D8FFA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防护环节。模型输出触发标签并连续多帧保持该判断后，控制单元开启电磁快速阀，由预存压力的储气罐驱动嵌于护腰夹层的气囊展开，在着地前完成对双侧大转子区域与腰骶部的覆盖，削减落地冲击峰值。防护动作发生在伤害形成之前，这是本项目与市面全部事后响应型产品的根本分野。</w:t>
      </w:r>
    </w:p>
    <w:p w14:paraId="47C2FC9A">
      <w:pPr>
        <w:pStyle w:val="4"/>
        <w:keepNext w:val="0"/>
        <w:keepLines w:val="0"/>
        <w:kinsoku/>
        <w:wordWrap/>
        <w:overflowPunct/>
        <w:topLinePunct w:val="0"/>
        <w:autoSpaceDE/>
        <w:autoSpaceDN/>
        <w:bidi w:val="0"/>
        <w:adjustRightInd/>
        <w:snapToGrid/>
        <w:spacing w:line="300" w:lineRule="auto"/>
        <w:textAlignment w:val="auto"/>
      </w:pPr>
      <w:bookmarkStart w:id="71" w:name="_Toc11130"/>
      <w:bookmarkStart w:id="72" w:name="_Toc22816"/>
      <w:r>
        <w:rPr>
          <w:rFonts w:hint="eastAsia"/>
        </w:rPr>
        <w:t>3.2.2闭环收尾：跌倒后协同响应</w:t>
      </w:r>
      <w:bookmarkEnd w:id="71"/>
      <w:bookmarkEnd w:id="72"/>
    </w:p>
    <w:p w14:paraId="6A4DAFDC">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气囊触发后，设备启动本地声光报警，并经低功耗蓝牙连接手机端，向家属与社区网格员双通道推送事件与位置信息。这一环节是服务闭环的必要收尾，但不列为差异化卖点——市面上的事后报警类产品已普遍具备该能力，本项目在此处并无领先。双通道设计的依据是独居老人的子女往往不在本地，仅推送给子女无法保证有人及时到场。</w:t>
      </w:r>
    </w:p>
    <w:p w14:paraId="6FF66DD6">
      <w:pPr>
        <w:pStyle w:val="4"/>
        <w:keepNext w:val="0"/>
        <w:keepLines w:val="0"/>
        <w:kinsoku/>
        <w:wordWrap/>
        <w:overflowPunct/>
        <w:topLinePunct w:val="0"/>
        <w:autoSpaceDE/>
        <w:autoSpaceDN/>
        <w:bidi w:val="0"/>
        <w:adjustRightInd/>
        <w:snapToGrid/>
        <w:spacing w:line="300" w:lineRule="auto"/>
        <w:textAlignment w:val="auto"/>
      </w:pPr>
      <w:bookmarkStart w:id="73" w:name="_Toc20594"/>
      <w:bookmarkStart w:id="74" w:name="_Toc25891"/>
      <w:r>
        <w:rPr>
          <w:rFonts w:hint="eastAsia"/>
        </w:rPr>
        <w:t>3.2.3依从性设计</w:t>
      </w:r>
      <w:bookmarkEnd w:id="73"/>
      <w:bookmarkEnd w:id="74"/>
    </w:p>
    <w:p w14:paraId="779FAD21">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护腰本体提供日常腰部物理支撑，设备同时具备久坐提醒功能。这两项不作为独立功能宣传，其作用在于给出老人每天主动佩戴的理由——产品的防护能力只有在被佩戴时才存在。</w:t>
      </w:r>
    </w:p>
    <w:p w14:paraId="0D06A330">
      <w:pPr>
        <w:pStyle w:val="4"/>
        <w:keepNext w:val="0"/>
        <w:keepLines w:val="0"/>
        <w:kinsoku/>
        <w:wordWrap/>
        <w:overflowPunct/>
        <w:topLinePunct w:val="0"/>
        <w:autoSpaceDE/>
        <w:autoSpaceDN/>
        <w:bidi w:val="0"/>
        <w:adjustRightInd/>
        <w:snapToGrid/>
        <w:spacing w:line="300" w:lineRule="auto"/>
        <w:textAlignment w:val="auto"/>
      </w:pPr>
      <w:bookmarkStart w:id="75" w:name="_Toc15504"/>
      <w:bookmarkStart w:id="76" w:name="_Toc9669"/>
      <w:r>
        <w:rPr>
          <w:rFonts w:hint="eastAsia"/>
        </w:rPr>
        <w:t>3.2.4功能边界与分代规划</w:t>
      </w:r>
      <w:bookmarkEnd w:id="75"/>
      <w:bookmarkEnd w:id="76"/>
    </w:p>
    <w:p w14:paraId="10485B8F">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一期明确不做的功能包括：电刺激理疗、热敷与振动干预，以及基于步态的中风、认知障碍等疾病风险预警。前者属医疗干预行为，后者属疾病预测，均超出个人防护用品的定位，完整理由见第八章表8-4。</w:t>
      </w:r>
    </w:p>
    <w:p w14:paraId="2A72503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在防护范围上，本项目按能力成熟度分代推进。</w:t>
      </w:r>
    </w:p>
    <w:p w14:paraId="38E71E72">
      <w:pPr>
        <w:pStyle w:val="8"/>
        <w:keepNext/>
        <w:ind w:left="0" w:leftChars="0" w:firstLine="0" w:firstLineChars="0"/>
        <w:jc w:val="center"/>
        <w:rPr>
          <w:rFonts w:hint="eastAsia" w:ascii="黑体" w:hAnsi="黑体" w:eastAsia="黑体" w:cs="黑体"/>
          <w:sz w:val="24"/>
          <w:szCs w:val="24"/>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2</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防护范围的分代规划</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8"/>
        <w:gridCol w:w="4573"/>
        <w:gridCol w:w="2769"/>
      </w:tblGrid>
      <w:tr w14:paraId="5584F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25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3F9D5563">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阶段</w:t>
            </w:r>
          </w:p>
        </w:tc>
        <w:tc>
          <w:tcPr>
            <w:tcW w:w="4573"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2785C440">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防护范围</w:t>
            </w:r>
          </w:p>
        </w:tc>
        <w:tc>
          <w:tcPr>
            <w:tcW w:w="2769"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18FCF3F9">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进入条件</w:t>
            </w:r>
          </w:p>
        </w:tc>
      </w:tr>
      <w:tr w14:paraId="5438F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25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18CF4B0E">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一期</w:t>
            </w:r>
          </w:p>
        </w:tc>
        <w:tc>
          <w:tcPr>
            <w:tcW w:w="4573"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6164FD6B">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双侧髋部大转子+腰骶部，护腰形态</w:t>
            </w:r>
          </w:p>
        </w:tc>
        <w:tc>
          <w:tcPr>
            <w:tcW w:w="2769"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1BC40BB1">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当前阶段</w:t>
            </w:r>
          </w:p>
        </w:tc>
      </w:tr>
      <w:tr w14:paraId="273B2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25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2144AB17">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二代</w:t>
            </w:r>
          </w:p>
        </w:tc>
        <w:tc>
          <w:tcPr>
            <w:tcW w:w="4573"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37335FF4">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在一期基础上评估增加肩部与上肢防护。跌倒时本能撑手导致的手臂骨折占伤害类型的10.0%，是仅次于软组织损伤的高发类型</w:t>
            </w:r>
          </w:p>
        </w:tc>
        <w:tc>
          <w:tcPr>
            <w:tcW w:w="2769"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4304402E">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一期触发可靠性完成实测验证，且气源与结构的轻量化取得进展</w:t>
            </w:r>
          </w:p>
        </w:tc>
      </w:tr>
      <w:tr w14:paraId="7E507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25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32720E8B">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独立产品线</w:t>
            </w:r>
          </w:p>
        </w:tc>
        <w:tc>
          <w:tcPr>
            <w:tcW w:w="4573"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4ECD5285">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躯干与头颈部防护。该方向的触发时序、展开方向与佩戴形态均与护腰形态不兼容，需按马甲类形态独立开发，面向已有骨折史或重度失衡的更高风险人群</w:t>
            </w:r>
          </w:p>
        </w:tc>
        <w:tc>
          <w:tcPr>
            <w:tcW w:w="2769"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5EE59E80">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一期与二代在社区场景中验证成立，且具备承担更高成本与更重形态的目标客群</w:t>
            </w:r>
          </w:p>
        </w:tc>
      </w:tr>
    </w:tbl>
    <w:p w14:paraId="084E4F10">
      <w:pPr>
        <w:keepNext w:val="0"/>
        <w:keepLines w:val="0"/>
        <w:pageBreakBefore w:val="0"/>
        <w:kinsoku/>
        <w:wordWrap/>
        <w:overflowPunct/>
        <w:topLinePunct w:val="0"/>
        <w:autoSpaceDE/>
        <w:autoSpaceDN/>
        <w:bidi w:val="0"/>
        <w:adjustRightInd/>
        <w:snapToGrid/>
        <w:spacing w:before="60" w:after="200" w:line="300" w:lineRule="auto"/>
        <w:jc w:val="center"/>
        <w:textAlignment w:val="auto"/>
        <w:rPr>
          <w:color w:val="000000" w:themeColor="text1"/>
          <w14:textFill>
            <w14:solidFill>
              <w14:schemeClr w14:val="tx1"/>
            </w14:solidFill>
          </w14:textFill>
        </w:rPr>
      </w:pPr>
    </w:p>
    <w:p w14:paraId="430B74D9">
      <w:pPr>
        <w:pStyle w:val="3"/>
        <w:bidi w:val="0"/>
      </w:pPr>
      <w:bookmarkStart w:id="77" w:name="_Toc16717"/>
      <w:bookmarkStart w:id="78" w:name="_Toc13140"/>
      <w:r>
        <w:rPr>
          <w:rFonts w:hint="eastAsia"/>
        </w:rPr>
        <w:t>3.3配套软件与服务平台</w:t>
      </w:r>
      <w:bookmarkEnd w:id="77"/>
      <w:bookmarkEnd w:id="78"/>
    </w:p>
    <w:p w14:paraId="7623AC64">
      <w:pPr>
        <w:pStyle w:val="4"/>
        <w:keepNext w:val="0"/>
        <w:keepLines w:val="0"/>
        <w:kinsoku/>
        <w:wordWrap/>
        <w:overflowPunct/>
        <w:topLinePunct w:val="0"/>
        <w:autoSpaceDE/>
        <w:autoSpaceDN/>
        <w:bidi w:val="0"/>
        <w:adjustRightInd/>
        <w:snapToGrid/>
        <w:spacing w:line="300" w:lineRule="auto"/>
        <w:textAlignment w:val="auto"/>
      </w:pPr>
      <w:bookmarkStart w:id="79" w:name="_Toc31000"/>
      <w:bookmarkStart w:id="80" w:name="_Toc29729"/>
      <w:r>
        <w:rPr>
          <w:rFonts w:hint="eastAsia"/>
        </w:rPr>
        <w:t>3.3.1软件在产品体系中的位置</w:t>
      </w:r>
      <w:bookmarkEnd w:id="79"/>
      <w:bookmarkEnd w:id="80"/>
    </w:p>
    <w:p w14:paraId="358F311A">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配套软件不是产品的第二个卖点，而是把硬件产生的价值交付出去的通道。硬件解决的是单次跌倒事件中的物理防护，而本项目的商业模式建立在社区防跌安全服务之上——评估、部署、运行、复盘这些环节所依赖的数据，必须有一个出口才能构成完整的服务。网页端管理平台就是这个出口。</w:t>
      </w:r>
    </w:p>
    <w:p w14:paraId="3F9B9D64">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换言之，软件对应的是项目三层结构中的服务模式层，而非产品功能层。没有它，社区拿到的只是一批设备；有了它，社区拿到的才是一套可以运转、可以复盘、可以向上级交账的服务。</w:t>
      </w:r>
    </w:p>
    <w:p w14:paraId="16BBBE7B">
      <w:pPr>
        <w:pStyle w:val="4"/>
        <w:keepNext w:val="0"/>
        <w:keepLines w:val="0"/>
        <w:kinsoku/>
        <w:wordWrap/>
        <w:overflowPunct/>
        <w:topLinePunct w:val="0"/>
        <w:autoSpaceDE/>
        <w:autoSpaceDN/>
        <w:bidi w:val="0"/>
        <w:adjustRightInd/>
        <w:snapToGrid/>
        <w:spacing w:line="300" w:lineRule="auto"/>
        <w:textAlignment w:val="auto"/>
      </w:pPr>
      <w:bookmarkStart w:id="81" w:name="_Toc12877"/>
      <w:bookmarkStart w:id="82" w:name="_Toc22350"/>
      <w:r>
        <w:rPr>
          <w:rFonts w:hint="eastAsia"/>
        </w:rPr>
        <w:t>3.3.2网页端管理平台</w:t>
      </w:r>
      <w:bookmarkEnd w:id="81"/>
      <w:bookmarkEnd w:id="82"/>
    </w:p>
    <w:p w14:paraId="17BDE6FF">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网页端面向社区养老服务驿站、区域养老服务中心及其运营方，是服务的日常操作界面。</w:t>
      </w:r>
    </w:p>
    <w:p w14:paraId="238CB9A3">
      <w:pPr>
        <w:keepNext/>
        <w:keepLines w:val="0"/>
        <w:pageBreakBefore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网页端管理平台功能</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2"/>
        <w:gridCol w:w="5090"/>
        <w:gridCol w:w="1758"/>
      </w:tblGrid>
      <w:tr w14:paraId="0913A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75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13BDA903">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功能模块</w:t>
            </w:r>
          </w:p>
        </w:tc>
        <w:tc>
          <w:tcPr>
            <w:tcW w:w="509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13CC70EB">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内容</w:t>
            </w:r>
          </w:p>
        </w:tc>
        <w:tc>
          <w:tcPr>
            <w:tcW w:w="175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3355030E">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对应的服务环节</w:t>
            </w:r>
          </w:p>
        </w:tc>
      </w:tr>
      <w:tr w14:paraId="483C6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04A49CE2">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老人档案管理</w:t>
            </w:r>
          </w:p>
        </w:tc>
        <w:tc>
          <w:tcPr>
            <w:tcW w:w="509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53F78E29">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基础档案、防跌安全评估结果、风险分级、设备绑定关系</w:t>
            </w:r>
          </w:p>
        </w:tc>
        <w:tc>
          <w:tcPr>
            <w:tcW w:w="175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4DE63392">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评估、部署</w:t>
            </w:r>
          </w:p>
        </w:tc>
      </w:tr>
      <w:tr w14:paraId="43938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5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47D5ED72">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社区风险分布</w:t>
            </w:r>
          </w:p>
        </w:tc>
        <w:tc>
          <w:tcPr>
            <w:tcW w:w="509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67873BD2">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跌倒与险跌事件的点位分布，形成社区级风险图</w:t>
            </w:r>
          </w:p>
        </w:tc>
        <w:tc>
          <w:tcPr>
            <w:tcW w:w="175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328567E5">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复盘</w:t>
            </w:r>
          </w:p>
        </w:tc>
      </w:tr>
      <w:tr w14:paraId="3D6D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24571C7A">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佩戴率看板</w:t>
            </w:r>
          </w:p>
        </w:tc>
        <w:tc>
          <w:tcPr>
            <w:tcW w:w="509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792C3091">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设备佩戴时长与规律性监测，识别依从性下降的对象</w:t>
            </w:r>
          </w:p>
        </w:tc>
        <w:tc>
          <w:tcPr>
            <w:tcW w:w="175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7C353596">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运行</w:t>
            </w:r>
          </w:p>
        </w:tc>
      </w:tr>
      <w:tr w14:paraId="4F2B8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5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186AC5AD">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事件与响应记录</w:t>
            </w:r>
          </w:p>
        </w:tc>
        <w:tc>
          <w:tcPr>
            <w:tcW w:w="509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4205C53F">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事件推送状态、响应人员、处置结果的全流程留痕</w:t>
            </w:r>
          </w:p>
        </w:tc>
        <w:tc>
          <w:tcPr>
            <w:tcW w:w="175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2511ECB6">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响应</w:t>
            </w:r>
          </w:p>
        </w:tc>
      </w:tr>
      <w:tr w14:paraId="20D05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2A394FAB">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季度报告生成</w:t>
            </w:r>
          </w:p>
        </w:tc>
        <w:tc>
          <w:tcPr>
            <w:tcW w:w="509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0F16642C">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按模板自动生成社区跌倒风险报告初稿，人工核校后输出</w:t>
            </w:r>
          </w:p>
        </w:tc>
        <w:tc>
          <w:tcPr>
            <w:tcW w:w="175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372F9423">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复盘</w:t>
            </w:r>
          </w:p>
        </w:tc>
      </w:tr>
      <w:tr w14:paraId="003F3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75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4C34E2CE">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改造建议清单</w:t>
            </w:r>
          </w:p>
        </w:tc>
        <w:tc>
          <w:tcPr>
            <w:tcW w:w="509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2B63514E">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依据风险点位分布输出适老化改造建议</w:t>
            </w:r>
          </w:p>
        </w:tc>
        <w:tc>
          <w:tcPr>
            <w:tcW w:w="175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33BCDD78">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复盘</w:t>
            </w:r>
          </w:p>
        </w:tc>
      </w:tr>
    </w:tbl>
    <w:p w14:paraId="5117400C">
      <w:pPr>
        <w:keepNext w:val="0"/>
        <w:keepLines w:val="0"/>
        <w:pageBreakBefore w:val="0"/>
        <w:widowControl w:val="0"/>
        <w:kinsoku/>
        <w:wordWrap/>
        <w:overflowPunct/>
        <w:topLinePunct w:val="0"/>
        <w:autoSpaceDE/>
        <w:autoSpaceDN/>
        <w:bidi w:val="0"/>
        <w:adjustRightInd/>
        <w:snapToGrid/>
        <w:spacing w:before="300" w:after="120" w:line="300" w:lineRule="auto"/>
        <w:ind w:left="0" w:leftChars="0" w:firstLine="480" w:firstLineChars="20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当前状态：网页端已完成开发，具备演示条件。</w:t>
      </w:r>
    </w:p>
    <w:p w14:paraId="6BC0FD32">
      <w:pPr>
        <w:keepNext w:val="0"/>
        <w:keepLines w:val="0"/>
        <w:pageBreakBefore w:val="0"/>
        <w:kinsoku/>
        <w:wordWrap/>
        <w:overflowPunct/>
        <w:topLinePunct w:val="0"/>
        <w:autoSpaceDE/>
        <w:autoSpaceDN/>
        <w:bidi w:val="0"/>
        <w:adjustRightInd/>
        <w:snapToGrid/>
        <w:spacing w:before="120" w:after="2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476750" cy="2447925"/>
            <wp:effectExtent l="0" t="0" r="0" b="0"/>
            <wp:docPr id="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
                    <pic:cNvPicPr>
                      <a:picLocks noChangeAspect="1" noChangeArrowheads="1"/>
                    </pic:cNvPicPr>
                  </pic:nvPicPr>
                  <pic:blipFill>
                    <a:blip r:embed="rId22"/>
                    <a:srcRect/>
                    <a:stretch>
                      <a:fillRect/>
                    </a:stretch>
                  </pic:blipFill>
                  <pic:spPr>
                    <a:xfrm>
                      <a:off x="0" y="0"/>
                      <a:ext cx="4476750" cy="2447925"/>
                    </a:xfrm>
                    <a:prstGeom prst="rect">
                      <a:avLst/>
                    </a:prstGeom>
                  </pic:spPr>
                </pic:pic>
              </a:graphicData>
            </a:graphic>
          </wp:inline>
        </w:drawing>
      </w:r>
    </w:p>
    <w:p w14:paraId="31387F62">
      <w:pPr>
        <w:keepNext w:val="0"/>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476750" cy="2447925"/>
            <wp:effectExtent l="0" t="0" r="0" b="0"/>
            <wp:docPr id="4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6"/>
                    <pic:cNvPicPr>
                      <a:picLocks noChangeAspect="1" noChangeArrowheads="1"/>
                    </pic:cNvPicPr>
                  </pic:nvPicPr>
                  <pic:blipFill>
                    <a:blip r:embed="rId23"/>
                    <a:srcRect/>
                    <a:stretch>
                      <a:fillRect/>
                    </a:stretch>
                  </pic:blipFill>
                  <pic:spPr>
                    <a:xfrm>
                      <a:off x="0" y="0"/>
                      <a:ext cx="4476750" cy="2447925"/>
                    </a:xfrm>
                    <a:prstGeom prst="rect">
                      <a:avLst/>
                    </a:prstGeom>
                  </pic:spPr>
                </pic:pic>
              </a:graphicData>
            </a:graphic>
          </wp:inline>
        </w:drawing>
      </w:r>
    </w:p>
    <w:p w14:paraId="1F27EFF5">
      <w:pPr>
        <w:keepNext w:val="0"/>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476750" cy="2447925"/>
            <wp:effectExtent l="0" t="0" r="0" b="0"/>
            <wp:docPr id="5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7"/>
                    <pic:cNvPicPr>
                      <a:picLocks noChangeAspect="1" noChangeArrowheads="1"/>
                    </pic:cNvPicPr>
                  </pic:nvPicPr>
                  <pic:blipFill>
                    <a:blip r:embed="rId24"/>
                    <a:srcRect/>
                    <a:stretch>
                      <a:fillRect/>
                    </a:stretch>
                  </pic:blipFill>
                  <pic:spPr>
                    <a:xfrm>
                      <a:off x="0" y="0"/>
                      <a:ext cx="4476750" cy="2447925"/>
                    </a:xfrm>
                    <a:prstGeom prst="rect">
                      <a:avLst/>
                    </a:prstGeom>
                  </pic:spPr>
                </pic:pic>
              </a:graphicData>
            </a:graphic>
          </wp:inline>
        </w:drawing>
      </w:r>
    </w:p>
    <w:p w14:paraId="790D9E6B">
      <w:pPr>
        <w:keepNext w:val="0"/>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476750" cy="2447925"/>
            <wp:effectExtent l="0" t="0" r="0" b="0"/>
            <wp:docPr id="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8"/>
                    <pic:cNvPicPr>
                      <a:picLocks noChangeAspect="1" noChangeArrowheads="1"/>
                    </pic:cNvPicPr>
                  </pic:nvPicPr>
                  <pic:blipFill>
                    <a:blip r:embed="rId25"/>
                    <a:srcRect/>
                    <a:stretch>
                      <a:fillRect/>
                    </a:stretch>
                  </pic:blipFill>
                  <pic:spPr>
                    <a:xfrm>
                      <a:off x="0" y="0"/>
                      <a:ext cx="4476750" cy="2447925"/>
                    </a:xfrm>
                    <a:prstGeom prst="rect">
                      <a:avLst/>
                    </a:prstGeom>
                  </pic:spPr>
                </pic:pic>
              </a:graphicData>
            </a:graphic>
          </wp:inline>
        </w:drawing>
      </w:r>
    </w:p>
    <w:p w14:paraId="4D92F034">
      <w:pPr>
        <w:pStyle w:val="8"/>
        <w:keepNext w:val="0"/>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rP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rPr>
          <w:rFonts w:hint="eastAsia"/>
        </w:rPr>
        <w:instrText xml:space="preserve"> SEQ 图 \* ARABIC \s 1 </w:instrText>
      </w:r>
      <w:r>
        <w:fldChar w:fldCharType="separate"/>
      </w:r>
      <w:r>
        <w:t>2</w:t>
      </w:r>
      <w:r>
        <w:fldChar w:fldCharType="end"/>
      </w:r>
      <w:r>
        <w:rPr>
          <w:rFonts w:hint="eastAsia" w:ascii="黑体" w:hAnsi="黑体" w:eastAsia="黑体" w:cs="黑体"/>
          <w:color w:val="000000" w:themeColor="text1"/>
          <w:sz w:val="21"/>
          <w:szCs w:val="21"/>
          <w14:textFill>
            <w14:solidFill>
              <w14:schemeClr w14:val="tx1"/>
            </w14:solidFill>
          </w14:textFill>
        </w:rPr>
        <w:t>网页端社区管理平台界面</w:t>
      </w:r>
    </w:p>
    <w:p w14:paraId="632D3422">
      <w:pPr>
        <w:pStyle w:val="4"/>
        <w:keepNext w:val="0"/>
        <w:keepLines w:val="0"/>
        <w:kinsoku/>
        <w:wordWrap/>
        <w:overflowPunct/>
        <w:topLinePunct w:val="0"/>
        <w:autoSpaceDE/>
        <w:autoSpaceDN/>
        <w:bidi w:val="0"/>
        <w:adjustRightInd/>
        <w:snapToGrid/>
        <w:spacing w:line="300" w:lineRule="auto"/>
        <w:textAlignment w:val="auto"/>
      </w:pPr>
      <w:bookmarkStart w:id="83" w:name="_Toc25881"/>
      <w:bookmarkStart w:id="84" w:name="_Toc32512"/>
      <w:r>
        <w:rPr>
          <w:rFonts w:hint="eastAsia"/>
        </w:rPr>
        <w:t>3.3.3移动端应用</w:t>
      </w:r>
      <w:bookmarkEnd w:id="83"/>
      <w:bookmarkEnd w:id="84"/>
    </w:p>
    <w:p w14:paraId="0AC8BB07">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移动端面向家属与社区网格员，承担事件触达与日常提醒。规划功能包括事件实时推送与位置信息、设备状态与电量提醒、佩戴提醒与使用指导。当前状态：正在开发。</w:t>
      </w:r>
    </w:p>
    <w:p w14:paraId="6F1DB5B9">
      <w:pPr>
        <w:pStyle w:val="4"/>
        <w:keepNext w:val="0"/>
        <w:keepLines w:val="0"/>
        <w:kinsoku/>
        <w:wordWrap/>
        <w:overflowPunct/>
        <w:topLinePunct w:val="0"/>
        <w:autoSpaceDE/>
        <w:autoSpaceDN/>
        <w:bidi w:val="0"/>
        <w:adjustRightInd/>
        <w:snapToGrid/>
        <w:spacing w:line="300" w:lineRule="auto"/>
        <w:textAlignment w:val="auto"/>
      </w:pPr>
      <w:bookmarkStart w:id="85" w:name="_Toc23971"/>
      <w:bookmarkStart w:id="86" w:name="_Toc8631"/>
      <w:r>
        <w:rPr>
          <w:rFonts w:hint="eastAsia"/>
        </w:rPr>
        <w:t>3.3.4数据输出的边界</w:t>
      </w:r>
      <w:bookmarkEnd w:id="85"/>
      <w:bookmarkEnd w:id="86"/>
    </w:p>
    <w:p w14:paraId="1DEB5E55">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一条必须写明的界限</w:t>
      </w:r>
    </w:p>
    <w:p w14:paraId="03F513F2">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平台输出的风险分级结果，其性质是照护资源配置建议，用于帮助社区区分需每日探访、需助行辅具适配、仅需月度回访的不同人群。该结果不构成任何形式的医学诊断、疾病风险评级或健康状况判定，不对任何个体作出健康结论。用于社区画像的数据经匿名化处理，输出为群体层面的分布。</w:t>
      </w:r>
    </w:p>
    <w:p w14:paraId="076957BE">
      <w:pPr>
        <w:pStyle w:val="3"/>
        <w:bidi w:val="0"/>
      </w:pPr>
      <w:bookmarkStart w:id="87" w:name="_Toc973"/>
      <w:bookmarkStart w:id="88" w:name="_Toc31930"/>
      <w:r>
        <w:rPr>
          <w:rFonts w:hint="eastAsia"/>
        </w:rPr>
        <w:t>3.4技术路线与系统架构</w:t>
      </w:r>
      <w:bookmarkEnd w:id="87"/>
      <w:bookmarkEnd w:id="88"/>
    </w:p>
    <w:p w14:paraId="5B6E557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系统采用四层递进架构，各层职责单一、接口清晰，便于分模块验证与迭代。</w:t>
      </w:r>
    </w:p>
    <w:p w14:paraId="1B329145">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安行护腰系统四层技术架构</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557"/>
        <w:gridCol w:w="4743"/>
      </w:tblGrid>
      <w:tr w14:paraId="54C0F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230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727ACBB3">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层级</w:t>
            </w:r>
          </w:p>
        </w:tc>
        <w:tc>
          <w:tcPr>
            <w:tcW w:w="1557"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70D84195">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职责</w:t>
            </w:r>
          </w:p>
        </w:tc>
        <w:tc>
          <w:tcPr>
            <w:tcW w:w="474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7125D4E4">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关键设计</w:t>
            </w:r>
          </w:p>
        </w:tc>
      </w:tr>
      <w:tr w14:paraId="5025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30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4EC1C4B7">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第一层柔性感知层</w:t>
            </w:r>
          </w:p>
        </w:tc>
        <w:tc>
          <w:tcPr>
            <w:tcW w:w="1557"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65E34164">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采集腰髋区域的机械信号与运动学信号</w:t>
            </w:r>
          </w:p>
        </w:tc>
        <w:tc>
          <w:tcPr>
            <w:tcW w:w="474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0C4A2E28">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柔性传感单元以阵列方式嵌入护腰织物，覆盖前腹、后腰与双侧髋部；惯性测量单元提供惯性数据。柔性传感器件用于信号采集环节，系统级供电由小型可充电电池保障</w:t>
            </w:r>
          </w:p>
        </w:tc>
      </w:tr>
      <w:tr w14:paraId="7A286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30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71AC14F3">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第二层风险识别层</w:t>
            </w:r>
          </w:p>
        </w:tc>
        <w:tc>
          <w:tcPr>
            <w:tcW w:w="1557"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65BEBB5E">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区分安全、预警、触发三类状态</w:t>
            </w:r>
          </w:p>
        </w:tc>
        <w:tc>
          <w:tcPr>
            <w:tcW w:w="474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7BCA933C">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多模态特征融合后输入轻量化时序模型，在端侧完成推理。以本地推理替代云端上传，兼顾实时性与隐私保护</w:t>
            </w:r>
          </w:p>
        </w:tc>
      </w:tr>
      <w:tr w14:paraId="7DC33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30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06101AC4">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第三层主动保护层</w:t>
            </w:r>
          </w:p>
        </w:tc>
        <w:tc>
          <w:tcPr>
            <w:tcW w:w="1557"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2D9C16C2">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在着地前完成腰髋关键区域的缓冲覆盖</w:t>
            </w:r>
          </w:p>
        </w:tc>
        <w:tc>
          <w:tcPr>
            <w:tcW w:w="474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5362F7DD">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采用储气式冷气体方案：小型储气罐预存压缩空气，触发时由电磁快速阀释放。展开能量取自预存压力而非即时泵送；气囊排气后可复位，储气罐由充电底座或社区回充站重新充压，不使用一次性气瓶或火药式气体发生器</w:t>
            </w:r>
          </w:p>
        </w:tc>
      </w:tr>
      <w:tr w14:paraId="79F39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30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3069E0D8">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第四层响应与沉淀层</w:t>
            </w:r>
          </w:p>
        </w:tc>
        <w:tc>
          <w:tcPr>
            <w:tcW w:w="1557"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56139379">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事后响应与数据回流</w:t>
            </w:r>
          </w:p>
        </w:tc>
        <w:tc>
          <w:tcPr>
            <w:tcW w:w="474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046545C7">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本地报警、定位上报、双通道通知；同时将匿名化风险数据沉淀，经网页端平台支撑第四章的社区服务模式</w:t>
            </w:r>
          </w:p>
        </w:tc>
      </w:tr>
    </w:tbl>
    <w:p w14:paraId="0C6F20C9">
      <w:pPr>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762500" cy="3524250"/>
            <wp:effectExtent l="0" t="0" r="0" b="0"/>
            <wp:docPr id="5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9"/>
                    <pic:cNvPicPr>
                      <a:picLocks noChangeAspect="1" noChangeArrowheads="1"/>
                    </pic:cNvPicPr>
                  </pic:nvPicPr>
                  <pic:blipFill>
                    <a:blip r:embed="rId26"/>
                    <a:srcRect/>
                    <a:stretch>
                      <a:fillRect/>
                    </a:stretch>
                  </pic:blipFill>
                  <pic:spPr>
                    <a:xfrm>
                      <a:off x="0" y="0"/>
                      <a:ext cx="4762500" cy="3524250"/>
                    </a:xfrm>
                    <a:prstGeom prst="rect">
                      <a:avLst/>
                    </a:prstGeom>
                  </pic:spPr>
                </pic:pic>
              </a:graphicData>
            </a:graphic>
          </wp:inline>
        </w:drawing>
      </w:r>
    </w:p>
    <w:p w14:paraId="4F973B46">
      <w:pPr>
        <w:pStyle w:val="8"/>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rFonts w:hint="eastAsia"/>
        </w:rP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rPr>
          <w:rFonts w:hint="eastAsia"/>
        </w:rPr>
        <w:instrText xml:space="preserve"> SEQ 图 \* ARABIC \s 1 </w:instrText>
      </w:r>
      <w:r>
        <w:fldChar w:fldCharType="separate"/>
      </w:r>
      <w:r>
        <w:t>3</w:t>
      </w:r>
      <w:r>
        <w:fldChar w:fldCharType="end"/>
      </w:r>
      <w:r>
        <w:rPr>
          <w:rFonts w:hint="eastAsia" w:ascii="黑体" w:hAnsi="黑体" w:eastAsia="黑体" w:cs="黑体"/>
          <w:color w:val="000000" w:themeColor="text1"/>
          <w:sz w:val="21"/>
          <w:szCs w:val="21"/>
          <w14:textFill>
            <w14:solidFill>
              <w14:schemeClr w14:val="tx1"/>
            </w14:solidFill>
          </w14:textFill>
        </w:rPr>
        <w:t>安行护腰系统四层技术架构图</w:t>
      </w:r>
    </w:p>
    <w:p w14:paraId="68BBF91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架构设计中有三项判断值得单独说明。</w:t>
      </w:r>
    </w:p>
    <w:p w14:paraId="0932115A">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其一，端侧推理而非云端推理。跌倒从失衡到触地的可用窗口以百毫秒计，任何依赖网络往返的方案在原理上就无法满足实时性；同时，居家场景的连续运动数据上传存在隐私顾虑，也构成老人的心理抵触来源。端侧推理同时解决这两个问题，代价是模型必须被压缩到微控制器可承载的规模，这构成了本项目的主要技术挑战之一。</w:t>
      </w:r>
    </w:p>
    <w:p w14:paraId="500F589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其二，柔性传感器件的定位是信号采集单元，而非系统供电来源。自驱动柔性传感的特性常被表述为无需电池，但其输出功率难以支撑高频采样、实时推理、无线通信与气囊触发的完整负载。本项目明确将其用于信号采集环节，系统供电由电池承担。这一口径的收窄换来的是系统可靠性——对一款以救命为目标的产品而言，稳定性优先于概念上的先进性。</w:t>
      </w:r>
    </w:p>
    <w:p w14:paraId="76571DC0">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其三，充气方案为什么是储气而不是泵送</w:t>
      </w:r>
    </w:p>
    <w:p w14:paraId="278E156F">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气囊需在百毫秒量级内完成展开，对应的瞬时流量在每秒数十升的量级。微型电动泵的流量能力与该要求相差约两个数量级，因此任何由泵直接充气的方案在物理上都无法满足时序要求。可行的路径只有两条：一是由化学反应瞬时产气的火药式气体发生器，二是释放预先存储的压缩气体。</w:t>
      </w:r>
    </w:p>
    <w:p w14:paraId="6CC8D767">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选择后者。火药式方案速度最快，但属一次性器件，每次触发后必须更换，且涉及爆炸物相关的运输与管理要求；市面上已有的同类穿戴气囊产品多采用气罐或气体发生器方案，其共同特征是触发后需更换耗材。储气式冷气体方案由电磁快速阀释放预存压力，展开速度取决于阀门响应与通径而非泵的流量，同时气囊排气后可复位、储气罐可重新充压，不产生耗材。</w:t>
      </w:r>
    </w:p>
    <w:p w14:paraId="1FC198E6">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电动泵在本方案中的作用是为储气罐回充，而非参与展开过程，因此不需要随身佩戴。回充装置置于充电底座，或在社区场景中以一台回充站服务该点位的全部设备。这一安排使穿戴端的重量集中在储气罐与气囊本身，同时使产品的持有成本中不含耗材支出——对按点位批量采购的社区客户而言，这是直接影响采购决策的成本项。</w:t>
      </w:r>
    </w:p>
    <w:p w14:paraId="2B6D208A">
      <w:pPr>
        <w:pStyle w:val="3"/>
        <w:bidi w:val="0"/>
      </w:pPr>
      <w:bookmarkStart w:id="89" w:name="_Toc31235"/>
      <w:bookmarkStart w:id="90" w:name="_Toc4298"/>
      <w:r>
        <w:rPr>
          <w:rFonts w:hint="eastAsia"/>
        </w:rPr>
        <w:t>3.5关键技术难点与解决思路</w:t>
      </w:r>
      <w:bookmarkEnd w:id="89"/>
      <w:bookmarkEnd w:id="90"/>
    </w:p>
    <w:p w14:paraId="4EA465B2">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以下五项是本项目必须攻克的核心难点。逐一列明难点而非回避，是因为它们决定了研发路径的排序。</w:t>
      </w:r>
    </w:p>
    <w:p w14:paraId="4F2CA2D1">
      <w:pPr>
        <w:pStyle w:val="8"/>
        <w:keepNext/>
        <w:keepLines w:val="0"/>
        <w:pageBreakBefore w:val="0"/>
        <w:widowControl w:val="0"/>
        <w:kinsoku/>
        <w:wordWrap/>
        <w:overflowPunct/>
        <w:topLinePunct w:val="0"/>
        <w:autoSpaceDE/>
        <w:autoSpaceDN/>
        <w:bidi w:val="0"/>
        <w:adjustRightInd/>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关键技术难点与解决思路</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8"/>
        <w:gridCol w:w="3114"/>
        <w:gridCol w:w="3228"/>
      </w:tblGrid>
      <w:tr w14:paraId="7647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225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57AE74E4">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难点</w:t>
            </w:r>
          </w:p>
        </w:tc>
        <w:tc>
          <w:tcPr>
            <w:tcW w:w="311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325B5B83">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问题实质</w:t>
            </w:r>
          </w:p>
        </w:tc>
        <w:tc>
          <w:tcPr>
            <w:tcW w:w="322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250A132A">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解决思路</w:t>
            </w:r>
          </w:p>
        </w:tc>
      </w:tr>
      <w:tr w14:paraId="63DC7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25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165B85C4">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触发时机标定</w:t>
            </w:r>
          </w:p>
        </w:tc>
        <w:tc>
          <w:tcPr>
            <w:tcW w:w="311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42522B76">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触发过早导致频繁误触发，破坏用户信任；触发过晚则气囊在着地后才展开，防护失效。可用窗口极窄</w:t>
            </w:r>
          </w:p>
        </w:tc>
        <w:tc>
          <w:tcPr>
            <w:tcW w:w="322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611A40E0">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以运动生物力学中的平衡边界理论为依据界定不可逆失衡判据，结合动捕金标准标注确定触发阈值；对信号识别至气囊展开完成的全链路时序进行分段测量与预算分配</w:t>
            </w:r>
          </w:p>
        </w:tc>
      </w:tr>
      <w:tr w14:paraId="076A6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25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39272715">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日常动作与跌倒趋势的区分</w:t>
            </w:r>
          </w:p>
        </w:tc>
        <w:tc>
          <w:tcPr>
            <w:tcW w:w="311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1633CD04">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坐下、快速弯腰、突然转身在传感信号上与跌倒早期高度相似。误报是老人弃用设备的首要原因</w:t>
            </w:r>
          </w:p>
        </w:tc>
        <w:tc>
          <w:tcPr>
            <w:tcW w:w="322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4E3175CA">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在特征工程层面引入步态周期、支撑相与摆动相时长比、躯干与骨盆相对角速度等运动学特征，而非仅依赖加速度幅值；训练时对高误报风险的日常动作类别做定向增强</w:t>
            </w:r>
          </w:p>
        </w:tc>
      </w:tr>
      <w:tr w14:paraId="44437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25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7D1ABD72">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柔性传感信号的噪声抑制</w:t>
            </w:r>
          </w:p>
        </w:tc>
        <w:tc>
          <w:tcPr>
            <w:tcW w:w="311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7CDBACC9">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柔性传感输出对接触压力、温湿度与电磁干扰敏感，长期穿戴条件下易出现基线漂移</w:t>
            </w:r>
          </w:p>
        </w:tc>
        <w:tc>
          <w:tcPr>
            <w:tcW w:w="322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33322334">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材料选型与封装层面降低环境敏感性；信号链引入基线校正与自适应滤波；以惯性通道作为交叉校验，在柔性通道异常时降级运行而非误触发</w:t>
            </w:r>
          </w:p>
        </w:tc>
      </w:tr>
      <w:tr w14:paraId="2DE00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25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007169FD">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气路时序与密封可靠性</w:t>
            </w:r>
          </w:p>
        </w:tc>
        <w:tc>
          <w:tcPr>
            <w:tcW w:w="311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2830A6CA">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储气式方案的展开速度取决于阀门响应时间与气路通径；同时储气罐与管路需在长期佩戴条件下保持密封，压力衰减将直接导致防护失效</w:t>
            </w:r>
          </w:p>
        </w:tc>
        <w:tc>
          <w:tcPr>
            <w:tcW w:w="322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5D705472">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按气囊容积与目标展开时间反推阀门通径与储气压力；设置压力自检，储气压力低于阈值时向使用者与社区端提示；将气路密封性纳入样机老化测试项</w:t>
            </w:r>
          </w:p>
        </w:tc>
      </w:tr>
      <w:tr w14:paraId="38EEF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25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6D33C070">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系统集成与功耗</w:t>
            </w:r>
          </w:p>
        </w:tc>
        <w:tc>
          <w:tcPr>
            <w:tcW w:w="311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12EDB540">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护腰对体积与重量约束严格，须在有限空间内集成传感、主控、储气罐、阀门、通信与电源，并保证数日续航</w:t>
            </w:r>
          </w:p>
        </w:tc>
        <w:tc>
          <w:tcPr>
            <w:tcW w:w="322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42261E6B">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分模块低功耗调度：常态下以低频惯性传感值守，检出可疑运动模式后唤醒高频采样与推理链路；气囊驱动回路平时完全断电。储气罐与阀门的体积重量列为结构设计的硬约束</w:t>
            </w:r>
          </w:p>
        </w:tc>
      </w:tr>
    </w:tbl>
    <w:p w14:paraId="71C5AB7E">
      <w:pPr>
        <w:keepNext w:val="0"/>
        <w:keepLines w:val="0"/>
        <w:pageBreakBefore w:val="0"/>
        <w:kinsoku/>
        <w:wordWrap/>
        <w:overflowPunct/>
        <w:topLinePunct w:val="0"/>
        <w:autoSpaceDE/>
        <w:autoSpaceDN/>
        <w:bidi w:val="0"/>
        <w:adjustRightInd/>
        <w:snapToGrid/>
        <w:spacing w:before="60" w:after="200" w:line="300" w:lineRule="auto"/>
        <w:jc w:val="center"/>
        <w:textAlignment w:val="auto"/>
        <w:rPr>
          <w:color w:val="000000" w:themeColor="text1"/>
          <w14:textFill>
            <w14:solidFill>
              <w14:schemeClr w14:val="tx1"/>
            </w14:solidFill>
          </w14:textFill>
        </w:rPr>
      </w:pPr>
    </w:p>
    <w:p w14:paraId="0CFA1914">
      <w:pPr>
        <w:pStyle w:val="3"/>
        <w:bidi w:val="0"/>
      </w:pPr>
      <w:bookmarkStart w:id="91" w:name="_Toc21609"/>
      <w:bookmarkStart w:id="92" w:name="_Toc23116"/>
      <w:r>
        <w:rPr>
          <w:rFonts w:hint="eastAsia"/>
        </w:rPr>
        <w:t>3.6数据基础、验证方案与当前进展</w:t>
      </w:r>
      <w:bookmarkEnd w:id="91"/>
      <w:bookmarkEnd w:id="92"/>
    </w:p>
    <w:p w14:paraId="2A1BACBF">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算法的上限由数据决定。本节完整披露项目的数据来源、合规审查结论、自有数据采集进展与实验验证方案，并如实说明当前所处阶段。</w:t>
      </w:r>
    </w:p>
    <w:p w14:paraId="33E6CFB9">
      <w:pPr>
        <w:pStyle w:val="4"/>
        <w:keepNext w:val="0"/>
        <w:keepLines w:val="0"/>
        <w:kinsoku/>
        <w:wordWrap/>
        <w:overflowPunct/>
        <w:topLinePunct w:val="0"/>
        <w:autoSpaceDE/>
        <w:autoSpaceDN/>
        <w:bidi w:val="0"/>
        <w:adjustRightInd/>
        <w:snapToGrid/>
        <w:spacing w:line="300" w:lineRule="auto"/>
        <w:textAlignment w:val="auto"/>
      </w:pPr>
      <w:bookmarkStart w:id="93" w:name="_Toc26790"/>
      <w:bookmarkStart w:id="94" w:name="_Toc19913"/>
      <w:r>
        <w:rPr>
          <w:rFonts w:hint="eastAsia"/>
        </w:rPr>
        <w:t>3.6.1项目当前阶段认定</w:t>
      </w:r>
      <w:bookmarkEnd w:id="93"/>
      <w:bookmarkEnd w:id="94"/>
    </w:p>
    <w:p w14:paraId="31CCEA7D">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阶段说明</w:t>
      </w:r>
    </w:p>
    <w:p w14:paraId="2991E262">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本项目当前处于概念验证阶段，对应技术成熟度TRL 3至4：核心原理与系统架构设计完成，器件选型与算法架构已明确，基于公开数据集的算法基线验证正在进行，自有数据采集已完成首批社区采样；尚未完成集成样机试制与整机性能实测。</w:t>
      </w:r>
    </w:p>
    <w:p w14:paraId="0AA0252C">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本章及全文出现的一切性能数值与重量、体积、成本数值，其性质均为设计目标或待验证指标，而非实测结果。</w:t>
      </w:r>
    </w:p>
    <w:p w14:paraId="536A9952">
      <w:pPr>
        <w:pStyle w:val="4"/>
        <w:keepNext w:val="0"/>
        <w:keepLines w:val="0"/>
        <w:kinsoku/>
        <w:wordWrap/>
        <w:overflowPunct/>
        <w:topLinePunct w:val="0"/>
        <w:autoSpaceDE/>
        <w:autoSpaceDN/>
        <w:bidi w:val="0"/>
        <w:adjustRightInd/>
        <w:snapToGrid/>
        <w:spacing w:line="300" w:lineRule="auto"/>
        <w:textAlignment w:val="auto"/>
      </w:pPr>
      <w:bookmarkStart w:id="95" w:name="_Toc24311"/>
      <w:bookmarkStart w:id="96" w:name="_Toc13077"/>
      <w:r>
        <w:rPr>
          <w:rFonts w:hint="eastAsia"/>
        </w:rPr>
        <w:t>3.6.2第一阶段：基于公开数据集的算法基线验证</w:t>
      </w:r>
      <w:bookmarkEnd w:id="95"/>
      <w:bookmarkEnd w:id="96"/>
    </w:p>
    <w:p w14:paraId="664EE63F">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rFonts w:ascii="Times New Roman" w:hAnsi="Times New Roman"/>
          <w:color w:val="000000" w:themeColor="text1"/>
          <w14:textFill>
            <w14:solidFill>
              <w14:schemeClr w14:val="tx1"/>
            </w14:solidFill>
          </w14:textFill>
        </w:rPr>
      </w:pPr>
      <w:r>
        <w:rPr>
          <w:rFonts w:hint="eastAsia" w:ascii="Times New Roman" w:hAnsi="Times New Roman" w:eastAsia="宋体" w:cs="宋体"/>
          <w:b w:val="0"/>
          <w:bCs w:val="0"/>
          <w:color w:val="000000" w:themeColor="text1"/>
          <w:sz w:val="24"/>
          <w:szCs w:val="24"/>
          <w14:textFill>
            <w14:solidFill>
              <w14:schemeClr w14:val="tx1"/>
            </w14:solidFill>
          </w14:textFill>
        </w:rPr>
        <w:t>在自有数据规模足够之前，团队采用国际公开的老年步态与跌倒风险数据集开展模型架构选型与基线验证。选取标准有三：包含老年受试者、提供惯性或动捕原始数据、许可证允许本项目使用。</w:t>
      </w:r>
    </w:p>
    <w:p w14:paraId="41F736E2">
      <w:pPr>
        <w:pStyle w:val="8"/>
        <w:keepNext/>
        <w:ind w:left="0" w:leftChars="0" w:firstLine="0" w:firstLineChars="0"/>
        <w:jc w:val="center"/>
        <w:rPr>
          <w:rFonts w:hint="eastAsia" w:ascii="黑体" w:hAnsi="黑体" w:eastAsia="黑体" w:cs="黑体"/>
          <w:sz w:val="24"/>
          <w:szCs w:val="24"/>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项目采用的公开数据集及其用途</w:t>
      </w:r>
    </w:p>
    <w:tbl>
      <w:tblPr>
        <w:tblStyle w:val="15"/>
        <w:tblW w:w="91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60"/>
        <w:gridCol w:w="1771"/>
        <w:gridCol w:w="1977"/>
        <w:gridCol w:w="3020"/>
      </w:tblGrid>
      <w:tr w14:paraId="75DAE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23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003264EA">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Times New Roman" w:hAnsi="Times New Roman" w:eastAsia="黑体"/>
                <w:b/>
                <w:color w:val="000000" w:themeColor="text1"/>
                <w:sz w:val="21"/>
                <w14:textFill>
                  <w14:solidFill>
                    <w14:schemeClr w14:val="tx1"/>
                  </w14:solidFill>
                </w14:textFill>
              </w:rPr>
            </w:pPr>
            <w:r>
              <w:rPr>
                <w:rFonts w:hint="eastAsia" w:ascii="Times New Roman" w:hAnsi="Times New Roman" w:eastAsia="黑体" w:cs="黑体"/>
                <w:b/>
                <w:bCs/>
                <w:color w:val="000000" w:themeColor="text1"/>
                <w:sz w:val="21"/>
                <w:szCs w:val="21"/>
                <w14:textFill>
                  <w14:solidFill>
                    <w14:schemeClr w14:val="tx1"/>
                  </w14:solidFill>
                </w14:textFill>
              </w:rPr>
              <w:t>数据集</w:t>
            </w:r>
          </w:p>
        </w:tc>
        <w:tc>
          <w:tcPr>
            <w:tcW w:w="0" w:type="auto"/>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047E8406">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Times New Roman" w:hAnsi="Times New Roman" w:eastAsia="黑体"/>
                <w:b/>
                <w:color w:val="000000" w:themeColor="text1"/>
                <w:sz w:val="21"/>
                <w14:textFill>
                  <w14:solidFill>
                    <w14:schemeClr w14:val="tx1"/>
                  </w14:solidFill>
                </w14:textFill>
              </w:rPr>
            </w:pPr>
            <w:r>
              <w:rPr>
                <w:rFonts w:hint="eastAsia" w:ascii="Times New Roman" w:hAnsi="Times New Roman" w:eastAsia="黑体" w:cs="黑体"/>
                <w:b/>
                <w:bCs/>
                <w:color w:val="000000" w:themeColor="text1"/>
                <w:sz w:val="21"/>
                <w:szCs w:val="21"/>
                <w14:textFill>
                  <w14:solidFill>
                    <w14:schemeClr w14:val="tx1"/>
                  </w14:solidFill>
                </w14:textFill>
              </w:rPr>
              <w:t>受试规模</w:t>
            </w:r>
          </w:p>
        </w:tc>
        <w:tc>
          <w:tcPr>
            <w:tcW w:w="0" w:type="auto"/>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07C76734">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Times New Roman" w:hAnsi="Times New Roman" w:eastAsia="黑体"/>
                <w:b/>
                <w:color w:val="000000" w:themeColor="text1"/>
                <w:sz w:val="21"/>
                <w14:textFill>
                  <w14:solidFill>
                    <w14:schemeClr w14:val="tx1"/>
                  </w14:solidFill>
                </w14:textFill>
              </w:rPr>
            </w:pPr>
            <w:r>
              <w:rPr>
                <w:rFonts w:hint="eastAsia" w:ascii="Times New Roman" w:hAnsi="Times New Roman" w:eastAsia="黑体" w:cs="黑体"/>
                <w:b/>
                <w:bCs/>
                <w:color w:val="000000" w:themeColor="text1"/>
                <w:sz w:val="21"/>
                <w:szCs w:val="21"/>
                <w14:textFill>
                  <w14:solidFill>
                    <w14:schemeClr w14:val="tx1"/>
                  </w14:solidFill>
                </w14:textFill>
              </w:rPr>
              <w:t>模态</w:t>
            </w:r>
          </w:p>
        </w:tc>
        <w:tc>
          <w:tcPr>
            <w:tcW w:w="302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1FBA1D78">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Times New Roman" w:hAnsi="Times New Roman" w:eastAsia="黑体"/>
                <w:b/>
                <w:color w:val="000000" w:themeColor="text1"/>
                <w:sz w:val="21"/>
                <w14:textFill>
                  <w14:solidFill>
                    <w14:schemeClr w14:val="tx1"/>
                  </w14:solidFill>
                </w14:textFill>
              </w:rPr>
            </w:pPr>
            <w:r>
              <w:rPr>
                <w:rFonts w:hint="eastAsia" w:ascii="Times New Roman" w:hAnsi="Times New Roman" w:eastAsia="黑体" w:cs="黑体"/>
                <w:b/>
                <w:bCs/>
                <w:color w:val="000000" w:themeColor="text1"/>
                <w:sz w:val="21"/>
                <w:szCs w:val="21"/>
                <w14:textFill>
                  <w14:solidFill>
                    <w14:schemeClr w14:val="tx1"/>
                  </w14:solidFill>
                </w14:textFill>
              </w:rPr>
              <w:t>在本项目中的用途</w:t>
            </w:r>
          </w:p>
        </w:tc>
      </w:tr>
      <w:tr w14:paraId="18531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3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6E23FD26">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Dataset for gait analysis and assessment of fall risk for older adults（Mendeley Data）</w:t>
            </w:r>
          </w:p>
        </w:tc>
        <w:tc>
          <w:tcPr>
            <w:tcW w:w="0" w:type="auto"/>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2EC59C29">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44名老人，69.98±8.57岁</w:t>
            </w:r>
          </w:p>
        </w:tc>
        <w:tc>
          <w:tcPr>
            <w:tcW w:w="0" w:type="auto"/>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2C46220F">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Vicon动捕C3D、POMA-G步态评估、SPPB与MMSE、26项步态参数</w:t>
            </w:r>
          </w:p>
        </w:tc>
        <w:tc>
          <w:tcPr>
            <w:tcW w:w="30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3C87C061">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核心训练集之一。动捕数据可作为标注金标准，且附带临床功能评估量表，可建立步态参数与跌倒风险的对应关系</w:t>
            </w:r>
          </w:p>
        </w:tc>
      </w:tr>
      <w:tr w14:paraId="78628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3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3929F627">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ascii="Times New Roman" w:hAnsi="Times New Roman" w:eastAsia="宋体" w:cs="宋体"/>
                <w:color w:val="000000" w:themeColor="text1"/>
                <w:sz w:val="21"/>
                <w:szCs w:val="21"/>
                <w14:textFill>
                  <w14:solidFill>
                    <w14:schemeClr w14:val="tx1"/>
                  </w14:solidFill>
                </w14:textFill>
              </w:rPr>
              <w:t>GSTRIDE Database</w:t>
            </w:r>
          </w:p>
        </w:tc>
        <w:tc>
          <w:tcPr>
            <w:tcW w:w="0" w:type="auto"/>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5C2E8981">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163名老人</w:t>
            </w:r>
          </w:p>
        </w:tc>
        <w:tc>
          <w:tcPr>
            <w:tcW w:w="0" w:type="auto"/>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57DED29E">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足部惯性原始数据与时空步态参数</w:t>
            </w:r>
          </w:p>
        </w:tc>
        <w:tc>
          <w:tcPr>
            <w:tcW w:w="302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6F09616B">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规模最大的惯性数据来源，且区分跌倒者与非跌倒者人群，直接支撑跌倒风险分层建模</w:t>
            </w:r>
          </w:p>
        </w:tc>
      </w:tr>
      <w:tr w14:paraId="3FFE2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3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32C6C944">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ascii="Times New Roman" w:hAnsi="Times New Roman" w:eastAsia="宋体" w:cs="宋体"/>
                <w:color w:val="000000" w:themeColor="text1"/>
                <w:sz w:val="21"/>
                <w:szCs w:val="21"/>
                <w14:textFill>
                  <w14:solidFill>
                    <w14:schemeClr w14:val="tx1"/>
                  </w14:solidFill>
                </w14:textFill>
              </w:rPr>
              <w:t>NONAN GaitPrint</w:t>
            </w:r>
          </w:p>
        </w:tc>
        <w:tc>
          <w:tcPr>
            <w:tcW w:w="0" w:type="auto"/>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66136889">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41名健康老人，64.7±7.5岁</w:t>
            </w:r>
          </w:p>
        </w:tc>
        <w:tc>
          <w:tcPr>
            <w:tcW w:w="0" w:type="auto"/>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10107D40">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全身惯性，18次乘4分钟长时程试验</w:t>
            </w:r>
          </w:p>
        </w:tc>
        <w:tc>
          <w:tcPr>
            <w:tcW w:w="30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24DDA365">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提供长时程、多试次的健康老人基线，用于刻画正常步态的个体内变异范围</w:t>
            </w:r>
          </w:p>
        </w:tc>
      </w:tr>
      <w:tr w14:paraId="5C63B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3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42D45CEF">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100 Normative Gait Profiles with 5-year fall tracking（DR-NTU）</w:t>
            </w:r>
          </w:p>
        </w:tc>
        <w:tc>
          <w:tcPr>
            <w:tcW w:w="0" w:type="auto"/>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6BEB4B2B">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100名亚洲老人，50至80岁</w:t>
            </w:r>
          </w:p>
        </w:tc>
        <w:tc>
          <w:tcPr>
            <w:tcW w:w="0" w:type="auto"/>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75D0AD9F">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Vicon动捕C3D，附5年跌倒随访</w:t>
            </w:r>
          </w:p>
        </w:tc>
        <w:tc>
          <w:tcPr>
            <w:tcW w:w="302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114E62FC">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唯一带长期跌倒随访的老年步态基准，且为亚洲人群，是本项目本土化建模的重要参照</w:t>
            </w:r>
          </w:p>
        </w:tc>
      </w:tr>
      <w:tr w14:paraId="2B085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3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1E7A11FB">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ascii="Times New Roman" w:hAnsi="Times New Roman" w:eastAsia="宋体" w:cs="宋体"/>
                <w:color w:val="000000" w:themeColor="text1"/>
                <w:sz w:val="21"/>
                <w:szCs w:val="21"/>
                <w14:textFill>
                  <w14:solidFill>
                    <w14:schemeClr w14:val="tx1"/>
                  </w14:solidFill>
                </w14:textFill>
              </w:rPr>
              <w:t>LTGAD</w:t>
            </w:r>
          </w:p>
        </w:tc>
        <w:tc>
          <w:tcPr>
            <w:tcW w:w="1771"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645BE840">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65岁以上真实使用者，约33000帧</w:t>
            </w:r>
          </w:p>
        </w:tc>
        <w:tc>
          <w:tcPr>
            <w:tcW w:w="1977"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7DE41B2D">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激光雷达腿部追踪与步态状态标签</w:t>
            </w:r>
          </w:p>
        </w:tc>
        <w:tc>
          <w:tcPr>
            <w:tcW w:w="30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239D5A06">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提供辅助行走场景下的步态状态标注，用于扩充异常步态样本</w:t>
            </w:r>
          </w:p>
        </w:tc>
      </w:tr>
    </w:tbl>
    <w:p w14:paraId="10B7FA83">
      <w:pPr>
        <w:pStyle w:val="4"/>
        <w:keepNext w:val="0"/>
        <w:keepLines w:val="0"/>
        <w:pageBreakBefore w:val="0"/>
        <w:widowControl/>
        <w:kinsoku/>
        <w:wordWrap/>
        <w:overflowPunct/>
        <w:topLinePunct w:val="0"/>
        <w:autoSpaceDE/>
        <w:autoSpaceDN/>
        <w:bidi w:val="0"/>
        <w:adjustRightInd/>
        <w:snapToGrid/>
        <w:spacing w:before="181" w:beforeLines="50" w:line="300" w:lineRule="auto"/>
        <w:textAlignment w:val="auto"/>
      </w:pPr>
      <w:bookmarkStart w:id="97" w:name="_Toc10755"/>
      <w:bookmarkStart w:id="98" w:name="_Toc5481"/>
      <w:r>
        <w:rPr>
          <w:rFonts w:hint="eastAsia"/>
        </w:rPr>
        <w:t>3.6.3数据来源合规性审查</w:t>
      </w:r>
      <w:bookmarkEnd w:id="97"/>
      <w:bookmarkEnd w:id="98"/>
    </w:p>
    <w:p w14:paraId="145998C5">
      <w:pPr>
        <w:keepNext/>
        <w:keepLines w:val="0"/>
        <w:pageBreakBefore w:val="0"/>
        <w:widowControl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团队对候选数据集逐一开展了许可证审查，并据此调整了数据使用范围。这一步骤在学生项目中常被忽略，但对一个规划商业化的项目而言，数据许可证是必须前置排除的法律风险。</w:t>
      </w:r>
    </w:p>
    <w:p w14:paraId="0B10B8A9">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rPr>
      </w:pPr>
      <w:r>
        <w:rPr>
          <w:rFonts w:hint="eastAsia" w:ascii="黑体" w:hAnsi="黑体" w:eastAsia="黑体" w:cs="黑体"/>
        </w:rPr>
        <w:t xml:space="preserve">表 </w:t>
      </w:r>
      <w:r>
        <w:rPr>
          <w:rFonts w:hint="eastAsia" w:ascii="黑体" w:hAnsi="黑体" w:eastAsia="黑体" w:cs="黑体"/>
        </w:rPr>
        <w:fldChar w:fldCharType="begin"/>
      </w:r>
      <w:r>
        <w:rPr>
          <w:rFonts w:hint="eastAsia" w:ascii="黑体" w:hAnsi="黑体" w:eastAsia="黑体" w:cs="黑体"/>
        </w:rPr>
        <w:instrText xml:space="preserve"> STYLEREF 1 \s \* ARABIC </w:instrText>
      </w:r>
      <w:r>
        <w:rPr>
          <w:rFonts w:hint="eastAsia" w:ascii="黑体" w:hAnsi="黑体" w:eastAsia="黑体" w:cs="黑体"/>
        </w:rPr>
        <w:fldChar w:fldCharType="separate"/>
      </w:r>
      <w:r>
        <w:rPr>
          <w:rFonts w:hint="eastAsia" w:ascii="黑体" w:hAnsi="黑体" w:eastAsia="黑体" w:cs="黑体"/>
        </w:rPr>
        <w:t>3</w:t>
      </w:r>
      <w:r>
        <w:rPr>
          <w:rFonts w:hint="eastAsia" w:ascii="黑体" w:hAnsi="黑体" w:eastAsia="黑体" w:cs="黑体"/>
        </w:rPr>
        <w:fldChar w:fldCharType="end"/>
      </w:r>
      <w:r>
        <w:rPr>
          <w:rFonts w:hint="eastAsia" w:ascii="黑体" w:hAnsi="黑体" w:eastAsia="黑体" w:cs="黑体"/>
          <w:lang w:eastAsia="zh-CN"/>
        </w:rPr>
        <w:t>-</w:t>
      </w:r>
      <w:r>
        <w:rPr>
          <w:rFonts w:hint="eastAsia" w:ascii="黑体" w:hAnsi="黑体" w:eastAsia="黑体" w:cs="黑体"/>
        </w:rPr>
        <w:fldChar w:fldCharType="begin"/>
      </w:r>
      <w:r>
        <w:rPr>
          <w:rFonts w:hint="eastAsia" w:ascii="黑体" w:hAnsi="黑体" w:eastAsia="黑体" w:cs="黑体"/>
        </w:rPr>
        <w:instrText xml:space="preserve"> SEQ 表 \* ARABIC \s 1 </w:instrText>
      </w:r>
      <w:r>
        <w:rPr>
          <w:rFonts w:hint="eastAsia" w:ascii="黑体" w:hAnsi="黑体" w:eastAsia="黑体" w:cs="黑体"/>
        </w:rPr>
        <w:fldChar w:fldCharType="separate"/>
      </w:r>
      <w:r>
        <w:rPr>
          <w:rFonts w:hint="eastAsia" w:ascii="黑体" w:hAnsi="黑体" w:eastAsia="黑体" w:cs="黑体"/>
        </w:rPr>
        <w:t>7</w:t>
      </w:r>
      <w:r>
        <w:rPr>
          <w:rFonts w:hint="eastAsia" w:ascii="黑体" w:hAnsi="黑体" w:eastAsia="黑体" w:cs="黑体"/>
        </w:rPr>
        <w:fldChar w:fldCharType="end"/>
      </w:r>
      <w:r>
        <w:rPr>
          <w:rFonts w:hint="eastAsia" w:ascii="黑体" w:hAnsi="黑体" w:eastAsia="黑体" w:cs="黑体"/>
          <w:color w:val="000000" w:themeColor="text1"/>
          <w:sz w:val="24"/>
          <w:szCs w:val="24"/>
          <w14:textFill>
            <w14:solidFill>
              <w14:schemeClr w14:val="tx1"/>
            </w14:solidFill>
          </w14:textFill>
        </w:rPr>
        <w:t>公开数据集许可证审查结论</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93"/>
        <w:gridCol w:w="2160"/>
        <w:gridCol w:w="4347"/>
      </w:tblGrid>
      <w:tr w14:paraId="0F020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2093"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2EEB9CFC">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Times New Roman" w:hAnsi="Times New Roman" w:eastAsia="黑体"/>
                <w:b/>
                <w:color w:val="000000" w:themeColor="text1"/>
                <w:sz w:val="21"/>
                <w14:textFill>
                  <w14:solidFill>
                    <w14:schemeClr w14:val="tx1"/>
                  </w14:solidFill>
                </w14:textFill>
              </w:rPr>
            </w:pPr>
            <w:r>
              <w:rPr>
                <w:rFonts w:hint="eastAsia" w:ascii="Times New Roman" w:hAnsi="Times New Roman" w:eastAsia="黑体" w:cs="黑体"/>
                <w:b/>
                <w:bCs/>
                <w:color w:val="000000" w:themeColor="text1"/>
                <w:sz w:val="21"/>
                <w:szCs w:val="21"/>
                <w14:textFill>
                  <w14:solidFill>
                    <w14:schemeClr w14:val="tx1"/>
                  </w14:solidFill>
                </w14:textFill>
              </w:rPr>
              <w:t>数据集</w:t>
            </w:r>
          </w:p>
        </w:tc>
        <w:tc>
          <w:tcPr>
            <w:tcW w:w="21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1ED3A5EC">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Times New Roman" w:hAnsi="Times New Roman" w:eastAsia="黑体"/>
                <w:b/>
                <w:color w:val="000000" w:themeColor="text1"/>
                <w:sz w:val="21"/>
                <w14:textFill>
                  <w14:solidFill>
                    <w14:schemeClr w14:val="tx1"/>
                  </w14:solidFill>
                </w14:textFill>
              </w:rPr>
            </w:pPr>
            <w:r>
              <w:rPr>
                <w:rFonts w:hint="eastAsia" w:ascii="Times New Roman" w:hAnsi="Times New Roman" w:eastAsia="黑体" w:cs="黑体"/>
                <w:b/>
                <w:bCs/>
                <w:color w:val="000000" w:themeColor="text1"/>
                <w:sz w:val="21"/>
                <w:szCs w:val="21"/>
                <w14:textFill>
                  <w14:solidFill>
                    <w14:schemeClr w14:val="tx1"/>
                  </w14:solidFill>
                </w14:textFill>
              </w:rPr>
              <w:t>许可证</w:t>
            </w:r>
          </w:p>
        </w:tc>
        <w:tc>
          <w:tcPr>
            <w:tcW w:w="4347"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41625938">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Times New Roman" w:hAnsi="Times New Roman" w:eastAsia="黑体"/>
                <w:b/>
                <w:color w:val="000000" w:themeColor="text1"/>
                <w:sz w:val="21"/>
                <w14:textFill>
                  <w14:solidFill>
                    <w14:schemeClr w14:val="tx1"/>
                  </w14:solidFill>
                </w14:textFill>
              </w:rPr>
            </w:pPr>
            <w:r>
              <w:rPr>
                <w:rFonts w:hint="eastAsia" w:ascii="Times New Roman" w:hAnsi="Times New Roman" w:eastAsia="黑体" w:cs="黑体"/>
                <w:b/>
                <w:bCs/>
                <w:color w:val="000000" w:themeColor="text1"/>
                <w:sz w:val="21"/>
                <w:szCs w:val="21"/>
                <w14:textFill>
                  <w14:solidFill>
                    <w14:schemeClr w14:val="tx1"/>
                  </w14:solidFill>
                </w14:textFill>
              </w:rPr>
              <w:t>审查结论</w:t>
            </w:r>
          </w:p>
        </w:tc>
      </w:tr>
      <w:tr w14:paraId="66BB8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93"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223C3A17">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Mendeley Data、DR-NTU</w:t>
            </w:r>
          </w:p>
        </w:tc>
        <w:tc>
          <w:tcPr>
            <w:tcW w:w="21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58ACFE5E">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ascii="Times New Roman" w:hAnsi="Times New Roman" w:eastAsia="宋体" w:cs="宋体"/>
                <w:color w:val="000000" w:themeColor="text1"/>
                <w:sz w:val="21"/>
                <w:szCs w:val="21"/>
                <w14:textFill>
                  <w14:solidFill>
                    <w14:schemeClr w14:val="tx1"/>
                  </w14:solidFill>
                </w14:textFill>
              </w:rPr>
              <w:t>CC BY 4.0</w:t>
            </w:r>
          </w:p>
        </w:tc>
        <w:tc>
          <w:tcPr>
            <w:tcW w:w="4347"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2C2BE9BC">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可用于包括商业用途在内的使用，需按要求署名。已纳入正式训练集</w:t>
            </w:r>
          </w:p>
        </w:tc>
      </w:tr>
      <w:tr w14:paraId="1E2B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93"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49ACAD7E">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GSTRIDE、NONAN GaitPrint</w:t>
            </w:r>
          </w:p>
        </w:tc>
        <w:tc>
          <w:tcPr>
            <w:tcW w:w="21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40343D83">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Scientific Data标准CC开源许可</w:t>
            </w:r>
          </w:p>
        </w:tc>
        <w:tc>
          <w:tcPr>
            <w:tcW w:w="4347"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4A3BFD51">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可用，需署名。已纳入正式训练集</w:t>
            </w:r>
          </w:p>
        </w:tc>
      </w:tr>
      <w:tr w14:paraId="1877C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93"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528FA3F9">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ascii="Times New Roman" w:hAnsi="Times New Roman" w:eastAsia="宋体" w:cs="宋体"/>
                <w:color w:val="000000" w:themeColor="text1"/>
                <w:sz w:val="21"/>
                <w:szCs w:val="21"/>
                <w14:textFill>
                  <w14:solidFill>
                    <w14:schemeClr w14:val="tx1"/>
                  </w14:solidFill>
                </w14:textFill>
              </w:rPr>
              <w:t>LTGAD</w:t>
            </w:r>
          </w:p>
        </w:tc>
        <w:tc>
          <w:tcPr>
            <w:tcW w:w="21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6475A2EC">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公开下载</w:t>
            </w:r>
          </w:p>
        </w:tc>
        <w:tc>
          <w:tcPr>
            <w:tcW w:w="4347"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11139328">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可用于研究与开发。已纳入正式训练集</w:t>
            </w:r>
          </w:p>
        </w:tc>
      </w:tr>
      <w:tr w14:paraId="4E95F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93"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3C93CAD3">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ascii="Times New Roman" w:hAnsi="Times New Roman" w:eastAsia="宋体" w:cs="宋体"/>
                <w:color w:val="000000" w:themeColor="text1"/>
                <w:sz w:val="21"/>
                <w:szCs w:val="21"/>
                <w14:textFill>
                  <w14:solidFill>
                    <w14:schemeClr w14:val="tx1"/>
                  </w14:solidFill>
                </w14:textFill>
              </w:rPr>
              <w:t>K2MUSE</w:t>
            </w:r>
          </w:p>
        </w:tc>
        <w:tc>
          <w:tcPr>
            <w:tcW w:w="21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3A7AE614">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CC BY-NC 4.0，禁止商业使用</w:t>
            </w:r>
          </w:p>
        </w:tc>
        <w:tc>
          <w:tcPr>
            <w:tcW w:w="4347"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111FAF27">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不纳入商业模型训练。本项目规划商业化路径，使用该数据集训练用于商业目的的模型将构成许可证违规。仅在学术对照分析中引用其结论</w:t>
            </w:r>
          </w:p>
        </w:tc>
      </w:tr>
      <w:tr w14:paraId="60D55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93"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4803AC56">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ascii="Times New Roman" w:hAnsi="Times New Roman" w:eastAsia="宋体" w:cs="宋体"/>
                <w:color w:val="000000" w:themeColor="text1"/>
                <w:sz w:val="21"/>
                <w:szCs w:val="21"/>
                <w14:textFill>
                  <w14:solidFill>
                    <w14:schemeClr w14:val="tx1"/>
                  </w14:solidFill>
                </w14:textFill>
              </w:rPr>
              <w:t>PhysioNet Gait in Aging and Disease Database</w:t>
            </w:r>
          </w:p>
        </w:tc>
        <w:tc>
          <w:tcPr>
            <w:tcW w:w="21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151C931C">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Open Data Commons v1.0，官方标注为教学用途</w:t>
            </w:r>
          </w:p>
        </w:tc>
        <w:tc>
          <w:tcPr>
            <w:tcW w:w="4347"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3E107737">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Times New Roman" w:hAnsi="Times New Roman" w:eastAsia="宋体"/>
                <w:color w:val="000000" w:themeColor="text1"/>
                <w:sz w:val="21"/>
                <w14:textFill>
                  <w14:solidFill>
                    <w14:schemeClr w14:val="tx1"/>
                  </w14:solidFill>
                </w14:textFill>
              </w:rPr>
            </w:pPr>
            <w:r>
              <w:rPr>
                <w:rFonts w:hint="eastAsia" w:ascii="Times New Roman" w:hAnsi="Times New Roman" w:eastAsia="宋体" w:cs="宋体"/>
                <w:color w:val="000000" w:themeColor="text1"/>
                <w:sz w:val="21"/>
                <w:szCs w:val="21"/>
                <w14:textFill>
                  <w14:solidFill>
                    <w14:schemeClr w14:val="tx1"/>
                  </w14:solidFill>
                </w14:textFill>
              </w:rPr>
              <w:t>不纳入正式训练集。该库仅15名受试者，且官方明确标注其非为基础研究或发表用途设计。仅用于早期方法探索</w:t>
            </w:r>
          </w:p>
        </w:tc>
      </w:tr>
    </w:tbl>
    <w:p w14:paraId="3B00C89D">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这项审查的意义</w:t>
      </w:r>
    </w:p>
    <w:p w14:paraId="4F16038C">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剔除两个数据集意味着可用样本量的减少，但它换来了两件更重要的东西：一是项目在数据合规上不留隐患，二是训练集的每一条样本都经得起追溯。对一款未来要进入社区、面向老年人使用的产品而言，数据链条的可追溯性是产品可信度的一部分。</w:t>
      </w:r>
    </w:p>
    <w:p w14:paraId="4A193FFC">
      <w:pPr>
        <w:pStyle w:val="4"/>
        <w:keepNext w:val="0"/>
        <w:keepLines w:val="0"/>
        <w:kinsoku/>
        <w:wordWrap/>
        <w:overflowPunct/>
        <w:topLinePunct w:val="0"/>
        <w:autoSpaceDE/>
        <w:autoSpaceDN/>
        <w:bidi w:val="0"/>
        <w:adjustRightInd/>
        <w:snapToGrid/>
        <w:spacing w:line="300" w:lineRule="auto"/>
        <w:textAlignment w:val="auto"/>
      </w:pPr>
      <w:bookmarkStart w:id="99" w:name="_Toc27983"/>
      <w:bookmarkStart w:id="100" w:name="_Toc16250"/>
      <w:r>
        <w:rPr>
          <w:rFonts w:hint="eastAsia"/>
        </w:rPr>
        <w:t>3.6.4第二阶段：自有数据采集</w:t>
      </w:r>
      <w:bookmarkEnd w:id="99"/>
      <w:bookmarkEnd w:id="100"/>
    </w:p>
    <w:p w14:paraId="6704721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公开数据集能够支撑模型架构选型与基线验证，但无法替代自有数据，原因有二。其一，公开数据集均不包含柔性传感通道，而柔性传感与惯性测量的多模态融合正是本项目的技术特征。其二，公开数据集以健康步态与常规行走为主，缺乏本项目最需要的临跌倒失衡样本。</w:t>
      </w:r>
    </w:p>
    <w:p w14:paraId="15CF7715">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自有数据采集分两条线推进，目前已取得首批成果。</w:t>
      </w:r>
    </w:p>
    <w:p w14:paraId="5DB7459B">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8</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自有数据采集进展</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4"/>
        <w:gridCol w:w="2304"/>
        <w:gridCol w:w="1771"/>
        <w:gridCol w:w="3671"/>
      </w:tblGrid>
      <w:tr w14:paraId="7DCAE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5B0D1211">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采集线</w:t>
            </w:r>
          </w:p>
        </w:tc>
        <w:tc>
          <w:tcPr>
            <w:tcW w:w="230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6ED09582">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对象</w:t>
            </w:r>
          </w:p>
        </w:tc>
        <w:tc>
          <w:tcPr>
            <w:tcW w:w="0" w:type="auto"/>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35DB44FA">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规模</w:t>
            </w:r>
          </w:p>
        </w:tc>
        <w:tc>
          <w:tcPr>
            <w:tcW w:w="3671"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240196AA">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状态与用途</w:t>
            </w:r>
          </w:p>
        </w:tc>
      </w:tr>
      <w:tr w14:paraId="221F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6A453351">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社区真实老年步态</w:t>
            </w:r>
          </w:p>
        </w:tc>
        <w:tc>
          <w:tcPr>
            <w:tcW w:w="23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7E0464C0">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颐清园养老社区老年人</w:t>
            </w:r>
          </w:p>
        </w:tc>
        <w:tc>
          <w:tcPr>
            <w:tcW w:w="0" w:type="auto"/>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5F69F6D4">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已采集20余名老人，取得32份有效步态数据</w:t>
            </w:r>
          </w:p>
        </w:tc>
        <w:tc>
          <w:tcPr>
            <w:tcW w:w="3671"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1552549E">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已完成首批采集。这是团队首批自主采集、标注规范可控、人群特征与目标场景完全匹配的真实数据，构成本土老年步态数据集的起点，用于验证并修正模型在真实老年步态上的泛化能力</w:t>
            </w:r>
          </w:p>
        </w:tc>
      </w:tr>
      <w:tr w14:paraId="3B427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85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05D4A5A2">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模拟失衡样本</w:t>
            </w:r>
          </w:p>
        </w:tc>
        <w:tc>
          <w:tcPr>
            <w:tcW w:w="23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511608EF">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在校学生志愿者</w:t>
            </w:r>
          </w:p>
        </w:tc>
        <w:tc>
          <w:tcPr>
            <w:tcW w:w="1771"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0ACE44FF">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计划300名，招募中</w:t>
            </w:r>
          </w:p>
        </w:tc>
        <w:tc>
          <w:tcPr>
            <w:tcW w:w="3671"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25982780">
            <w:pPr>
              <w:keepNext/>
              <w:keepLines w:val="0"/>
              <w:pageBreakBefore w:val="0"/>
              <w:widowControl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在保护垫等安全条件下模拟老年步态特征与失衡动作，采集柔性传感与惯性同步信号，配合光学动捕系统提供时间标注金标准。目的是快速积累带标注的临跌倒样本，完成模型训练与初步调优</w:t>
            </w:r>
          </w:p>
        </w:tc>
      </w:tr>
    </w:tbl>
    <w:p w14:paraId="038CF5A4">
      <w:pPr>
        <w:keepNext w:val="0"/>
        <w:keepLines w:val="0"/>
        <w:pageBreakBefore w:val="0"/>
        <w:kinsoku/>
        <w:wordWrap/>
        <w:overflowPunct/>
        <w:topLinePunct w:val="0"/>
        <w:autoSpaceDE/>
        <w:autoSpaceDN/>
        <w:bidi w:val="0"/>
        <w:adjustRightInd/>
        <w:snapToGrid/>
        <w:spacing w:before="120" w:after="20" w:line="300" w:lineRule="auto"/>
        <w:ind w:left="0" w:leftChars="0" w:firstLine="0" w:firstLineChars="0"/>
        <w:jc w:val="center"/>
        <w:textAlignment w:val="auto"/>
        <w:rPr>
          <w:color w:val="000000" w:themeColor="text1"/>
          <w14:textFill>
            <w14:solidFill>
              <w14:schemeClr w14:val="tx1"/>
            </w14:solidFill>
          </w14:textFill>
        </w:rPr>
      </w:pPr>
    </w:p>
    <w:p w14:paraId="28F0A1C6">
      <w:pPr>
        <w:keepNext w:val="0"/>
        <w:keepLines w:val="0"/>
        <w:pageBreakBefore w:val="0"/>
        <w:kinsoku/>
        <w:wordWrap/>
        <w:overflowPunct/>
        <w:topLinePunct w:val="0"/>
        <w:autoSpaceDE/>
        <w:autoSpaceDN/>
        <w:bidi w:val="0"/>
        <w:adjustRightInd/>
        <w:snapToGrid/>
        <w:spacing w:before="120" w:after="20" w:line="300" w:lineRule="auto"/>
        <w:ind w:left="0" w:leftChars="0" w:firstLine="0" w:firstLineChars="0"/>
        <w:jc w:val="center"/>
        <w:textAlignment w:val="auto"/>
        <w:rPr>
          <w:color w:val="000000" w:themeColor="text1"/>
          <w14:textFill>
            <w14:solidFill>
              <w14:schemeClr w14:val="tx1"/>
            </w14:solidFill>
          </w14:textFill>
        </w:rPr>
      </w:pPr>
    </w:p>
    <w:p w14:paraId="36BE16E6">
      <w:pPr>
        <w:keepNext w:val="0"/>
        <w:keepLines w:val="0"/>
        <w:pageBreakBefore w:val="0"/>
        <w:kinsoku/>
        <w:wordWrap/>
        <w:overflowPunct/>
        <w:topLinePunct w:val="0"/>
        <w:autoSpaceDE/>
        <w:autoSpaceDN/>
        <w:bidi w:val="0"/>
        <w:adjustRightInd/>
        <w:snapToGrid/>
        <w:spacing w:before="120" w:after="20" w:line="300" w:lineRule="auto"/>
        <w:ind w:left="0" w:leftChars="0" w:firstLine="0" w:firstLineChars="0"/>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019935" cy="2166620"/>
            <wp:effectExtent l="0" t="0" r="8890" b="5080"/>
            <wp:docPr id="5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0"/>
                    <pic:cNvPicPr>
                      <a:picLocks noChangeAspect="1" noChangeArrowheads="1"/>
                    </pic:cNvPicPr>
                  </pic:nvPicPr>
                  <pic:blipFill>
                    <a:blip r:embed="rId27"/>
                    <a:srcRect/>
                    <a:stretch>
                      <a:fillRect/>
                    </a:stretch>
                  </pic:blipFill>
                  <pic:spPr>
                    <a:xfrm>
                      <a:off x="0" y="0"/>
                      <a:ext cx="2019935" cy="2166620"/>
                    </a:xfrm>
                    <a:prstGeom prst="rect">
                      <a:avLst/>
                    </a:prstGeom>
                  </pic:spPr>
                </pic:pic>
              </a:graphicData>
            </a:graphic>
          </wp:inline>
        </w:drawing>
      </w:r>
      <w:r>
        <w:rPr>
          <w:color w:val="000000" w:themeColor="text1"/>
          <w14:textFill>
            <w14:solidFill>
              <w14:schemeClr w14:val="tx1"/>
            </w14:solidFill>
          </w14:textFill>
        </w:rPr>
        <w:drawing>
          <wp:inline distT="0" distB="0" distL="0" distR="0">
            <wp:extent cx="1895475" cy="2171700"/>
            <wp:effectExtent l="0" t="0" r="0" b="0"/>
            <wp:docPr id="6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1"/>
                    <pic:cNvPicPr>
                      <a:picLocks noChangeAspect="1" noChangeArrowheads="1"/>
                    </pic:cNvPicPr>
                  </pic:nvPicPr>
                  <pic:blipFill>
                    <a:blip r:embed="rId28"/>
                    <a:srcRect/>
                    <a:stretch>
                      <a:fillRect/>
                    </a:stretch>
                  </pic:blipFill>
                  <pic:spPr>
                    <a:xfrm>
                      <a:off x="0" y="0"/>
                      <a:ext cx="1895475" cy="2171700"/>
                    </a:xfrm>
                    <a:prstGeom prst="rect">
                      <a:avLst/>
                    </a:prstGeom>
                  </pic:spPr>
                </pic:pic>
              </a:graphicData>
            </a:graphic>
          </wp:inline>
        </w:drawing>
      </w:r>
      <w:r>
        <w:rPr>
          <w:color w:val="000000" w:themeColor="text1"/>
          <w14:textFill>
            <w14:solidFill>
              <w14:schemeClr w14:val="tx1"/>
            </w14:solidFill>
          </w14:textFill>
        </w:rPr>
        <w:drawing>
          <wp:inline distT="0" distB="0" distL="0" distR="0">
            <wp:extent cx="1859915" cy="2171700"/>
            <wp:effectExtent l="0" t="0" r="6985" b="0"/>
            <wp:docPr id="6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2"/>
                    <pic:cNvPicPr>
                      <a:picLocks noChangeAspect="1" noChangeArrowheads="1"/>
                    </pic:cNvPicPr>
                  </pic:nvPicPr>
                  <pic:blipFill>
                    <a:blip r:embed="rId29"/>
                    <a:srcRect/>
                    <a:stretch>
                      <a:fillRect/>
                    </a:stretch>
                  </pic:blipFill>
                  <pic:spPr>
                    <a:xfrm>
                      <a:off x="0" y="0"/>
                      <a:ext cx="1859915" cy="2171700"/>
                    </a:xfrm>
                    <a:prstGeom prst="rect">
                      <a:avLst/>
                    </a:prstGeom>
                  </pic:spPr>
                </pic:pic>
              </a:graphicData>
            </a:graphic>
          </wp:inline>
        </w:drawing>
      </w:r>
    </w:p>
    <w:p w14:paraId="3F6CDBC7">
      <w:pPr>
        <w:pStyle w:val="8"/>
        <w:keepNext w:val="0"/>
        <w:keepLines w:val="0"/>
        <w:pageBreakBefore w:val="0"/>
        <w:kinsoku/>
        <w:wordWrap/>
        <w:overflowPunct/>
        <w:topLinePunct w:val="0"/>
        <w:autoSpaceDE/>
        <w:autoSpaceDN/>
        <w:bidi w:val="0"/>
        <w:adjustRightInd/>
        <w:snapToGrid/>
        <w:spacing w:before="120" w:after="20" w:line="300" w:lineRule="auto"/>
        <w:ind w:left="0" w:leftChars="0" w:firstLine="0" w:firstLineChars="0"/>
        <w:jc w:val="center"/>
        <w:textAlignment w:val="auto"/>
        <w:rPr>
          <w:color w:val="000000" w:themeColor="text1"/>
          <w14:textFill>
            <w14:solidFill>
              <w14:schemeClr w14:val="tx1"/>
            </w14:solidFill>
          </w14:textFill>
        </w:rPr>
      </w:pPr>
      <w:r>
        <w:rPr>
          <w:rFonts w:hint="eastAsia"/>
        </w:rP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rPr>
          <w:rFonts w:hint="eastAsia"/>
        </w:rPr>
        <w:instrText xml:space="preserve"> SEQ 图 \* ARABIC \s 1 </w:instrText>
      </w:r>
      <w:r>
        <w:fldChar w:fldCharType="separate"/>
      </w:r>
      <w:r>
        <w:t>4</w:t>
      </w:r>
      <w:r>
        <w:fldChar w:fldCharType="end"/>
      </w:r>
      <w:r>
        <w:rPr>
          <w:rFonts w:hint="eastAsia" w:ascii="黑体" w:hAnsi="黑体" w:eastAsia="黑体" w:cs="黑体"/>
          <w:color w:val="000000" w:themeColor="text1"/>
          <w:sz w:val="21"/>
          <w:szCs w:val="21"/>
          <w14:textFill>
            <w14:solidFill>
              <w14:schemeClr w14:val="tx1"/>
            </w14:solidFill>
          </w14:textFill>
        </w:rPr>
        <w:t>老年步态数据采集与实验室测试现场</w:t>
      </w:r>
    </w:p>
    <w:p w14:paraId="74AFB6E7">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两条采集线的伦理与安全设计：跌倒动作的模拟采集全部由青年志愿者在受保护条件下完成，老年受试者仅参与正常行走与日常动作的采集，不进行任何失衡或跌倒模拟。这既是伦理底线，也是采集方案能够在养老社区落地的前提。</w:t>
      </w:r>
    </w:p>
    <w:p w14:paraId="45D9D393">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关于学生模拟老年步态的方法学说明。以青年模拟老年步态存在固有局限，团队对此有清醒认识，并以三项措施加以控制。其一，模拟动作的设计由运动人体科学与运动康复专业成员依据老年步态的既有生物力学特征参数制定，包括步频降低、步长缩短、双支撑相延长、躯干前倾增加等，而非凭直觉模仿。其二，以社区采集的真实老年数据对模型进行迁移校正，模拟数据用于训练，真实数据用于校正与验证。其三，公开数据集中的真实老年惯性数据作为第三方交叉验证集，独立于自有数据评估模型表现。</w:t>
      </w:r>
    </w:p>
    <w:p w14:paraId="561B5D5D">
      <w:pPr>
        <w:pStyle w:val="4"/>
        <w:keepNext w:val="0"/>
        <w:keepLines w:val="0"/>
        <w:kinsoku/>
        <w:wordWrap/>
        <w:overflowPunct/>
        <w:topLinePunct w:val="0"/>
        <w:autoSpaceDE/>
        <w:autoSpaceDN/>
        <w:bidi w:val="0"/>
        <w:adjustRightInd/>
        <w:snapToGrid/>
        <w:spacing w:line="300" w:lineRule="auto"/>
        <w:textAlignment w:val="auto"/>
      </w:pPr>
      <w:bookmarkStart w:id="101" w:name="_Toc22914"/>
      <w:bookmarkStart w:id="102" w:name="_Toc2142"/>
      <w:r>
        <w:rPr>
          <w:rFonts w:hint="eastAsia"/>
        </w:rPr>
        <w:t>3.6.5实验验证方案</w:t>
      </w:r>
      <w:bookmarkEnd w:id="101"/>
      <w:bookmarkEnd w:id="102"/>
    </w:p>
    <w:p w14:paraId="0E4AA204">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研发以三组实验为驱动，各组实验的目标、方法与验证指标已完成设计。以下指标均为待验证目标。</w:t>
      </w:r>
    </w:p>
    <w:p w14:paraId="10773D83">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9</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三组核心验证实验设计</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4"/>
        <w:gridCol w:w="2064"/>
        <w:gridCol w:w="2752"/>
        <w:gridCol w:w="2580"/>
      </w:tblGrid>
      <w:tr w14:paraId="35F65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A2B2BE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实验</w:t>
            </w:r>
          </w:p>
        </w:tc>
        <w:tc>
          <w:tcPr>
            <w:tcW w:w="206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98689B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目标</w:t>
            </w:r>
          </w:p>
        </w:tc>
        <w:tc>
          <w:tcPr>
            <w:tcW w:w="275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0F9109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方法</w:t>
            </w:r>
          </w:p>
        </w:tc>
        <w:tc>
          <w:tcPr>
            <w:tcW w:w="258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3AADB3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验证指标（目标值）</w:t>
            </w:r>
          </w:p>
        </w:tc>
      </w:tr>
      <w:tr w14:paraId="2FD8B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BEC5DC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实验一传感可行性</w:t>
            </w:r>
          </w:p>
        </w:tc>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B3231E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验证柔性传感织物能稳定捕捉腰髋区域运动信号</w:t>
            </w:r>
          </w:p>
        </w:tc>
        <w:tc>
          <w:tcPr>
            <w:tcW w:w="27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D332B7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组装柔性传感与惯性模块，志愿者完成行走、起坐、弯腰、转身、侧向失衡等标准动作</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5AD84C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信号峰值与波形重复性、信噪比、响应时间、与惯性信号的相关性、不同动作间的可区分度</w:t>
            </w:r>
          </w:p>
        </w:tc>
      </w:tr>
      <w:tr w14:paraId="4C6BF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DAD1EE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实验二算法准确性</w:t>
            </w:r>
          </w:p>
        </w:tc>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D29506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低误报率区分正常动作、可恢复晃动与不可逆跌倒趋势</w:t>
            </w:r>
          </w:p>
        </w:tc>
        <w:tc>
          <w:tcPr>
            <w:tcW w:w="275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3DED18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以动捕系统同步采集作为标注金标准，训练多模态融合模型；对高误报风险动作定向加强</w:t>
            </w:r>
          </w:p>
        </w:tc>
        <w:tc>
          <w:tcPr>
            <w:tcW w:w="25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BBAD1A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准确率、召回率、误报率（目标5%以内）、漏报率、提前识别时间、端侧推理延迟</w:t>
            </w:r>
          </w:p>
        </w:tc>
      </w:tr>
      <w:tr w14:paraId="038F4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3CA820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实验三气囊有效性</w:t>
            </w:r>
          </w:p>
        </w:tc>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EE2946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以力学数据验证气囊对腰髋冲击的削减效果，并测定气路时序</w:t>
            </w:r>
          </w:p>
        </w:tc>
        <w:tc>
          <w:tcPr>
            <w:tcW w:w="27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EBC087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假人侧向与后向自由落体测试，髋部与腰骶部布置压力薄膜传感器；设无护具、普通护腰、未充气、已充气四组对照</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FEEAF0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峰值冲击力下降比例（目标不低于50%）、从阀门开启至覆盖完成的展开时间（目标百毫秒级）、关键区域覆盖率</w:t>
            </w:r>
          </w:p>
        </w:tc>
      </w:tr>
    </w:tbl>
    <w:p w14:paraId="51BD1BD7">
      <w:pPr>
        <w:pStyle w:val="4"/>
        <w:keepNext w:val="0"/>
        <w:keepLines w:val="0"/>
        <w:kinsoku/>
        <w:wordWrap/>
        <w:overflowPunct/>
        <w:topLinePunct w:val="0"/>
        <w:autoSpaceDE/>
        <w:autoSpaceDN/>
        <w:bidi w:val="0"/>
        <w:adjustRightInd/>
        <w:snapToGrid/>
        <w:spacing w:line="300" w:lineRule="auto"/>
        <w:textAlignment w:val="auto"/>
      </w:pPr>
      <w:bookmarkStart w:id="103" w:name="_Toc24721"/>
      <w:bookmarkStart w:id="104" w:name="_Toc20894"/>
      <w:r>
        <w:rPr>
          <w:rFonts w:hint="eastAsia"/>
        </w:rPr>
        <w:t>3.6.6当前完成度</w:t>
      </w:r>
      <w:bookmarkEnd w:id="103"/>
      <w:bookmarkEnd w:id="104"/>
    </w:p>
    <w:p w14:paraId="669DC79B">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10</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项目当前完成度</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4"/>
        <w:gridCol w:w="1376"/>
        <w:gridCol w:w="5160"/>
      </w:tblGrid>
      <w:tr w14:paraId="50BA4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F4EA3F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工作项</w:t>
            </w:r>
          </w:p>
        </w:tc>
        <w:tc>
          <w:tcPr>
            <w:tcW w:w="137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3BBAAA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状态</w:t>
            </w:r>
          </w:p>
        </w:tc>
        <w:tc>
          <w:tcPr>
            <w:tcW w:w="51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4F8B60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说明</w:t>
            </w:r>
          </w:p>
        </w:tc>
      </w:tr>
      <w:tr w14:paraId="5146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9A3183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系统架构与技术路线设计</w:t>
            </w:r>
          </w:p>
        </w:tc>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FF9213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已完成</w:t>
            </w:r>
          </w:p>
        </w:tc>
        <w:tc>
          <w:tcPr>
            <w:tcW w:w="51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8BA587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四层架构、器件选型、算法架构已确定</w:t>
            </w:r>
          </w:p>
        </w:tc>
      </w:tr>
      <w:tr w14:paraId="08216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BA7A64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公开数据集获取与合规审查</w:t>
            </w:r>
          </w:p>
        </w:tc>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B0F5DD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已完成</w:t>
            </w:r>
          </w:p>
        </w:tc>
        <w:tc>
          <w:tcPr>
            <w:tcW w:w="51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29DB7F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5个数据集纳入训练，2个数据集经审查后排除</w:t>
            </w:r>
          </w:p>
        </w:tc>
      </w:tr>
      <w:tr w14:paraId="4A8C3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EFAB55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社区真实老年步态采集</w:t>
            </w:r>
          </w:p>
        </w:tc>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07F522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首批已完成</w:t>
            </w:r>
          </w:p>
        </w:tc>
        <w:tc>
          <w:tcPr>
            <w:tcW w:w="51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F8AA33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20余名老人，32份有效步态数据</w:t>
            </w:r>
          </w:p>
        </w:tc>
      </w:tr>
      <w:tr w14:paraId="432F6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1162F8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算法基线验证</w:t>
            </w:r>
          </w:p>
        </w:tc>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6D10C1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进行中</w:t>
            </w:r>
          </w:p>
        </w:tc>
        <w:tc>
          <w:tcPr>
            <w:tcW w:w="51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6F6CBC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基于公开数据集与首批自有数据开展模型架构选型与基线对照</w:t>
            </w:r>
          </w:p>
        </w:tc>
      </w:tr>
      <w:tr w14:paraId="0B9E8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CD79C3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网页端管理平台</w:t>
            </w:r>
          </w:p>
        </w:tc>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1DEAB5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已完成开发</w:t>
            </w:r>
          </w:p>
        </w:tc>
        <w:tc>
          <w:tcPr>
            <w:tcW w:w="51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8BD4F6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具备演示条件</w:t>
            </w:r>
          </w:p>
        </w:tc>
      </w:tr>
      <w:tr w14:paraId="50B63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522BC8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移动端应用</w:t>
            </w:r>
          </w:p>
        </w:tc>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63AAFE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开发中</w:t>
            </w:r>
          </w:p>
        </w:tc>
        <w:tc>
          <w:tcPr>
            <w:tcW w:w="51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6E1F37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面向家属与网格员的事件触达与提醒</w:t>
            </w:r>
          </w:p>
        </w:tc>
      </w:tr>
      <w:tr w14:paraId="45DCE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6ACBED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模拟失衡样本采集</w:t>
            </w:r>
          </w:p>
        </w:tc>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1EDAC1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招募中</w:t>
            </w:r>
          </w:p>
        </w:tc>
        <w:tc>
          <w:tcPr>
            <w:tcW w:w="51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F0D826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已发布志愿者招募，计划300名</w:t>
            </w:r>
          </w:p>
        </w:tc>
      </w:tr>
      <w:tr w14:paraId="68EBB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1AFDFA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三组验证实验</w:t>
            </w:r>
          </w:p>
        </w:tc>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FE6D8A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方案已定，待执行</w:t>
            </w:r>
          </w:p>
        </w:tc>
        <w:tc>
          <w:tcPr>
            <w:tcW w:w="51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20427C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实验设计、指标与对照组设置已完成</w:t>
            </w:r>
          </w:p>
        </w:tc>
      </w:tr>
      <w:tr w14:paraId="49F08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AFACBF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核心部件询价</w:t>
            </w:r>
          </w:p>
        </w:tc>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87430C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进行中</w:t>
            </w:r>
          </w:p>
        </w:tc>
        <w:tc>
          <w:tcPr>
            <w:tcW w:w="51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5CFB35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气囊模组已获初步报价；柔性传感织物、储气罐与电磁阀询价推进中</w:t>
            </w:r>
          </w:p>
        </w:tc>
      </w:tr>
      <w:tr w14:paraId="5DA0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FD96F8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集成样机试制</w:t>
            </w:r>
          </w:p>
        </w:tc>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1E1034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未开展</w:t>
            </w:r>
          </w:p>
        </w:tc>
        <w:tc>
          <w:tcPr>
            <w:tcW w:w="51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56E60A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当前阶段不以整机试制为目标</w:t>
            </w:r>
          </w:p>
        </w:tc>
      </w:tr>
    </w:tbl>
    <w:p w14:paraId="20ABB7AD">
      <w:pPr>
        <w:pStyle w:val="3"/>
        <w:bidi w:val="0"/>
      </w:pPr>
      <w:bookmarkStart w:id="105" w:name="_Toc24197"/>
      <w:bookmarkStart w:id="106" w:name="_Toc24229"/>
      <w:r>
        <w:rPr>
          <w:rFonts w:hint="eastAsia"/>
        </w:rPr>
        <w:t>3.7技术资产与竞争壁垒</w:t>
      </w:r>
      <w:bookmarkEnd w:id="105"/>
      <w:bookmarkEnd w:id="106"/>
    </w:p>
    <w:p w14:paraId="43D94B81">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一件硬件产品可以被模仿，一套服务模式可以被复制，真正难以跨越的是团队在特定学科交叉处积累的能力。本节说明本项目的三项技术资产，以及它们为什么难以被同类团队复现。</w:t>
      </w:r>
    </w:p>
    <w:p w14:paraId="5D974AAF">
      <w:pPr>
        <w:pStyle w:val="4"/>
        <w:keepNext w:val="0"/>
        <w:keepLines w:val="0"/>
        <w:kinsoku/>
        <w:wordWrap/>
        <w:overflowPunct/>
        <w:topLinePunct w:val="0"/>
        <w:autoSpaceDE/>
        <w:autoSpaceDN/>
        <w:bidi w:val="0"/>
        <w:adjustRightInd/>
        <w:snapToGrid/>
        <w:spacing w:line="300" w:lineRule="auto"/>
        <w:textAlignment w:val="auto"/>
      </w:pPr>
      <w:bookmarkStart w:id="107" w:name="_Toc5640"/>
      <w:bookmarkStart w:id="108" w:name="_Toc12949"/>
      <w:r>
        <w:rPr>
          <w:rFonts w:hint="eastAsia"/>
        </w:rPr>
        <w:t>3.7.1资产一：运动生物力学驱动的特征工程方法论</w:t>
      </w:r>
      <w:bookmarkEnd w:id="107"/>
      <w:bookmarkEnd w:id="108"/>
    </w:p>
    <w:p w14:paraId="7F231980">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这是本项目最核心、也最不易被察觉的壁垒。</w:t>
      </w:r>
    </w:p>
    <w:p w14:paraId="417632A6">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绝大多数跌倒检测研究把问题当作一个时间序列分类任务处理：输入加速度信号，输出跌倒与否，模型架构的优劣决定成败。这条路径的天花板很明显——当日常动作与跌倒早期在信号幅值上高度重叠时，再深的网络也难以拉开区分度。</w:t>
      </w:r>
    </w:p>
    <w:p w14:paraId="5701AA56">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我们的路径不同：跌倒的本质不是一段异常信号，而是人体平衡控制的失效。这是运动生物力学的经典问题，有成熟的理论框架与量化指标——重心与压力中心的相对位移、稳定性边界、步态周期中支撑相与摆动相的时长比、步态对称性与跨步变异性、躯干与骨盆的相对角速度。这些量描述的是人还能不能把自己拉回来，而不是信号有没有变大。</w:t>
      </w:r>
    </w:p>
    <w:p w14:paraId="60949433">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把这些运动学量作为特征输入模型，等于把领域知识注入了算法。其直接后果是：在相同的模型规模下获得更高的区分度。这一点在必须部署于微控制器的端侧推理场景中尤为关键——我们无法靠堆参数取胜，只能靠特征更聪明。</w:t>
      </w:r>
    </w:p>
    <w:p w14:paraId="5CDA2E2E">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这项能力从哪里来</w:t>
      </w:r>
    </w:p>
    <w:p w14:paraId="0F4F8F31">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它来自北京体育大学在运动人体科学与运动康复两个优势学科上的积累，来自体育工程实验室的高精度光学动捕平台，也来自团队中运动康复与运动人体科学专业成员对人体运动的专业理解。</w:t>
      </w:r>
    </w:p>
    <w:p w14:paraId="57710070">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一个纯工科背景的团队可以买到同样的传感器、复现同样的网络结构，但难以在短期内建立起对人体平衡控制机制的系统认知。这不是查资料能补上的，而是学科训练的产物。</w:t>
      </w:r>
    </w:p>
    <w:p w14:paraId="4242889A">
      <w:pPr>
        <w:pStyle w:val="4"/>
        <w:keepNext w:val="0"/>
        <w:keepLines w:val="0"/>
        <w:kinsoku/>
        <w:wordWrap/>
        <w:overflowPunct/>
        <w:topLinePunct w:val="0"/>
        <w:autoSpaceDE/>
        <w:autoSpaceDN/>
        <w:bidi w:val="0"/>
        <w:adjustRightInd/>
        <w:snapToGrid/>
        <w:spacing w:line="300" w:lineRule="auto"/>
        <w:textAlignment w:val="auto"/>
      </w:pPr>
      <w:bookmarkStart w:id="109" w:name="_Toc29808"/>
      <w:bookmarkStart w:id="110" w:name="_Toc19529"/>
      <w:r>
        <w:rPr>
          <w:rFonts w:hint="eastAsia"/>
        </w:rPr>
        <w:t>3.7.2资产二：本土老年危险步态多模态数据集</w:t>
      </w:r>
      <w:bookmarkEnd w:id="109"/>
      <w:bookmarkEnd w:id="110"/>
    </w:p>
    <w:p w14:paraId="6E196B90">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数据是算法的护城河，而本项目的数据具有三项不易复制的特征。</w:t>
      </w:r>
    </w:p>
    <w:p w14:paraId="297112AB">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—多模态且带金标准标注。柔性传感与惯性的同步信号，配合光学动捕系统提供的时间与运动学标注。目前尚无公开数据集包含柔性传感通道，这部分数据是自建的。</w:t>
      </w:r>
    </w:p>
    <w:p w14:paraId="31511249">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本土人群。现有主流公开数据集以欧美人群为主，而我国老年群体常见的拖步、小碎步、偏瘫步态等特征在其中样本不足。这正是国外同类产品在中国场景下误报率偏高的根源。已完成的32份社区真实老年步态数据是这一资产的起点。</w:t>
      </w:r>
    </w:p>
    <w:p w14:paraId="192C784E">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—采集平台不可替代。高精度光学动捕系统是获得可靠标注的前提，而这类平台在体育类院校属于常规科研设施，对多数团队而言则是难以获取的资源。</w:t>
      </w:r>
    </w:p>
    <w:p w14:paraId="6A2FB3E0">
      <w:pPr>
        <w:pStyle w:val="4"/>
        <w:keepNext w:val="0"/>
        <w:keepLines w:val="0"/>
        <w:kinsoku/>
        <w:wordWrap/>
        <w:overflowPunct/>
        <w:topLinePunct w:val="0"/>
        <w:autoSpaceDE/>
        <w:autoSpaceDN/>
        <w:bidi w:val="0"/>
        <w:adjustRightInd/>
        <w:snapToGrid/>
        <w:spacing w:line="300" w:lineRule="auto"/>
        <w:textAlignment w:val="auto"/>
      </w:pPr>
      <w:bookmarkStart w:id="111" w:name="_Toc27864"/>
      <w:bookmarkStart w:id="112" w:name="_Toc15692"/>
      <w:r>
        <w:rPr>
          <w:rFonts w:hint="eastAsia"/>
        </w:rPr>
        <w:t>3.7.3资产三：端侧轻量化推理框架</w:t>
      </w:r>
      <w:bookmarkEnd w:id="111"/>
      <w:bookmarkEnd w:id="112"/>
    </w:p>
    <w:p w14:paraId="6178FF2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在微控制器上完成实时多模态推理，需要在模型规模、推理延迟、功耗与准确率之间做系统性权衡。这套工程能力一旦形成，其价值不局限于跌倒防护这一个场景，它是柔性传感织物、端侧智能与主动执行机构这一完整技术路线的通用底座。</w:t>
      </w:r>
    </w:p>
    <w:p w14:paraId="7A38CE1B">
      <w:pPr>
        <w:pStyle w:val="4"/>
        <w:keepNext w:val="0"/>
        <w:keepLines w:val="0"/>
        <w:kinsoku/>
        <w:wordWrap/>
        <w:overflowPunct/>
        <w:topLinePunct w:val="0"/>
        <w:autoSpaceDE/>
        <w:autoSpaceDN/>
        <w:bidi w:val="0"/>
        <w:adjustRightInd/>
        <w:snapToGrid/>
        <w:spacing w:line="300" w:lineRule="auto"/>
        <w:textAlignment w:val="auto"/>
      </w:pPr>
      <w:bookmarkStart w:id="113" w:name="_Toc8476"/>
      <w:bookmarkStart w:id="114" w:name="_Toc29738"/>
      <w:r>
        <w:rPr>
          <w:rFonts w:hint="eastAsia"/>
        </w:rPr>
        <w:t>3.7.4技术资产的可迁移性：从防跌到运动损伤防护</w:t>
      </w:r>
      <w:bookmarkEnd w:id="113"/>
      <w:bookmarkEnd w:id="114"/>
    </w:p>
    <w:p w14:paraId="709E43D3">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上述三项资产共同定义了本团队的能力边界：我们真正掌握的，是在人体运动即将失控的瞬间识别它、并在伤害形成前介入这一类问题。跌倒防护是这类问题在养老场景下的一个实例，但不是唯一实例。</w:t>
      </w:r>
    </w:p>
    <w:p w14:paraId="309F14DE">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最直接的延伸场景是运动损伤防护。运动防护的专业逻辑与本项目高度同构，即预判损伤风险动作、在损伤发生前介入干预。前交叉韧带损伤、踝关节扭伤等典型运动损伤同样发生于百毫秒量级的失稳过程，同样依赖对运动学信号的实时判别，同样需要柔性、贴身、不干扰运动的传感形态。</w:t>
      </w:r>
    </w:p>
    <w:p w14:paraId="4174D86F">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为什么这条延伸路径对本团队是现实的</w:t>
      </w:r>
    </w:p>
    <w:p w14:paraId="025F2E5A">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指导教师之一阮槟老师任职于运动医学与康复学院，具有高级运动防护师资质，运动损伤的预防与防护正是其专业领域；团队中运动康复与运动人体科学专业成员的知识结构与该场景直接匹配；北京体育大学在运动训练与运动防护领域拥有丰富的应用场景与合作资源。</w:t>
      </w:r>
    </w:p>
    <w:p w14:paraId="6147BD78">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换言之，这条延伸路径不是纸面上的想象空间，而是本团队学科背景的自然射程。</w:t>
      </w:r>
    </w:p>
    <w:p w14:paraId="6EC84C4C">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在此之外，同一套技术底座还可向康复训练过程监测、职业健康等方向延展，后者包括久坐人群与建筑物流从业者的姿态劳损防护。这些方向不进入一期与二期的产品规划，此处列出是为了说明：本项目的技术积累不是为单一产品服务的一次性投入，而是一项可复用的能力资产。</w:t>
      </w:r>
    </w:p>
    <w:p w14:paraId="09D80140">
      <w:pPr>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762500" cy="3657600"/>
            <wp:effectExtent l="0" t="0" r="0" b="0"/>
            <wp:docPr id="6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3"/>
                    <pic:cNvPicPr>
                      <a:picLocks noChangeAspect="1" noChangeArrowheads="1"/>
                    </pic:cNvPicPr>
                  </pic:nvPicPr>
                  <pic:blipFill>
                    <a:blip r:embed="rId30"/>
                    <a:srcRect/>
                    <a:stretch>
                      <a:fillRect/>
                    </a:stretch>
                  </pic:blipFill>
                  <pic:spPr>
                    <a:xfrm>
                      <a:off x="0" y="0"/>
                      <a:ext cx="4762500" cy="3657600"/>
                    </a:xfrm>
                    <a:prstGeom prst="rect">
                      <a:avLst/>
                    </a:prstGeom>
                  </pic:spPr>
                </pic:pic>
              </a:graphicData>
            </a:graphic>
          </wp:inline>
        </w:drawing>
      </w:r>
    </w:p>
    <w:p w14:paraId="6585E310">
      <w:pPr>
        <w:pStyle w:val="8"/>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rFonts w:hint="eastAsia"/>
        </w:rP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rPr>
          <w:rFonts w:hint="eastAsia"/>
        </w:rPr>
        <w:instrText xml:space="preserve"> SEQ 图 \* ARABIC \s 1 </w:instrText>
      </w:r>
      <w:r>
        <w:fldChar w:fldCharType="separate"/>
      </w:r>
      <w:r>
        <w:t>5</w:t>
      </w:r>
      <w:r>
        <w:fldChar w:fldCharType="end"/>
      </w:r>
      <w:r>
        <w:rPr>
          <w:rFonts w:hint="eastAsia" w:ascii="黑体" w:hAnsi="黑体" w:eastAsia="黑体" w:cs="黑体"/>
          <w:color w:val="000000" w:themeColor="text1"/>
          <w:sz w:val="21"/>
          <w:szCs w:val="21"/>
          <w14:textFill>
            <w14:solidFill>
              <w14:schemeClr w14:val="tx1"/>
            </w14:solidFill>
          </w14:textFill>
        </w:rPr>
        <w:t>技术资产与应用场景延展关系图</w:t>
      </w:r>
    </w:p>
    <w:p w14:paraId="0A69F6A4">
      <w:pPr>
        <w:pStyle w:val="3"/>
        <w:bidi w:val="0"/>
      </w:pPr>
      <w:bookmarkStart w:id="115" w:name="_Toc19043"/>
      <w:bookmarkStart w:id="116" w:name="_Toc15728"/>
      <w:r>
        <w:rPr>
          <w:rFonts w:hint="eastAsia"/>
        </w:rPr>
        <w:t>3.8知识产权与学术产出</w:t>
      </w:r>
      <w:bookmarkEnd w:id="115"/>
      <w:bookmarkEnd w:id="116"/>
    </w:p>
    <w:p w14:paraId="22145FB1">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团队围绕核心技术开展知识产权布局，当前状态如实列示如下。</w:t>
      </w:r>
    </w:p>
    <w:p w14:paraId="33B4CE58">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11</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知识产权与学术产出状态</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8"/>
        <w:gridCol w:w="1720"/>
        <w:gridCol w:w="5332"/>
      </w:tblGrid>
      <w:tr w14:paraId="5271D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7FC944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类型</w:t>
            </w:r>
          </w:p>
        </w:tc>
        <w:tc>
          <w:tcPr>
            <w:tcW w:w="172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DBD8A3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状态</w:t>
            </w:r>
          </w:p>
        </w:tc>
        <w:tc>
          <w:tcPr>
            <w:tcW w:w="53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7E38DE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说明</w:t>
            </w:r>
          </w:p>
        </w:tc>
      </w:tr>
      <w:tr w14:paraId="71169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5381B1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发明专利</w:t>
            </w:r>
          </w:p>
        </w:tc>
        <w:tc>
          <w:tcPr>
            <w:tcW w:w="17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DFE286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已提交申请</w:t>
            </w:r>
          </w:p>
        </w:tc>
        <w:tc>
          <w:tcPr>
            <w:tcW w:w="53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2D67FD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围绕柔性传感与主动缓冲防护的集成结构及触发控制方法</w:t>
            </w:r>
          </w:p>
        </w:tc>
      </w:tr>
      <w:tr w14:paraId="52CF4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0DFE45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软件著作权</w:t>
            </w:r>
          </w:p>
        </w:tc>
        <w:tc>
          <w:tcPr>
            <w:tcW w:w="172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C5A493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已提交申请</w:t>
            </w:r>
          </w:p>
        </w:tc>
        <w:tc>
          <w:tcPr>
            <w:tcW w:w="53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626905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围绕多模态步态特征提取与端侧推理相关软件</w:t>
            </w:r>
          </w:p>
        </w:tc>
      </w:tr>
      <w:tr w14:paraId="3C031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4BA30C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学术论文</w:t>
            </w:r>
          </w:p>
        </w:tc>
        <w:tc>
          <w:tcPr>
            <w:tcW w:w="17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07C278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撰写中</w:t>
            </w:r>
          </w:p>
        </w:tc>
        <w:tc>
          <w:tcPr>
            <w:tcW w:w="53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7ED05B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研究方向为老年步态分析，依托本项目的数据采集与特征体系开展，拟投ICSTPA</w:t>
            </w:r>
          </w:p>
        </w:tc>
      </w:tr>
    </w:tbl>
    <w:p w14:paraId="38AD510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除专利与软著外，本项目的自有数据集及其标注体系亦构成事实上的技术资产。该部分不通过公开申请形成权利，而通过持续积累与采集平台的独占性形成壁垒。</w:t>
      </w:r>
    </w:p>
    <w:p w14:paraId="6931C08F">
      <w:pPr>
        <w:pStyle w:val="2"/>
        <w:bidi w:val="0"/>
      </w:pPr>
      <w:bookmarkStart w:id="117" w:name="_Toc18521"/>
      <w:bookmarkStart w:id="118" w:name="_Toc19864"/>
      <w:r>
        <w:rPr>
          <w:rFonts w:hint="eastAsia"/>
        </w:rPr>
        <w:t>商业模式</w:t>
      </w:r>
      <w:bookmarkEnd w:id="117"/>
      <w:bookmarkEnd w:id="118"/>
    </w:p>
    <w:p w14:paraId="6C4EE73E">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本章回答两个问题：这套东西怎么在一个真实社区里跑起来，以及它能不能复制到第二个、第十个社区。</w:t>
      </w:r>
    </w:p>
    <w:p w14:paraId="036CB1A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需要先说明本章的一个基本判断。安行护腰不是一件卖给个人的消费电子产品，而是一套嵌入社区养老服务体系的防跌服务方案。产品是这套方案的载体，但不是全部。如果只把它当作一件护具来卖，它将面临与所有养老硬件相同的困境：老人不愿买、子女买了老人不戴、机构采购后无人运营。本章的全部设计都围绕如何避开这个困境展开。</w:t>
      </w:r>
    </w:p>
    <w:p w14:paraId="47141D11">
      <w:pPr>
        <w:pStyle w:val="3"/>
        <w:bidi w:val="0"/>
      </w:pPr>
      <w:bookmarkStart w:id="119" w:name="_Toc8802"/>
      <w:bookmarkStart w:id="120" w:name="_Toc4873"/>
      <w:r>
        <w:rPr>
          <w:rFonts w:hint="eastAsia"/>
        </w:rPr>
        <w:t>4.1目标客户与用户画像</w:t>
      </w:r>
      <w:bookmarkEnd w:id="119"/>
      <w:bookmarkEnd w:id="120"/>
    </w:p>
    <w:p w14:paraId="08E50DA3">
      <w:pPr>
        <w:pStyle w:val="4"/>
        <w:keepNext w:val="0"/>
        <w:keepLines w:val="0"/>
        <w:kinsoku/>
        <w:wordWrap/>
        <w:overflowPunct/>
        <w:topLinePunct w:val="0"/>
        <w:autoSpaceDE/>
        <w:autoSpaceDN/>
        <w:bidi w:val="0"/>
        <w:adjustRightInd/>
        <w:snapToGrid/>
        <w:spacing w:line="300" w:lineRule="auto"/>
        <w:textAlignment w:val="auto"/>
      </w:pPr>
      <w:bookmarkStart w:id="121" w:name="_Toc5290"/>
      <w:bookmarkStart w:id="122" w:name="_Toc29562"/>
      <w:r>
        <w:rPr>
          <w:rFonts w:hint="eastAsia"/>
        </w:rPr>
        <w:t>4.1.1付费方与使用方分离的双边结构</w:t>
      </w:r>
      <w:bookmarkEnd w:id="121"/>
      <w:bookmarkEnd w:id="122"/>
    </w:p>
    <w:p w14:paraId="1AF45F2F">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养老产品的一个基本特征是使用者与付费者往往不是同一个人。第二章2.2.4已就使用者、影响者、付费者三个角色作出界定，本节进一步说明其在商业结构上的安排。</w:t>
      </w:r>
    </w:p>
    <w:p w14:paraId="42742FB4">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项目的双边客户结构</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6"/>
        <w:gridCol w:w="2580"/>
        <w:gridCol w:w="4644"/>
      </w:tblGrid>
      <w:tr w14:paraId="7887D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E51607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角色</w:t>
            </w:r>
          </w:p>
        </w:tc>
        <w:tc>
          <w:tcPr>
            <w:tcW w:w="258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91EAE5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主体</w:t>
            </w:r>
          </w:p>
        </w:tc>
        <w:tc>
          <w:tcPr>
            <w:tcW w:w="464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03E148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诉求</w:t>
            </w:r>
          </w:p>
        </w:tc>
      </w:tr>
      <w:tr w14:paraId="78E6A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9DBB8B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使用方</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31345D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社区居家老人，60岁以上、具备自主行走能力、存在跌倒风险</w:t>
            </w:r>
          </w:p>
        </w:tc>
        <w:tc>
          <w:tcPr>
            <w:tcW w:w="464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FEC308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不显眼、不添麻烦、戴着舒服；不希望被当作病人；对被监视高度敏感</w:t>
            </w:r>
          </w:p>
        </w:tc>
      </w:tr>
      <w:tr w14:paraId="3334B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504ECD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付费方（一期）</w:t>
            </w:r>
          </w:p>
        </w:tc>
        <w:tc>
          <w:tcPr>
            <w:tcW w:w="25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664408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社区养老服务驿站、区域养老服务中心、街道民政</w:t>
            </w:r>
          </w:p>
        </w:tc>
        <w:tc>
          <w:tcPr>
            <w:tcW w:w="464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518882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降低服务对象在管辖范围内发生意外的概率与责任风险；有可量化、可上报的服务成效</w:t>
            </w:r>
          </w:p>
        </w:tc>
      </w:tr>
      <w:tr w14:paraId="50A18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812775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付费方（二期）</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309FC8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成年子女</w:t>
            </w:r>
          </w:p>
        </w:tc>
        <w:tc>
          <w:tcPr>
            <w:tcW w:w="464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A65537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不能时刻陪伴时的安心感；能看到父母的日常状态</w:t>
            </w:r>
          </w:p>
        </w:tc>
      </w:tr>
      <w:tr w14:paraId="283E1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39C587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协同方</w:t>
            </w:r>
          </w:p>
        </w:tc>
        <w:tc>
          <w:tcPr>
            <w:tcW w:w="25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8EB533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社区网格员、家庭养老床位签约服务商</w:t>
            </w:r>
          </w:p>
        </w:tc>
        <w:tc>
          <w:tcPr>
            <w:tcW w:w="464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4C4D8E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事件发生时能第一时间收到通知并到场；日常照护有依据可循</w:t>
            </w:r>
          </w:p>
        </w:tc>
      </w:tr>
    </w:tbl>
    <w:p w14:paraId="6815EF01">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一结构决定了一期的市场进入必须走机构端而非消费端。原因很直接：老人自己不会为一件可能永远用不上的防护装备付费，子女的购买意愿受限于对父母是否愿意佩戴的怀疑，而机构端有明确的责任驱动——一位老人在机构服务范围内跌倒骨折，机构面临的是责任认定、家属追责与声誉损失，其成本远高于设备采购支出。</w:t>
      </w:r>
    </w:p>
    <w:p w14:paraId="3A03F319">
      <w:pPr>
        <w:pStyle w:val="4"/>
        <w:keepNext w:val="0"/>
        <w:keepLines w:val="0"/>
        <w:kinsoku/>
        <w:wordWrap/>
        <w:overflowPunct/>
        <w:topLinePunct w:val="0"/>
        <w:autoSpaceDE/>
        <w:autoSpaceDN/>
        <w:bidi w:val="0"/>
        <w:adjustRightInd/>
        <w:snapToGrid/>
        <w:spacing w:line="300" w:lineRule="auto"/>
        <w:textAlignment w:val="auto"/>
      </w:pPr>
      <w:bookmarkStart w:id="123" w:name="_Toc9739"/>
      <w:bookmarkStart w:id="124" w:name="_Toc10906"/>
      <w:r>
        <w:rPr>
          <w:rFonts w:hint="eastAsia"/>
        </w:rPr>
        <w:t>4.1.2三类客户画像</w:t>
      </w:r>
      <w:bookmarkEnd w:id="123"/>
      <w:bookmarkEnd w:id="124"/>
    </w:p>
    <w:p w14:paraId="72E72706">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客户一：社区养老服务驿站。最贴近老人日常生活的服务点位，承担助餐、助浴、日间照料与巡视探访职能，直接掌握辖区内高龄、独居老人的名册。其痛点在于服务对象分散在各自家中，服务人员数量有限，无法做到持续在场，而巡视探访之间的空档期正是意外高发窗口。驿站是本项目最核心的落地单元。</w:t>
      </w:r>
    </w:p>
    <w:p w14:paraId="2657BC2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客户二：区域养老服务中心与养老机构。服务能力更强、床位与人员规模更大，对安全管理制度化的要求更高。其采购决策更看重可管理性——是否有统一的数据看板、是否能形成可留档的服务记录、是否有助于应对监管检查。这三项需求正是网页端管理平台的设计出发点。</w:t>
      </w:r>
    </w:p>
    <w:p w14:paraId="20451F3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客户三：街道民政与政府购买服务。以辖区整体养老服务水平与老年人安全指标为考核导向，关注的是覆盖率、示范性与可推广性。这类客户不直接使用产品，但决定了资金来源与推广速度，是模式能否规模化的关键。</w:t>
      </w:r>
    </w:p>
    <w:p w14:paraId="16168544">
      <w:pPr>
        <w:pStyle w:val="3"/>
        <w:bidi w:val="0"/>
      </w:pPr>
      <w:bookmarkStart w:id="125" w:name="_Toc8218"/>
      <w:bookmarkStart w:id="126" w:name="_Toc6308"/>
      <w:r>
        <w:rPr>
          <w:rFonts w:hint="eastAsia"/>
        </w:rPr>
        <w:t>4.2业务闭环：社区防跌安全服务模式</w:t>
      </w:r>
      <w:bookmarkEnd w:id="125"/>
      <w:bookmarkEnd w:id="126"/>
    </w:p>
    <w:p w14:paraId="267C05D3">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本项目的商业模式核心不是卖设备，而是向社区交付一套可运行的防跌服务。服务由七个环节构成一个闭环，每一轮闭环产生的数据成为下一轮服务的输入。</w:t>
      </w:r>
    </w:p>
    <w:p w14:paraId="17E2F1AA">
      <w:pPr>
        <w:pStyle w:val="4"/>
        <w:keepNext w:val="0"/>
        <w:keepLines w:val="0"/>
        <w:kinsoku/>
        <w:wordWrap/>
        <w:overflowPunct/>
        <w:topLinePunct w:val="0"/>
        <w:autoSpaceDE/>
        <w:autoSpaceDN/>
        <w:bidi w:val="0"/>
        <w:adjustRightInd/>
        <w:snapToGrid/>
        <w:spacing w:line="300" w:lineRule="auto"/>
        <w:textAlignment w:val="auto"/>
      </w:pPr>
      <w:bookmarkStart w:id="127" w:name="_Toc7276"/>
      <w:bookmarkStart w:id="128" w:name="_Toc5208"/>
      <w:r>
        <w:rPr>
          <w:rFonts w:hint="eastAsia"/>
        </w:rPr>
        <w:t>4.2.1服务闭环的七个环节</w:t>
      </w:r>
      <w:bookmarkEnd w:id="127"/>
      <w:bookmarkEnd w:id="128"/>
    </w:p>
    <w:p w14:paraId="4C88E5AB">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2</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社区防跌安全服务闭环的七个环节</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1"/>
        <w:gridCol w:w="1414"/>
        <w:gridCol w:w="3541"/>
        <w:gridCol w:w="2754"/>
      </w:tblGrid>
      <w:tr w14:paraId="02194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43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E15072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序</w:t>
            </w:r>
          </w:p>
        </w:tc>
        <w:tc>
          <w:tcPr>
            <w:tcW w:w="146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E50B9D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环节</w:t>
            </w:r>
          </w:p>
        </w:tc>
        <w:tc>
          <w:tcPr>
            <w:tcW w:w="378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2EC667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内容</w:t>
            </w:r>
          </w:p>
        </w:tc>
        <w:tc>
          <w:tcPr>
            <w:tcW w:w="292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F0F89B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产出与承载</w:t>
            </w:r>
          </w:p>
        </w:tc>
      </w:tr>
      <w:tr w14:paraId="42899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3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ECC9E1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w:t>
            </w:r>
          </w:p>
        </w:tc>
        <w:tc>
          <w:tcPr>
            <w:tcW w:w="146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679C4E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社区进场与建档</w:t>
            </w:r>
          </w:p>
        </w:tc>
        <w:tc>
          <w:tcPr>
            <w:tcW w:w="3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7C9463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与驿站或服务中心签订合作，获取辖区内高龄、独居老人名册，开展防跌安全宣讲</w:t>
            </w:r>
          </w:p>
        </w:tc>
        <w:tc>
          <w:tcPr>
            <w:tcW w:w="292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010268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服务对象基础档案，录入网页端平台</w:t>
            </w:r>
          </w:p>
        </w:tc>
      </w:tr>
      <w:tr w14:paraId="3D016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3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626674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w:t>
            </w:r>
          </w:p>
        </w:tc>
        <w:tc>
          <w:tcPr>
            <w:tcW w:w="146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3D6AEA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防跌安全评估</w:t>
            </w:r>
          </w:p>
        </w:tc>
        <w:tc>
          <w:tcPr>
            <w:tcW w:w="378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05F847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以问卷与日常活动能力观察为主，结合设备采集的行走数据，形成个体的跌倒风险等级</w:t>
            </w:r>
          </w:p>
        </w:tc>
        <w:tc>
          <w:tcPr>
            <w:tcW w:w="292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11B99F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风险分级名单，平台留档</w:t>
            </w:r>
          </w:p>
        </w:tc>
      </w:tr>
      <w:tr w14:paraId="7ADC1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3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2C8A0F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w:t>
            </w:r>
          </w:p>
        </w:tc>
        <w:tc>
          <w:tcPr>
            <w:tcW w:w="146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A05940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设备配发与佩戴指导</w:t>
            </w:r>
          </w:p>
        </w:tc>
        <w:tc>
          <w:tcPr>
            <w:tcW w:w="3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D2659C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向高风险人群配发设备，进行穿戴培训与家属告知</w:t>
            </w:r>
          </w:p>
        </w:tc>
        <w:tc>
          <w:tcPr>
            <w:tcW w:w="292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A86C34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设备台账与佩戴记录</w:t>
            </w:r>
          </w:p>
        </w:tc>
      </w:tr>
      <w:tr w14:paraId="24083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3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8B0B2B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4</w:t>
            </w:r>
          </w:p>
        </w:tc>
        <w:tc>
          <w:tcPr>
            <w:tcW w:w="146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409778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日常运行与依从性维护</w:t>
            </w:r>
          </w:p>
        </w:tc>
        <w:tc>
          <w:tcPr>
            <w:tcW w:w="378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2C9010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设备日常佩戴，配合社区激励机制维持佩戴率</w:t>
            </w:r>
          </w:p>
        </w:tc>
        <w:tc>
          <w:tcPr>
            <w:tcW w:w="292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A02C1C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佩戴率看板，识别依从性下降对象</w:t>
            </w:r>
          </w:p>
        </w:tc>
      </w:tr>
      <w:tr w14:paraId="2A511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3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3AD6FF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5</w:t>
            </w:r>
          </w:p>
        </w:tc>
        <w:tc>
          <w:tcPr>
            <w:tcW w:w="146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56AA49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事件响应</w:t>
            </w:r>
          </w:p>
        </w:tc>
        <w:tc>
          <w:tcPr>
            <w:tcW w:w="3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3DEC3D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跌倒或险跌事件发生时，向社区网格与家属双通道推送</w:t>
            </w:r>
          </w:p>
        </w:tc>
        <w:tc>
          <w:tcPr>
            <w:tcW w:w="292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48C7DB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事件响应记录，全流程留痕</w:t>
            </w:r>
          </w:p>
        </w:tc>
      </w:tr>
      <w:tr w14:paraId="5DF9A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3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DAE71B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w:t>
            </w:r>
          </w:p>
        </w:tc>
        <w:tc>
          <w:tcPr>
            <w:tcW w:w="146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66D924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数据回流与社区画像</w:t>
            </w:r>
          </w:p>
        </w:tc>
        <w:tc>
          <w:tcPr>
            <w:tcW w:w="378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59C2EB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汇总匿名化风险数据，形成社区级跌倒风险分布</w:t>
            </w:r>
          </w:p>
        </w:tc>
        <w:tc>
          <w:tcPr>
            <w:tcW w:w="292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1F2C55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社区跌倒热力图与季度报告</w:t>
            </w:r>
          </w:p>
        </w:tc>
      </w:tr>
      <w:tr w14:paraId="360A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3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522ACE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7</w:t>
            </w:r>
          </w:p>
        </w:tc>
        <w:tc>
          <w:tcPr>
            <w:tcW w:w="146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7365D5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环境改造建议与复评</w:t>
            </w:r>
          </w:p>
        </w:tc>
        <w:tc>
          <w:tcPr>
            <w:tcW w:w="3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879F79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向街道与物业输出适老化改造优先级建议；对服务对象进行周期性复评</w:t>
            </w:r>
          </w:p>
        </w:tc>
        <w:tc>
          <w:tcPr>
            <w:tcW w:w="292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70BF76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改造建议清单与复评报告</w:t>
            </w:r>
          </w:p>
        </w:tc>
      </w:tr>
    </w:tbl>
    <w:p w14:paraId="772EE065">
      <w:pPr>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762500" cy="3800475"/>
            <wp:effectExtent l="0" t="0" r="0" b="0"/>
            <wp:docPr id="7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4"/>
                    <pic:cNvPicPr>
                      <a:picLocks noChangeAspect="1" noChangeArrowheads="1"/>
                    </pic:cNvPicPr>
                  </pic:nvPicPr>
                  <pic:blipFill>
                    <a:blip r:embed="rId31"/>
                    <a:srcRect/>
                    <a:stretch>
                      <a:fillRect/>
                    </a:stretch>
                  </pic:blipFill>
                  <pic:spPr>
                    <a:xfrm>
                      <a:off x="0" y="0"/>
                      <a:ext cx="4762500" cy="3800475"/>
                    </a:xfrm>
                    <a:prstGeom prst="rect">
                      <a:avLst/>
                    </a:prstGeom>
                  </pic:spPr>
                </pic:pic>
              </a:graphicData>
            </a:graphic>
          </wp:inline>
        </w:drawing>
      </w:r>
    </w:p>
    <w:p w14:paraId="6980A377">
      <w:pPr>
        <w:pStyle w:val="8"/>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rFonts w:hint="eastAsia"/>
        </w:rP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rPr>
          <w:rFonts w:hint="eastAsia"/>
        </w:rPr>
        <w:instrText xml:space="preserve"> SEQ 图 \* ARABIC \s 1 </w:instrText>
      </w:r>
      <w:r>
        <w:fldChar w:fldCharType="separate"/>
      </w:r>
      <w:r>
        <w:t>1</w:t>
      </w:r>
      <w:r>
        <w:fldChar w:fldCharType="end"/>
      </w:r>
      <w:r>
        <w:rPr>
          <w:rFonts w:hint="eastAsia" w:ascii="黑体" w:hAnsi="黑体" w:eastAsia="黑体" w:cs="黑体"/>
          <w:color w:val="000000" w:themeColor="text1"/>
          <w:sz w:val="21"/>
          <w:szCs w:val="21"/>
          <w14:textFill>
            <w14:solidFill>
              <w14:schemeClr w14:val="tx1"/>
            </w14:solidFill>
          </w14:textFill>
        </w:rPr>
        <w:t>社区防跌安全服务闭环</w:t>
      </w:r>
    </w:p>
    <w:p w14:paraId="008BF155">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闭环设计的关键在第六与第七环节。多数养老硬件项目止步于第五环节——设备卖出去、报警能响，服务就结束了。本项目将数据回流与环境改造建议纳入服务内容，使产品从一次性交易转变为持续性服务关系，也使社区从设备的使用者变为服务的共同生产者。</w:t>
      </w:r>
    </w:p>
    <w:p w14:paraId="46992F13">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网页端平台在闭环中的位置</w:t>
      </w:r>
    </w:p>
    <w:p w14:paraId="3AF42E5A">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七个环节中有六个需要数据的录入、留痕或输出，这些动作全部由网页端管理平台承载（功能明细见第三章表3-3）。平台不是产品的附加功能，而是服务得以运转的操作界面——没有它，档案、分级、佩戴率、事件记录与季度报告都只能靠人工台账维护，服务的边际成本会随点位数量线性上升，可复制性随之瓦解。</w:t>
      </w:r>
    </w:p>
    <w:p w14:paraId="76A093C8">
      <w:pPr>
        <w:pStyle w:val="4"/>
        <w:keepNext w:val="0"/>
        <w:keepLines w:val="0"/>
        <w:kinsoku/>
        <w:wordWrap/>
        <w:overflowPunct/>
        <w:topLinePunct w:val="0"/>
        <w:autoSpaceDE/>
        <w:autoSpaceDN/>
        <w:bidi w:val="0"/>
        <w:adjustRightInd/>
        <w:snapToGrid/>
        <w:spacing w:line="300" w:lineRule="auto"/>
        <w:textAlignment w:val="auto"/>
      </w:pPr>
      <w:bookmarkStart w:id="129" w:name="_Toc20241"/>
      <w:bookmarkStart w:id="130" w:name="_Toc2383"/>
      <w:r>
        <w:rPr>
          <w:rFonts w:hint="eastAsia"/>
        </w:rPr>
        <w:t>4.2.2单个社区的落地实施节奏</w:t>
      </w:r>
      <w:bookmarkEnd w:id="129"/>
      <w:bookmarkEnd w:id="130"/>
    </w:p>
    <w:p w14:paraId="5987B4FE">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单个社区落地实施节奏</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2"/>
        <w:gridCol w:w="1376"/>
        <w:gridCol w:w="6192"/>
      </w:tblGrid>
      <w:tr w14:paraId="64AF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3F8FCA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阶段</w:t>
            </w:r>
          </w:p>
        </w:tc>
        <w:tc>
          <w:tcPr>
            <w:tcW w:w="137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68CA34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周期</w:t>
            </w:r>
          </w:p>
        </w:tc>
        <w:tc>
          <w:tcPr>
            <w:tcW w:w="619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70BE6F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主要工作</w:t>
            </w:r>
          </w:p>
        </w:tc>
      </w:tr>
      <w:tr w14:paraId="27A3D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64D223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进场期</w:t>
            </w:r>
          </w:p>
        </w:tc>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A4839A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第1至4周</w:t>
            </w:r>
          </w:p>
        </w:tc>
        <w:tc>
          <w:tcPr>
            <w:tcW w:w="61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DE77FE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合作洽谈、名册对接、防跌安全宣讲、基础档案建立</w:t>
            </w:r>
          </w:p>
        </w:tc>
      </w:tr>
      <w:tr w14:paraId="41980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A0FBAA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评估期</w:t>
            </w:r>
          </w:p>
        </w:tc>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A1E043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第5至8周</w:t>
            </w:r>
          </w:p>
        </w:tc>
        <w:tc>
          <w:tcPr>
            <w:tcW w:w="61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84D64D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防跌安全评估与风险分级、确定配发名单</w:t>
            </w:r>
          </w:p>
        </w:tc>
      </w:tr>
      <w:tr w14:paraId="11ACF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D6A41A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部署期</w:t>
            </w:r>
          </w:p>
        </w:tc>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4CB654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第9至12周</w:t>
            </w:r>
          </w:p>
        </w:tc>
        <w:tc>
          <w:tcPr>
            <w:tcW w:w="61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B32D4F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设备配发、穿戴培训、家属与网格员端开通、社区激励机制上线</w:t>
            </w:r>
          </w:p>
        </w:tc>
      </w:tr>
      <w:tr w14:paraId="589BA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9099F9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运行期</w:t>
            </w:r>
          </w:p>
        </w:tc>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621B0D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第4个月起</w:t>
            </w:r>
          </w:p>
        </w:tc>
        <w:tc>
          <w:tcPr>
            <w:tcW w:w="61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09900F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日常运行、依从性维护、事件响应</w:t>
            </w:r>
          </w:p>
        </w:tc>
      </w:tr>
      <w:tr w14:paraId="591A9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5C61B1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复盘期</w:t>
            </w:r>
          </w:p>
        </w:tc>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C358C3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每季度</w:t>
            </w:r>
          </w:p>
        </w:tc>
        <w:tc>
          <w:tcPr>
            <w:tcW w:w="61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7845D0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出具社区跌倒风险报告与适老化改造建议、服务对象复评</w:t>
            </w:r>
          </w:p>
        </w:tc>
      </w:tr>
    </w:tbl>
    <w:p w14:paraId="47BDF521">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整套流程标准化为一份社区落地作业手册，包括宣讲讲义、评估表单、培训脚本、报告模板与运维清单。手册化是本模式能够复制的前提——它使一个新社区的落地不依赖于团队某个成员的个人经验。</w:t>
      </w:r>
    </w:p>
    <w:p w14:paraId="61612F96">
      <w:pPr>
        <w:pStyle w:val="3"/>
        <w:bidi w:val="0"/>
      </w:pPr>
      <w:bookmarkStart w:id="131" w:name="_Toc17944"/>
      <w:bookmarkStart w:id="132" w:name="_Toc2688"/>
      <w:r>
        <w:rPr>
          <w:rFonts w:hint="eastAsia"/>
        </w:rPr>
        <w:t>4.3四项模式创新</w:t>
      </w:r>
      <w:bookmarkEnd w:id="131"/>
      <w:bookmarkEnd w:id="132"/>
    </w:p>
    <w:p w14:paraId="69F3490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以下四项设计中，前三项不增加硬件成本，第四项则以硬件架构的选择直接改变了客户的持有成本。四者共同构成本模式与单纯设备销售之间的差别。</w:t>
      </w:r>
    </w:p>
    <w:p w14:paraId="14CEBB73">
      <w:pPr>
        <w:pStyle w:val="4"/>
        <w:keepNext w:val="0"/>
        <w:keepLines w:val="0"/>
        <w:kinsoku/>
        <w:wordWrap/>
        <w:overflowPunct/>
        <w:topLinePunct w:val="0"/>
        <w:autoSpaceDE/>
        <w:autoSpaceDN/>
        <w:bidi w:val="0"/>
        <w:adjustRightInd/>
        <w:snapToGrid/>
        <w:spacing w:line="300" w:lineRule="auto"/>
        <w:textAlignment w:val="auto"/>
      </w:pPr>
      <w:bookmarkStart w:id="133" w:name="_Toc6476"/>
      <w:bookmarkStart w:id="134" w:name="_Toc10014"/>
      <w:r>
        <w:rPr>
          <w:rFonts w:hint="eastAsia"/>
        </w:rPr>
        <w:t>4.3.1社区跌倒热力图与适老化环境改造建议</w:t>
      </w:r>
      <w:bookmarkEnd w:id="133"/>
      <w:bookmarkEnd w:id="134"/>
    </w:p>
    <w:p w14:paraId="149BD86F">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设备在记录跌倒事件的同时，也记录未导致跌倒的失衡事件，即险跌。将这两类事件的发生时间、粗粒度位置与失衡类型汇总，可形成社区级的跌倒风险热力图，识别出高发点位——某段楼道台阶、某个卫生间门槛、某段路面在雨天的表现。这份图谱输出给街道、物业与社区服务中心，用于确定适老化改造的优先级。</w:t>
      </w:r>
    </w:p>
    <w:p w14:paraId="0DB8559D">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这项设计的价值在哪里</w:t>
      </w:r>
    </w:p>
    <w:p w14:paraId="488C7306">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我国现有的跌倒统计以流行病学层面的宏观发生率为主，例如某年龄段的年跌倒发生率是多少，但缺少具体环境点位这一颗粒度的微观数据。而适老化改造的财政资金恰恰需要这一颗粒度来决定投向：一笔有限的预算，究竟该装扶手还是该改地面，该改哪个楼门。</w:t>
      </w:r>
    </w:p>
    <w:p w14:paraId="06346031">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本项目提供的正是这个决策依据。它使产品的价值从保护个体扩展到改善社区公共安全环境，也使数据从企业的私有资产转化为社区治理的公共资源。</w:t>
      </w:r>
    </w:p>
    <w:p w14:paraId="1C726426">
      <w:pPr>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953000" cy="3324225"/>
            <wp:effectExtent l="0" t="0" r="0" b="0"/>
            <wp:docPr id="7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5"/>
                    <pic:cNvPicPr>
                      <a:picLocks noChangeAspect="1" noChangeArrowheads="1"/>
                    </pic:cNvPicPr>
                  </pic:nvPicPr>
                  <pic:blipFill>
                    <a:blip r:embed="rId32"/>
                    <a:srcRect/>
                    <a:stretch>
                      <a:fillRect/>
                    </a:stretch>
                  </pic:blipFill>
                  <pic:spPr>
                    <a:xfrm>
                      <a:off x="0" y="0"/>
                      <a:ext cx="4953000" cy="3324225"/>
                    </a:xfrm>
                    <a:prstGeom prst="rect">
                      <a:avLst/>
                    </a:prstGeom>
                  </pic:spPr>
                </pic:pic>
              </a:graphicData>
            </a:graphic>
          </wp:inline>
        </w:drawing>
      </w:r>
    </w:p>
    <w:p w14:paraId="347C2261">
      <w:pPr>
        <w:pStyle w:val="8"/>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rFonts w:hint="eastAsia"/>
        </w:rP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rPr>
          <w:rFonts w:hint="eastAsia"/>
        </w:rPr>
        <w:instrText xml:space="preserve"> SEQ 图 \* ARABIC \s 1 </w:instrText>
      </w:r>
      <w:r>
        <w:fldChar w:fldCharType="separate"/>
      </w:r>
      <w:r>
        <w:t>2</w:t>
      </w:r>
      <w:r>
        <w:fldChar w:fldCharType="end"/>
      </w:r>
      <w:r>
        <w:rPr>
          <w:rFonts w:hint="eastAsia" w:ascii="黑体" w:hAnsi="黑体" w:eastAsia="黑体" w:cs="黑体"/>
          <w:color w:val="000000" w:themeColor="text1"/>
          <w:sz w:val="21"/>
          <w:szCs w:val="21"/>
          <w14:textFill>
            <w14:solidFill>
              <w14:schemeClr w14:val="tx1"/>
            </w14:solidFill>
          </w14:textFill>
        </w:rPr>
        <w:t>社区跌倒热力图示意</w:t>
      </w:r>
    </w:p>
    <w:p w14:paraId="2D1C83CA">
      <w:pPr>
        <w:pStyle w:val="4"/>
        <w:keepNext w:val="0"/>
        <w:keepLines w:val="0"/>
        <w:kinsoku/>
        <w:wordWrap/>
        <w:overflowPunct/>
        <w:topLinePunct w:val="0"/>
        <w:autoSpaceDE/>
        <w:autoSpaceDN/>
        <w:bidi w:val="0"/>
        <w:adjustRightInd/>
        <w:snapToGrid/>
        <w:spacing w:line="300" w:lineRule="auto"/>
        <w:textAlignment w:val="auto"/>
      </w:pPr>
      <w:bookmarkStart w:id="135" w:name="_Toc1862"/>
      <w:bookmarkStart w:id="136" w:name="_Toc28516"/>
      <w:r>
        <w:rPr>
          <w:rFonts w:hint="eastAsia"/>
        </w:rPr>
        <w:t>4.3.2社区网格协同响应</w:t>
      </w:r>
      <w:bookmarkEnd w:id="135"/>
      <w:bookmarkEnd w:id="136"/>
    </w:p>
    <w:p w14:paraId="2FF7BB5E">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市面上的老年跌倒报警产品几乎无一例外地将报警推送给成年子女。但独居老人的现实困境恰恰是子女不在本地——将报警推送给数百甚至数千公里之外的子女，救援的黄金时间依然会被错过。</w:t>
      </w:r>
    </w:p>
    <w:p w14:paraId="5D58B71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本项目将接收端设计为双通道：社区网格员、养老服务驿站、家庭养老床位签约服务商构成本地响应通道，成年子女构成知情通道。本地通道负责到场，家属通道负责知情与决策。</w:t>
      </w:r>
    </w:p>
    <w:p w14:paraId="536A6AA6">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这一调整的意义超出功能层面。它使产品从一件家庭消费品，变为嵌入基层养老服务体系的一个组件——社区不是设备的销售对象，而是服务链条中的执行方。这正是本模式能够获得街道与民政层面认可的基础。</w:t>
      </w:r>
    </w:p>
    <w:p w14:paraId="45DD9F0F">
      <w:pPr>
        <w:pStyle w:val="4"/>
        <w:keepNext w:val="0"/>
        <w:keepLines w:val="0"/>
        <w:kinsoku/>
        <w:wordWrap/>
        <w:overflowPunct/>
        <w:topLinePunct w:val="0"/>
        <w:autoSpaceDE/>
        <w:autoSpaceDN/>
        <w:bidi w:val="0"/>
        <w:adjustRightInd/>
        <w:snapToGrid/>
        <w:spacing w:line="300" w:lineRule="auto"/>
        <w:textAlignment w:val="auto"/>
      </w:pPr>
      <w:bookmarkStart w:id="137" w:name="_Toc5451"/>
      <w:bookmarkStart w:id="138" w:name="_Toc34"/>
      <w:r>
        <w:rPr>
          <w:rFonts w:hint="eastAsia"/>
        </w:rPr>
        <w:t>4.3.3佩戴依从性的社区激励机制</w:t>
      </w:r>
      <w:bookmarkEnd w:id="137"/>
      <w:bookmarkEnd w:id="138"/>
    </w:p>
    <w:p w14:paraId="5A842D54">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依从性是全部防跌穿戴产品的首要失效原因。一件老人不肯戴的设备，其防护效能为零。产品形态的适老化设计解决了一部分问题，但仅靠产品本身无法根治，因为佩戴是一个需要长期维持的行为。</w:t>
      </w:r>
    </w:p>
    <w:p w14:paraId="654A6B2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引入制度层面的解决方案：与社区合作建立佩戴激励机制，规律佩戴数据可兑换社区助餐折扣、养老服务积分或体检名额等已有的社区福利资源。这一机制的成本由社区既有的服务资源承担，本项目提供的是数据与规则设计。</w:t>
      </w:r>
    </w:p>
    <w:p w14:paraId="53D60DAD">
      <w:pPr>
        <w:pStyle w:val="4"/>
        <w:keepNext w:val="0"/>
        <w:keepLines w:val="0"/>
        <w:kinsoku/>
        <w:wordWrap/>
        <w:overflowPunct/>
        <w:topLinePunct w:val="0"/>
        <w:autoSpaceDE/>
        <w:autoSpaceDN/>
        <w:bidi w:val="0"/>
        <w:adjustRightInd/>
        <w:snapToGrid/>
        <w:spacing w:line="300" w:lineRule="auto"/>
        <w:textAlignment w:val="auto"/>
      </w:pPr>
      <w:bookmarkStart w:id="139" w:name="_Toc30545"/>
      <w:bookmarkStart w:id="140" w:name="_Toc1385"/>
      <w:r>
        <w:rPr>
          <w:rFonts w:hint="eastAsia"/>
        </w:rPr>
        <w:t>4.3.4无耗材的持有成本结构</w:t>
      </w:r>
      <w:bookmarkEnd w:id="139"/>
      <w:bookmarkEnd w:id="140"/>
    </w:p>
    <w:p w14:paraId="510D1C6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穿戴式气囊产品的气源方案有三条路径：火药式气体发生器、一次性压缩气罐、可回充储气罐。前两条的共同特征是气囊每触发一次就需要更换一次耗材，国内已上市的同类产品即采用此类方案，其说明中明确写有气罐属耗材、每次展开后需更换一组。</w:t>
      </w:r>
    </w:p>
    <w:p w14:paraId="76A6808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采用可回充储气方案（技术原理见第三章3.4）。气囊排气后可复位，储气罐由充电底座或社区回充站重新充压，触发后不产生任何耗材支出。回充装置不随身佩戴，在社区场景中由一台回充站服务该点位的全部设备。</w:t>
      </w:r>
    </w:p>
    <w:p w14:paraId="7CE43759">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为什么这一条属于模式创新而非技术选择</w:t>
      </w:r>
    </w:p>
    <w:p w14:paraId="623700CB">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对个人消费者而言，耗材更换是一笔偶发的小额支出；但对按点位批量采购的社区机构而言，它是一项需要预算、需要采购流程、需要有人负责的持续性运营支出。一个50台规模的点位，若每次触发都需更换耗材并返厂充气，其管理成本往往超过耗材本身的价格。</w:t>
      </w:r>
    </w:p>
    <w:p w14:paraId="3CCA475D">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无耗材架构把这项支出从机构的运营负担中彻底移除，使采购决策简化为一次性设备支出加年度服务费两项。这是面向机构客户的成本结构设计，其影响落在采购决策上，而不只是落在物料清单上。</w:t>
      </w:r>
    </w:p>
    <w:p w14:paraId="778C3E23">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四项创新中，前三项属于组织与资源整合层面的创新，其门槛不在研发能力，而在是否真正理解社区养老服务体系如何运转；第四项则说明架构选择本身也可以是商业设计的一部分。</w:t>
      </w:r>
    </w:p>
    <w:p w14:paraId="421F4073">
      <w:pPr>
        <w:pStyle w:val="3"/>
        <w:bidi w:val="0"/>
      </w:pPr>
      <w:bookmarkStart w:id="141" w:name="_Toc12926"/>
      <w:bookmarkStart w:id="142" w:name="_Toc12597"/>
      <w:r>
        <w:rPr>
          <w:rFonts w:hint="eastAsia"/>
        </w:rPr>
        <w:t>4.4盈利模式与成本结构</w:t>
      </w:r>
      <w:bookmarkEnd w:id="141"/>
      <w:bookmarkEnd w:id="142"/>
    </w:p>
    <w:p w14:paraId="60EA16A7">
      <w:pPr>
        <w:pStyle w:val="4"/>
        <w:keepNext w:val="0"/>
        <w:keepLines w:val="0"/>
        <w:kinsoku/>
        <w:wordWrap/>
        <w:overflowPunct/>
        <w:topLinePunct w:val="0"/>
        <w:autoSpaceDE/>
        <w:autoSpaceDN/>
        <w:bidi w:val="0"/>
        <w:adjustRightInd/>
        <w:snapToGrid/>
        <w:spacing w:line="300" w:lineRule="auto"/>
        <w:textAlignment w:val="auto"/>
      </w:pPr>
      <w:bookmarkStart w:id="143" w:name="_Toc5910"/>
      <w:bookmarkStart w:id="144" w:name="_Toc2610"/>
      <w:r>
        <w:rPr>
          <w:rFonts w:hint="eastAsia"/>
        </w:rPr>
        <w:t>4.4.1收入结构</w:t>
      </w:r>
      <w:bookmarkEnd w:id="143"/>
      <w:bookmarkEnd w:id="144"/>
    </w:p>
    <w:p w14:paraId="38D57366">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收入结构</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8"/>
        <w:gridCol w:w="1548"/>
        <w:gridCol w:w="5504"/>
      </w:tblGrid>
      <w:tr w14:paraId="37BE7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1FD271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收入线</w:t>
            </w:r>
          </w:p>
        </w:tc>
        <w:tc>
          <w:tcPr>
            <w:tcW w:w="154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FD972F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计费方式</w:t>
            </w:r>
          </w:p>
        </w:tc>
        <w:tc>
          <w:tcPr>
            <w:tcW w:w="550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B26E45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说明</w:t>
            </w:r>
          </w:p>
        </w:tc>
      </w:tr>
      <w:tr w14:paraId="19025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2F6D8E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设备销售</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771E17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按台一次性收费</w:t>
            </w:r>
          </w:p>
        </w:tc>
        <w:tc>
          <w:tcPr>
            <w:tcW w:w="55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A77270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机构批量采购与家庭零售两种价格体系</w:t>
            </w:r>
          </w:p>
        </w:tc>
      </w:tr>
      <w:tr w14:paraId="462D0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29547C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平台服务订阅</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63C7F9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按台按月收费</w:t>
            </w:r>
          </w:p>
        </w:tc>
        <w:tc>
          <w:tcPr>
            <w:tcW w:w="55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1F3F90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事件响应通道、家属端与网格端应用、数据存储与看板</w:t>
            </w:r>
          </w:p>
        </w:tc>
      </w:tr>
      <w:tr w14:paraId="3C23E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F2A2C0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机构管理服务</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53106B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按社区按年收费</w:t>
            </w:r>
          </w:p>
        </w:tc>
        <w:tc>
          <w:tcPr>
            <w:tcW w:w="55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0F17A0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季度跌倒风险报告、适老化改造建议、人员培训、服务档案留档</w:t>
            </w:r>
          </w:p>
        </w:tc>
      </w:tr>
      <w:tr w14:paraId="2E37C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2865F2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延伸合作（远期）</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F30AAD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项目制</w:t>
            </w:r>
          </w:p>
        </w:tc>
        <w:tc>
          <w:tcPr>
            <w:tcW w:w="55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2151AE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与保险机构、康复机构、适老化改造服务商的合作分成，不计入本章测算</w:t>
            </w:r>
          </w:p>
        </w:tc>
      </w:tr>
    </w:tbl>
    <w:p w14:paraId="09ED10F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三条主要收入线中，设备销售提供现金流起点，平台订阅与机构服务提供持续性收入。稳态下的收入以后两者为主，这决定了本项目的商业性质更接近服务商而非硬件厂商。</w:t>
      </w:r>
    </w:p>
    <w:p w14:paraId="60BEC3D7">
      <w:pPr>
        <w:pStyle w:val="4"/>
        <w:keepNext w:val="0"/>
        <w:keepLines w:val="0"/>
        <w:kinsoku/>
        <w:wordWrap/>
        <w:overflowPunct/>
        <w:topLinePunct w:val="0"/>
        <w:autoSpaceDE/>
        <w:autoSpaceDN/>
        <w:bidi w:val="0"/>
        <w:adjustRightInd/>
        <w:snapToGrid/>
        <w:spacing w:line="300" w:lineRule="auto"/>
        <w:textAlignment w:val="auto"/>
      </w:pPr>
      <w:bookmarkStart w:id="145" w:name="_Toc20602"/>
      <w:bookmarkStart w:id="146" w:name="_Toc25900"/>
      <w:r>
        <w:rPr>
          <w:rFonts w:hint="eastAsia"/>
        </w:rPr>
        <w:t>4.4.2硬件成本测算</w:t>
      </w:r>
      <w:bookmarkEnd w:id="145"/>
      <w:bookmarkEnd w:id="146"/>
    </w:p>
    <w:p w14:paraId="230473D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本节按三个采购规模档位测算单台设备的物料成本。三档差异悬殊，混用会严重误导判断，因此分列如下。</w:t>
      </w:r>
    </w:p>
    <w:p w14:paraId="409435C5">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单台物料成本三档测算（单位：元）</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21"/>
        <w:gridCol w:w="2271"/>
        <w:gridCol w:w="995"/>
        <w:gridCol w:w="1520"/>
        <w:gridCol w:w="996"/>
        <w:gridCol w:w="997"/>
      </w:tblGrid>
      <w:tr w14:paraId="5C347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F52AC4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组件</w:t>
            </w:r>
          </w:p>
        </w:tc>
        <w:tc>
          <w:tcPr>
            <w:tcW w:w="258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436234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规格要点</w:t>
            </w:r>
          </w:p>
        </w:tc>
        <w:tc>
          <w:tcPr>
            <w:tcW w:w="8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6CF0DB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样机单件</w:t>
            </w:r>
          </w:p>
        </w:tc>
        <w:tc>
          <w:tcPr>
            <w:tcW w:w="10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4F5A17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小批量区间</w:t>
            </w:r>
          </w:p>
        </w:tc>
        <w:tc>
          <w:tcPr>
            <w:tcW w:w="10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BECE56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小批量取值</w:t>
            </w:r>
          </w:p>
        </w:tc>
        <w:tc>
          <w:tcPr>
            <w:tcW w:w="10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6C4C92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规模量产</w:t>
            </w:r>
          </w:p>
        </w:tc>
      </w:tr>
      <w:tr w14:paraId="1CABE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5BA296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低功耗蓝牙主控模组</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36ACBD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ARM Cortex-M4F内核，支持BLE 5.0</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4058B7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45</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DFCEE7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25–38</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659D2D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32</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7BD011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18</w:t>
            </w:r>
          </w:p>
        </w:tc>
      </w:tr>
      <w:tr w14:paraId="34D41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57EC17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六轴惯性测量单元</w:t>
            </w:r>
          </w:p>
        </w:tc>
        <w:tc>
          <w:tcPr>
            <w:tcW w:w="25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7DC75B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三轴加速度与三轴陀螺仪，低功耗</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831E06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25</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27F01C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12–20</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FE4163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16</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A6DF82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9</w:t>
            </w:r>
          </w:p>
        </w:tc>
      </w:tr>
      <w:tr w14:paraId="0DA47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19969F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TENG柔性传感织物阵列</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8FB712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外采定制，单件用量约0.25㎡，含电极引出与封装</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3FE3CB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125</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3DAF3F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25–50</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2186CB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38</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398F5E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16</w:t>
            </w:r>
          </w:p>
        </w:tc>
      </w:tr>
      <w:tr w14:paraId="3FD6D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7D2235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信号调理电路</w:t>
            </w:r>
          </w:p>
        </w:tc>
        <w:tc>
          <w:tcPr>
            <w:tcW w:w="25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EF27CD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低噪声放大与滤波</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1097A7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28</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EB5FBF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12–20</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FE15D3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16</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76DA84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10</w:t>
            </w:r>
          </w:p>
        </w:tc>
      </w:tr>
      <w:tr w14:paraId="5926F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EE58BD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储气罐</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36A603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约300mL，工作压力20bar，铝制，带充气接口</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D52056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300</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59AA58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55–95</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608BF2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75</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D6AE6A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43</w:t>
            </w:r>
          </w:p>
        </w:tc>
      </w:tr>
      <w:tr w14:paraId="4990B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C1B1C9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电磁快速阀</w:t>
            </w:r>
          </w:p>
        </w:tc>
        <w:tc>
          <w:tcPr>
            <w:tcW w:w="25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D017CC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适用10–20bar，毫秒级响应，常闭低功耗</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9B4B87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500</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0689F3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60–100</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09D3FD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80</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6E2164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43</w:t>
            </w:r>
          </w:p>
        </w:tc>
      </w:tr>
      <w:tr w14:paraId="72A50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47C72B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TPU气囊（双侧髋部+腰骶）</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B60156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热塑性聚氨酯复合尼龙，外采定制，分仓气室</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842EC2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300</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DAD8BF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40–65</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96BF56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53</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AAE19A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30</w:t>
            </w:r>
          </w:p>
        </w:tc>
      </w:tr>
      <w:tr w14:paraId="48B04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ECCF55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阀驱动与保护电路</w:t>
            </w:r>
          </w:p>
        </w:tc>
        <w:tc>
          <w:tcPr>
            <w:tcW w:w="25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7C8BB3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阀驱动与断电保护</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B787AF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20</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FFCC0F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8–15</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4F6980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12</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4DC142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w:t>
            </w:r>
          </w:p>
        </w:tc>
      </w:tr>
      <w:tr w14:paraId="7A8C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5A8165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锂电池与充电管理</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EDC73B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含电源管理与保护板</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7963AF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40</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4F35CC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18–28</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C58C28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23</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C6D2AC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13</w:t>
            </w:r>
          </w:p>
        </w:tc>
      </w:tr>
      <w:tr w14:paraId="3D4F4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ADC2CF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四层电路板与贴装</w:t>
            </w:r>
          </w:p>
        </w:tc>
        <w:tc>
          <w:tcPr>
            <w:tcW w:w="25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5ABA42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含PCB与SMT</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D60D9E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60</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DD0449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25–40</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1E0B79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33</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DBDFD1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17</w:t>
            </w:r>
          </w:p>
        </w:tc>
      </w:tr>
      <w:tr w14:paraId="6BB06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CEE8C5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护具本体</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58582B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织物、支撑条、绑带与魔术贴，外采</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A95DAC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90</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3921A4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40–65</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757169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53</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1A36E6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34</w:t>
            </w:r>
          </w:p>
        </w:tc>
      </w:tr>
      <w:tr w14:paraId="684F8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FDFBEC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结构件与固定件</w:t>
            </w:r>
          </w:p>
        </w:tc>
        <w:tc>
          <w:tcPr>
            <w:tcW w:w="25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B560B1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外壳、夹层与固定件，含模具摊销</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CCF54B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45</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3BE8BC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18–30</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6D531E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24</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9AE9F3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12</w:t>
            </w:r>
          </w:p>
        </w:tc>
      </w:tr>
      <w:tr w14:paraId="0DFE3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BF1E5E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装配与测试</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91FC0E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人工装配与老化测试，含不良品损耗</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BBF51C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80</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E67771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30–45</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45D96C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38</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872A0C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16</w:t>
            </w:r>
          </w:p>
        </w:tc>
      </w:tr>
      <w:tr w14:paraId="7BD7E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038768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合计</w:t>
            </w:r>
          </w:p>
        </w:tc>
        <w:tc>
          <w:tcPr>
            <w:tcW w:w="25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A6A41C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6EA3AC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约1658</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7C6712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368–611</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C8F6B7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约493</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C6A9AA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约267</w:t>
            </w:r>
          </w:p>
        </w:tc>
      </w:tr>
    </w:tbl>
    <w:p w14:paraId="211ACC7C">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三档成本口径的适用范围</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4"/>
        <w:gridCol w:w="2580"/>
        <w:gridCol w:w="1204"/>
        <w:gridCol w:w="3612"/>
      </w:tblGrid>
      <w:tr w14:paraId="1BD05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209797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档位</w:t>
            </w:r>
          </w:p>
        </w:tc>
        <w:tc>
          <w:tcPr>
            <w:tcW w:w="258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DC275E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对应场景</w:t>
            </w:r>
          </w:p>
        </w:tc>
        <w:tc>
          <w:tcPr>
            <w:tcW w:w="120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0BEE28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单台成本</w:t>
            </w:r>
          </w:p>
        </w:tc>
        <w:tc>
          <w:tcPr>
            <w:tcW w:w="361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59EB18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在本项目中的用途</w:t>
            </w:r>
          </w:p>
        </w:tc>
      </w:tr>
      <w:tr w14:paraId="1FCB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AFC02D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样机单件</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EFD4C2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打样10件以内，按单件零售价采购</w:t>
            </w:r>
          </w:p>
        </w:tc>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82A28D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约1658元</w:t>
            </w:r>
          </w:p>
        </w:tc>
        <w:tc>
          <w:tcPr>
            <w:tcW w:w="361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0CDD5E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第一年研发投入的构成依据，不进入任何收入成本测算</w:t>
            </w:r>
          </w:p>
        </w:tc>
      </w:tr>
      <w:tr w14:paraId="00F3A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AC93B2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小批量试产</w:t>
            </w:r>
          </w:p>
        </w:tc>
        <w:tc>
          <w:tcPr>
            <w:tcW w:w="25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5642A1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年产约1000台，已开模但工艺尚未定型</w:t>
            </w:r>
          </w:p>
        </w:tc>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F6CD99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约493元</w:t>
            </w:r>
          </w:p>
        </w:tc>
        <w:tc>
          <w:tcPr>
            <w:tcW w:w="361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7D83FD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第七章财务模型的成本输入，本章单社区经济模型亦按此计</w:t>
            </w:r>
          </w:p>
        </w:tc>
      </w:tr>
      <w:tr w14:paraId="32EDF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81D915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规模量产</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DA324B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年产约10万台，工艺定型、半自动化装配</w:t>
            </w:r>
          </w:p>
        </w:tc>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F398CB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约267元</w:t>
            </w:r>
          </w:p>
        </w:tc>
        <w:tc>
          <w:tcPr>
            <w:tcW w:w="361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D0010C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降本路径的终点，说明模式的长期成本空间</w:t>
            </w:r>
          </w:p>
        </w:tc>
      </w:tr>
    </w:tbl>
    <w:p w14:paraId="0BDC744D">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测算口径说明</w:t>
      </w:r>
    </w:p>
    <w:p w14:paraId="1DABE595">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上表为公开市场价格区间的估算，非采购询价结果。样机单件价来自元器件分销平台与工业品市场的单件零售报价，小批量与规模量产档按同类器件的常规降本倍率外推。</w:t>
      </w:r>
    </w:p>
    <w:p w14:paraId="0B56FE2E">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其中储气罐、电磁快速阀与TENG柔性传感织物三项尚未取得正式报价，是本表不确定性最集中之处。团队已启动四项定制件的多家询价，进入试产前将以询价结果替换本表。相关风险见第八章8.7.2。</w:t>
      </w:r>
    </w:p>
    <w:p w14:paraId="614B595D">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需要说明的是，储气式架构的单台物料成本高于泵送方案——储气罐与电磁快速阀合计约155元，而原方案中的微型气泵约45元。这一成本上升是无耗材特性的代价：它把支出从客户的持续运营负担，转移为我方的一次性物料成本。</w:t>
      </w:r>
    </w:p>
    <w:p w14:paraId="4EC69EA1">
      <w:pPr>
        <w:pStyle w:val="4"/>
        <w:keepNext w:val="0"/>
        <w:keepLines w:val="0"/>
        <w:kinsoku/>
        <w:wordWrap/>
        <w:overflowPunct/>
        <w:topLinePunct w:val="0"/>
        <w:autoSpaceDE/>
        <w:autoSpaceDN/>
        <w:bidi w:val="0"/>
        <w:adjustRightInd/>
        <w:snapToGrid/>
        <w:spacing w:line="300" w:lineRule="auto"/>
        <w:textAlignment w:val="auto"/>
      </w:pPr>
      <w:bookmarkStart w:id="147" w:name="_Toc28971"/>
      <w:bookmarkStart w:id="148" w:name="_Toc12839"/>
      <w:r>
        <w:rPr>
          <w:rFonts w:hint="eastAsia"/>
        </w:rPr>
        <w:t>4.4.3规模化降本路径</w:t>
      </w:r>
      <w:bookmarkEnd w:id="147"/>
      <w:bookmarkEnd w:id="148"/>
    </w:p>
    <w:p w14:paraId="2F172367">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规模化降本路径</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12"/>
        <w:gridCol w:w="1130"/>
        <w:gridCol w:w="1307"/>
        <w:gridCol w:w="3751"/>
      </w:tblGrid>
      <w:tr w14:paraId="1FA4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241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61F465C9">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成本项</w:t>
            </w:r>
          </w:p>
        </w:tc>
        <w:tc>
          <w:tcPr>
            <w:tcW w:w="113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28114E9E">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hAnsi="黑体" w:eastAsia="黑体" w:cs="黑体"/>
                <w:b/>
                <w:bCs/>
                <w:color w:val="000000" w:themeColor="text1"/>
                <w:sz w:val="21"/>
                <w:szCs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小批量</w:t>
            </w:r>
          </w:p>
          <w:p w14:paraId="521C36F6">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（元）</w:t>
            </w:r>
          </w:p>
        </w:tc>
        <w:tc>
          <w:tcPr>
            <w:tcW w:w="1307"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4506E358">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hAnsi="黑体" w:eastAsia="黑体" w:cs="黑体"/>
                <w:b/>
                <w:bCs/>
                <w:color w:val="000000" w:themeColor="text1"/>
                <w:sz w:val="21"/>
                <w:szCs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规模量产</w:t>
            </w:r>
          </w:p>
          <w:p w14:paraId="3B93B114">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（元）</w:t>
            </w:r>
          </w:p>
        </w:tc>
        <w:tc>
          <w:tcPr>
            <w:tcW w:w="3751"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vAlign w:val="center"/>
          </w:tcPr>
          <w:p w14:paraId="6CF3ACB8">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center"/>
              <w:textAlignment w:val="auto"/>
              <w:rPr>
                <w:rFonts w:ascii="黑体" w:eastAsia="黑体"/>
                <w:b/>
                <w:color w:val="000000" w:themeColor="text1"/>
                <w:sz w:val="2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降本来源</w:t>
            </w:r>
          </w:p>
        </w:tc>
      </w:tr>
      <w:tr w14:paraId="59E6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41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114A14BE">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color w:val="000000" w:themeColor="text1"/>
                <w:sz w:val="21"/>
                <w14:textFill>
                  <w14:solidFill>
                    <w14:schemeClr w14:val="tx1"/>
                  </w14:solidFill>
                </w14:textFill>
              </w:rPr>
            </w:pPr>
            <w:r>
              <w:rPr>
                <w:rFonts w:hint="eastAsia" w:ascii="宋体" w:hAnsi="宋体" w:eastAsia="宋体" w:cs="宋体"/>
                <w:b/>
                <w:color w:val="000000" w:themeColor="text1"/>
                <w:sz w:val="21"/>
                <w:szCs w:val="21"/>
                <w14:textFill>
                  <w14:solidFill>
                    <w14:schemeClr w14:val="tx1"/>
                  </w14:solidFill>
                </w14:textFill>
              </w:rPr>
              <w:t>电子元器件合计</w:t>
            </w:r>
          </w:p>
        </w:tc>
        <w:tc>
          <w:tcPr>
            <w:tcW w:w="113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72C64549">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right"/>
              <w:textAlignment w:val="auto"/>
              <w:rPr>
                <w:rFonts w:ascii="宋体" w:eastAsia="宋体"/>
                <w:b/>
                <w:color w:val="000000" w:themeColor="text1"/>
                <w:sz w:val="21"/>
                <w14:textFill>
                  <w14:solidFill>
                    <w14:schemeClr w14:val="tx1"/>
                  </w14:solidFill>
                </w14:textFill>
              </w:rPr>
            </w:pPr>
            <w:r>
              <w:rPr>
                <w:rFonts w:ascii="宋体" w:hAnsi="宋体" w:eastAsia="宋体" w:cs="宋体"/>
                <w:b/>
                <w:color w:val="000000" w:themeColor="text1"/>
                <w:sz w:val="21"/>
                <w:szCs w:val="21"/>
                <w14:textFill>
                  <w14:solidFill>
                    <w14:schemeClr w14:val="tx1"/>
                  </w14:solidFill>
                </w14:textFill>
              </w:rPr>
              <w:t>132</w:t>
            </w:r>
          </w:p>
        </w:tc>
        <w:tc>
          <w:tcPr>
            <w:tcW w:w="1307"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1FAE182E">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right"/>
              <w:textAlignment w:val="auto"/>
              <w:rPr>
                <w:rFonts w:ascii="宋体" w:eastAsia="宋体"/>
                <w:b/>
                <w:color w:val="000000" w:themeColor="text1"/>
                <w:sz w:val="21"/>
                <w14:textFill>
                  <w14:solidFill>
                    <w14:schemeClr w14:val="tx1"/>
                  </w14:solidFill>
                </w14:textFill>
              </w:rPr>
            </w:pPr>
            <w:r>
              <w:rPr>
                <w:rFonts w:ascii="宋体" w:hAnsi="宋体" w:eastAsia="宋体" w:cs="宋体"/>
                <w:b/>
                <w:color w:val="000000" w:themeColor="text1"/>
                <w:sz w:val="21"/>
                <w:szCs w:val="21"/>
                <w14:textFill>
                  <w14:solidFill>
                    <w14:schemeClr w14:val="tx1"/>
                  </w14:solidFill>
                </w14:textFill>
              </w:rPr>
              <w:t>73</w:t>
            </w:r>
          </w:p>
        </w:tc>
        <w:tc>
          <w:tcPr>
            <w:tcW w:w="3751"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39871832">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color w:val="000000" w:themeColor="text1"/>
                <w:sz w:val="21"/>
                <w14:textFill>
                  <w14:solidFill>
                    <w14:schemeClr w14:val="tx1"/>
                  </w14:solidFill>
                </w14:textFill>
              </w:rPr>
            </w:pPr>
            <w:r>
              <w:rPr>
                <w:rFonts w:hint="eastAsia" w:ascii="宋体" w:hAnsi="宋体" w:eastAsia="宋体" w:cs="宋体"/>
                <w:b/>
                <w:color w:val="000000" w:themeColor="text1"/>
                <w:sz w:val="21"/>
                <w:szCs w:val="21"/>
                <w14:textFill>
                  <w14:solidFill>
                    <w14:schemeClr w14:val="tx1"/>
                  </w14:solidFill>
                </w14:textFill>
              </w:rPr>
              <w:t>批量采购议价与器件国产化替代，约降45%</w:t>
            </w:r>
          </w:p>
        </w:tc>
      </w:tr>
      <w:tr w14:paraId="37E5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41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5E761936">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气动执行部件（储气罐+阀+气囊）</w:t>
            </w:r>
          </w:p>
        </w:tc>
        <w:tc>
          <w:tcPr>
            <w:tcW w:w="113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22A7192E">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right"/>
              <w:textAlignment w:val="auto"/>
              <w:rPr>
                <w:rFonts w:ascii="宋体" w:eastAsia="宋体"/>
                <w:color w:val="000000" w:themeColor="text1"/>
                <w:sz w:val="2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208</w:t>
            </w:r>
          </w:p>
        </w:tc>
        <w:tc>
          <w:tcPr>
            <w:tcW w:w="1307"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3ED9B62A">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right"/>
              <w:textAlignment w:val="auto"/>
              <w:rPr>
                <w:rFonts w:ascii="宋体" w:eastAsia="宋体"/>
                <w:color w:val="000000" w:themeColor="text1"/>
                <w:sz w:val="2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116</w:t>
            </w:r>
          </w:p>
        </w:tc>
        <w:tc>
          <w:tcPr>
            <w:tcW w:w="3751"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0C139B57">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定制模具与工装摊薄、工艺定型后良率提升，约降44%</w:t>
            </w:r>
          </w:p>
        </w:tc>
      </w:tr>
      <w:tr w14:paraId="01D41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41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6FDB5D97">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柔性传感织物</w:t>
            </w:r>
          </w:p>
        </w:tc>
        <w:tc>
          <w:tcPr>
            <w:tcW w:w="113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02137AFE">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right"/>
              <w:textAlignment w:val="auto"/>
              <w:rPr>
                <w:rFonts w:ascii="宋体" w:eastAsia="宋体"/>
                <w:color w:val="000000" w:themeColor="text1"/>
                <w:sz w:val="2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38</w:t>
            </w:r>
          </w:p>
        </w:tc>
        <w:tc>
          <w:tcPr>
            <w:tcW w:w="1307"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04CC5990">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right"/>
              <w:textAlignment w:val="auto"/>
              <w:rPr>
                <w:rFonts w:ascii="宋体" w:eastAsia="宋体"/>
                <w:color w:val="000000" w:themeColor="text1"/>
                <w:sz w:val="2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16</w:t>
            </w:r>
          </w:p>
        </w:tc>
        <w:tc>
          <w:tcPr>
            <w:tcW w:w="3751"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17AE8DAA">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面积成本随产量下降，约降58%</w:t>
            </w:r>
          </w:p>
        </w:tc>
      </w:tr>
      <w:tr w14:paraId="78A70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41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0B33D0B2">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护具本体与结构件</w:t>
            </w:r>
          </w:p>
        </w:tc>
        <w:tc>
          <w:tcPr>
            <w:tcW w:w="113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05BFE7A6">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right"/>
              <w:textAlignment w:val="auto"/>
              <w:rPr>
                <w:rFonts w:ascii="宋体" w:eastAsia="宋体"/>
                <w:color w:val="000000" w:themeColor="text1"/>
                <w:sz w:val="2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77</w:t>
            </w:r>
          </w:p>
        </w:tc>
        <w:tc>
          <w:tcPr>
            <w:tcW w:w="1307"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4B3FB87D">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right"/>
              <w:textAlignment w:val="auto"/>
              <w:rPr>
                <w:rFonts w:ascii="宋体" w:eastAsia="宋体"/>
                <w:color w:val="000000" w:themeColor="text1"/>
                <w:sz w:val="2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46</w:t>
            </w:r>
          </w:p>
        </w:tc>
        <w:tc>
          <w:tcPr>
            <w:tcW w:w="3751"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0030F934">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批量代工与材料集中采购，约降40%</w:t>
            </w:r>
          </w:p>
        </w:tc>
      </w:tr>
      <w:tr w14:paraId="180B9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41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4311A725">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装配与测试</w:t>
            </w:r>
          </w:p>
        </w:tc>
        <w:tc>
          <w:tcPr>
            <w:tcW w:w="113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0E44C6D3">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right"/>
              <w:textAlignment w:val="auto"/>
              <w:rPr>
                <w:rFonts w:ascii="宋体" w:eastAsia="宋体"/>
                <w:color w:val="000000" w:themeColor="text1"/>
                <w:sz w:val="2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38</w:t>
            </w:r>
          </w:p>
        </w:tc>
        <w:tc>
          <w:tcPr>
            <w:tcW w:w="1307"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118493EA">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right"/>
              <w:textAlignment w:val="auto"/>
              <w:rPr>
                <w:rFonts w:ascii="宋体" w:eastAsia="宋体"/>
                <w:color w:val="000000" w:themeColor="text1"/>
                <w:sz w:val="2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16</w:t>
            </w:r>
          </w:p>
        </w:tc>
        <w:tc>
          <w:tcPr>
            <w:tcW w:w="3751"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vAlign w:val="center"/>
          </w:tcPr>
          <w:p w14:paraId="2913C24C">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color w:val="000000" w:themeColor="text1"/>
                <w:sz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工装夹具与半自动化，约降58%</w:t>
            </w:r>
          </w:p>
        </w:tc>
      </w:tr>
      <w:tr w14:paraId="57A9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41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1C7D44DB">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color w:val="000000" w:themeColor="text1"/>
                <w:sz w:val="21"/>
                <w14:textFill>
                  <w14:solidFill>
                    <w14:schemeClr w14:val="tx1"/>
                  </w14:solidFill>
                </w14:textFill>
              </w:rPr>
            </w:pPr>
            <w:r>
              <w:rPr>
                <w:rFonts w:hint="eastAsia" w:ascii="宋体" w:hAnsi="宋体" w:eastAsia="宋体" w:cs="宋体"/>
                <w:b/>
                <w:color w:val="000000" w:themeColor="text1"/>
                <w:sz w:val="21"/>
                <w:szCs w:val="21"/>
                <w14:textFill>
                  <w14:solidFill>
                    <w14:schemeClr w14:val="tx1"/>
                  </w14:solidFill>
                </w14:textFill>
              </w:rPr>
              <w:t>合计</w:t>
            </w:r>
          </w:p>
        </w:tc>
        <w:tc>
          <w:tcPr>
            <w:tcW w:w="113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2183C2BD">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right"/>
              <w:textAlignment w:val="auto"/>
              <w:rPr>
                <w:rFonts w:ascii="宋体" w:eastAsia="宋体"/>
                <w:b/>
                <w:color w:val="000000" w:themeColor="text1"/>
                <w:sz w:val="21"/>
                <w14:textFill>
                  <w14:solidFill>
                    <w14:schemeClr w14:val="tx1"/>
                  </w14:solidFill>
                </w14:textFill>
              </w:rPr>
            </w:pPr>
            <w:r>
              <w:rPr>
                <w:rFonts w:ascii="宋体" w:hAnsi="宋体" w:eastAsia="宋体" w:cs="宋体"/>
                <w:b/>
                <w:color w:val="000000" w:themeColor="text1"/>
                <w:sz w:val="21"/>
                <w:szCs w:val="21"/>
                <w14:textFill>
                  <w14:solidFill>
                    <w14:schemeClr w14:val="tx1"/>
                  </w14:solidFill>
                </w14:textFill>
              </w:rPr>
              <w:t>493</w:t>
            </w:r>
          </w:p>
        </w:tc>
        <w:tc>
          <w:tcPr>
            <w:tcW w:w="1307"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23479409">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right"/>
              <w:textAlignment w:val="auto"/>
              <w:rPr>
                <w:rFonts w:ascii="宋体" w:eastAsia="宋体"/>
                <w:b/>
                <w:color w:val="000000" w:themeColor="text1"/>
                <w:sz w:val="21"/>
                <w14:textFill>
                  <w14:solidFill>
                    <w14:schemeClr w14:val="tx1"/>
                  </w14:solidFill>
                </w14:textFill>
              </w:rPr>
            </w:pPr>
            <w:r>
              <w:rPr>
                <w:rFonts w:ascii="宋体" w:hAnsi="宋体" w:eastAsia="宋体" w:cs="宋体"/>
                <w:b/>
                <w:color w:val="000000" w:themeColor="text1"/>
                <w:sz w:val="21"/>
                <w:szCs w:val="21"/>
                <w14:textFill>
                  <w14:solidFill>
                    <w14:schemeClr w14:val="tx1"/>
                  </w14:solidFill>
                </w14:textFill>
              </w:rPr>
              <w:t>267</w:t>
            </w:r>
          </w:p>
        </w:tc>
        <w:tc>
          <w:tcPr>
            <w:tcW w:w="3751"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vAlign w:val="center"/>
          </w:tcPr>
          <w:p w14:paraId="1360D73C">
            <w:pPr>
              <w:keepNext/>
              <w:keepLines w:val="0"/>
              <w:pageBreakBefore w:val="0"/>
              <w:kinsoku/>
              <w:wordWrap/>
              <w:overflowPunct/>
              <w:topLinePunct w:val="0"/>
              <w:autoSpaceDE/>
              <w:autoSpaceDN/>
              <w:bidi w:val="0"/>
              <w:adjustRightInd/>
              <w:snapToGrid w:val="0"/>
              <w:spacing w:before="20" w:after="20" w:line="240" w:lineRule="auto"/>
              <w:ind w:left="0" w:leftChars="0" w:right="0" w:rightChars="0" w:firstLine="0" w:firstLineChars="0"/>
              <w:jc w:val="left"/>
              <w:textAlignment w:val="auto"/>
              <w:rPr>
                <w:rFonts w:ascii="宋体" w:eastAsia="宋体"/>
                <w:b/>
                <w:color w:val="000000" w:themeColor="text1"/>
                <w:sz w:val="21"/>
                <w14:textFill>
                  <w14:solidFill>
                    <w14:schemeClr w14:val="tx1"/>
                  </w14:solidFill>
                </w14:textFill>
              </w:rPr>
            </w:pPr>
            <w:r>
              <w:rPr>
                <w:rFonts w:hint="eastAsia" w:ascii="宋体" w:hAnsi="宋体" w:eastAsia="宋体" w:cs="宋体"/>
                <w:b/>
                <w:color w:val="000000" w:themeColor="text1"/>
                <w:sz w:val="21"/>
                <w:szCs w:val="21"/>
                <w14:textFill>
                  <w14:solidFill>
                    <w14:schemeClr w14:val="tx1"/>
                  </w14:solidFill>
                </w14:textFill>
              </w:rPr>
              <w:t>整体约降46%</w:t>
            </w:r>
          </w:p>
        </w:tc>
      </w:tr>
    </w:tbl>
    <w:p w14:paraId="7E50A0F1">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降本空间最大的两项是气动执行部件与柔性传感织物，合计占小批量成本的一半。两者的共同特征是当前依赖小批量定制，一旦工艺定型并形成稳定订单，价格下降幅度显著高于通用元器件。这也说明本项目的成本结构具有明确的规模效应，而非固定成本型。</w:t>
      </w:r>
    </w:p>
    <w:p w14:paraId="7BA63B1F">
      <w:pPr>
        <w:pStyle w:val="3"/>
        <w:bidi w:val="0"/>
      </w:pPr>
      <w:bookmarkStart w:id="149" w:name="_Toc14016"/>
      <w:bookmarkStart w:id="150" w:name="_Toc27868"/>
      <w:r>
        <w:rPr>
          <w:rFonts w:hint="eastAsia"/>
        </w:rPr>
        <w:t>4.5定价策略与单位经济模型</w:t>
      </w:r>
      <w:bookmarkEnd w:id="149"/>
      <w:bookmarkEnd w:id="150"/>
    </w:p>
    <w:p w14:paraId="2E9B078D">
      <w:pPr>
        <w:pStyle w:val="4"/>
        <w:keepNext w:val="0"/>
        <w:keepLines w:val="0"/>
        <w:kinsoku/>
        <w:wordWrap/>
        <w:overflowPunct/>
        <w:topLinePunct w:val="0"/>
        <w:autoSpaceDE/>
        <w:autoSpaceDN/>
        <w:bidi w:val="0"/>
        <w:adjustRightInd/>
        <w:snapToGrid/>
        <w:spacing w:line="300" w:lineRule="auto"/>
        <w:textAlignment w:val="auto"/>
      </w:pPr>
      <w:bookmarkStart w:id="151" w:name="_Toc29321"/>
      <w:bookmarkStart w:id="152" w:name="_Toc30571"/>
      <w:r>
        <w:rPr>
          <w:rFonts w:hint="eastAsia"/>
        </w:rPr>
        <w:t>4.5.1价值锚点</w:t>
      </w:r>
      <w:bookmarkEnd w:id="151"/>
      <w:bookmarkEnd w:id="152"/>
    </w:p>
    <w:p w14:paraId="6B3394E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定价的参照系不是同类电子产品的价格，而是一次髋部骨折的社会成本。一次老年髋部骨折的住院与康复直接费用在5万至15万元区间，且往往引发长期护理需求与家庭劳动力占用。相较之下，一台防护设备的采购成本处于该数值的百分之一量级。</w:t>
      </w:r>
    </w:p>
    <w:p w14:paraId="41BCD286">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一价值差为机构端提供了清晰的采购逻辑：设备支出是可预算、可控制的确定成本，而一次意外事件带来的责任成本与声誉成本是不可预期的。对承担安全责任的机构而言，前者换取后者的下降，是一笔结构清晰的交易。</w:t>
      </w:r>
    </w:p>
    <w:p w14:paraId="33150B07">
      <w:pPr>
        <w:pStyle w:val="4"/>
        <w:keepNext w:val="0"/>
        <w:keepLines w:val="0"/>
        <w:kinsoku/>
        <w:wordWrap/>
        <w:overflowPunct/>
        <w:topLinePunct w:val="0"/>
        <w:autoSpaceDE/>
        <w:autoSpaceDN/>
        <w:bidi w:val="0"/>
        <w:adjustRightInd/>
        <w:snapToGrid/>
        <w:spacing w:line="300" w:lineRule="auto"/>
        <w:textAlignment w:val="auto"/>
      </w:pPr>
      <w:bookmarkStart w:id="153" w:name="_Toc20258"/>
      <w:bookmarkStart w:id="154" w:name="_Toc2250"/>
      <w:r>
        <w:rPr>
          <w:rFonts w:hint="eastAsia"/>
        </w:rPr>
        <w:t>4.5.2分场景定价</w:t>
      </w:r>
      <w:bookmarkEnd w:id="153"/>
      <w:bookmarkEnd w:id="154"/>
    </w:p>
    <w:p w14:paraId="00E546F9">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8</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分场景定价</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8"/>
        <w:gridCol w:w="1720"/>
        <w:gridCol w:w="2064"/>
        <w:gridCol w:w="3268"/>
      </w:tblGrid>
      <w:tr w14:paraId="2AD09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775355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项目</w:t>
            </w:r>
          </w:p>
        </w:tc>
        <w:tc>
          <w:tcPr>
            <w:tcW w:w="172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9D8D6F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价格（含税）</w:t>
            </w:r>
          </w:p>
        </w:tc>
        <w:tc>
          <w:tcPr>
            <w:tcW w:w="206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D14CDE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付费方</w:t>
            </w:r>
          </w:p>
        </w:tc>
        <w:tc>
          <w:tcPr>
            <w:tcW w:w="326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31918B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说明</w:t>
            </w:r>
          </w:p>
        </w:tc>
      </w:tr>
      <w:tr w14:paraId="09688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A756F0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机构版设备</w:t>
            </w:r>
          </w:p>
        </w:tc>
        <w:tc>
          <w:tcPr>
            <w:tcW w:w="17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9F0EB7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799元/台</w:t>
            </w:r>
          </w:p>
        </w:tc>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701901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社区驿站、服务中心、街道民政</w:t>
            </w:r>
          </w:p>
        </w:tc>
        <w:tc>
          <w:tcPr>
            <w:tcW w:w="326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A33E0A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批量采购价，对应责任成本的转移</w:t>
            </w:r>
          </w:p>
        </w:tc>
      </w:tr>
      <w:tr w14:paraId="24E89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E96A94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家庭版基础款</w:t>
            </w:r>
          </w:p>
        </w:tc>
        <w:tc>
          <w:tcPr>
            <w:tcW w:w="172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40B56B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599元/台</w:t>
            </w:r>
          </w:p>
        </w:tc>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9B7C59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成年子女</w:t>
            </w:r>
          </w:p>
        </w:tc>
        <w:tc>
          <w:tcPr>
            <w:tcW w:w="326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789AAC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对齐调研中八成受访者可接受的价格上限，含设备与基础报警功能</w:t>
            </w:r>
          </w:p>
        </w:tc>
      </w:tr>
      <w:tr w14:paraId="03FB1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998724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家庭版完整款</w:t>
            </w:r>
          </w:p>
        </w:tc>
        <w:tc>
          <w:tcPr>
            <w:tcW w:w="17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5CF920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999元/台</w:t>
            </w:r>
          </w:p>
        </w:tc>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824DDC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成年子女</w:t>
            </w:r>
          </w:p>
        </w:tc>
        <w:tc>
          <w:tcPr>
            <w:tcW w:w="326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5A85A5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含首年平台服务、上门穿戴指导与个性化配置</w:t>
            </w:r>
          </w:p>
        </w:tc>
      </w:tr>
      <w:tr w14:paraId="0CB80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30BCF9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下沉版可拆装模块</w:t>
            </w:r>
          </w:p>
        </w:tc>
        <w:tc>
          <w:tcPr>
            <w:tcW w:w="172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CA13FC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399元/套</w:t>
            </w:r>
          </w:p>
        </w:tc>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8CB92C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县域市场、支付能力受限家庭</w:t>
            </w:r>
          </w:p>
        </w:tc>
        <w:tc>
          <w:tcPr>
            <w:tcW w:w="326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ACF942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气囊防护模块可加装于已有护腰</w:t>
            </w:r>
          </w:p>
        </w:tc>
      </w:tr>
      <w:tr w14:paraId="5BFF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BD31F9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平台服务订阅</w:t>
            </w:r>
          </w:p>
        </w:tc>
        <w:tc>
          <w:tcPr>
            <w:tcW w:w="17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A28D53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机构30元/台/月；家庭19元/月</w:t>
            </w:r>
          </w:p>
        </w:tc>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4CB48A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机构或家庭</w:t>
            </w:r>
          </w:p>
        </w:tc>
        <w:tc>
          <w:tcPr>
            <w:tcW w:w="326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9B58D0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事件响应通道、应用与数据看板；家庭版完整款首年含服务</w:t>
            </w:r>
          </w:p>
        </w:tc>
      </w:tr>
      <w:tr w14:paraId="175FA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551C3D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机构管理服务</w:t>
            </w:r>
          </w:p>
        </w:tc>
        <w:tc>
          <w:tcPr>
            <w:tcW w:w="172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FA7225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12000元/社区/年</w:t>
            </w:r>
          </w:p>
        </w:tc>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ABA939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w:t>
            </w:r>
          </w:p>
        </w:tc>
        <w:tc>
          <w:tcPr>
            <w:tcW w:w="326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E1D672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季度报告、改造建议、人员培训与档案留档</w:t>
            </w:r>
          </w:p>
        </w:tc>
      </w:tr>
    </w:tbl>
    <w:p w14:paraId="34BECEC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定价的调研依据与转化设计见第五章5.5，该节给出的是本表的细化版本与支付意愿数据。表列价格均为含税价，第七章的利润测算按此口径作价税分离。</w:t>
      </w:r>
    </w:p>
    <w:p w14:paraId="7374658A">
      <w:pPr>
        <w:pStyle w:val="4"/>
        <w:keepNext w:val="0"/>
        <w:keepLines w:val="0"/>
        <w:kinsoku/>
        <w:wordWrap/>
        <w:overflowPunct/>
        <w:topLinePunct w:val="0"/>
        <w:autoSpaceDE/>
        <w:autoSpaceDN/>
        <w:bidi w:val="0"/>
        <w:adjustRightInd/>
        <w:snapToGrid/>
        <w:spacing w:line="300" w:lineRule="auto"/>
        <w:textAlignment w:val="auto"/>
      </w:pPr>
      <w:bookmarkStart w:id="155" w:name="_Toc954"/>
      <w:bookmarkStart w:id="156" w:name="_Toc871"/>
      <w:r>
        <w:rPr>
          <w:rFonts w:hint="eastAsia"/>
        </w:rPr>
        <w:t>4.5.3单社区经济模型</w:t>
      </w:r>
      <w:bookmarkEnd w:id="155"/>
      <w:bookmarkEnd w:id="156"/>
    </w:p>
    <w:p w14:paraId="473192C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以一个社区养老服务驿站为基本单元测算。假设该驿站辖区内经评估确定的中高风险老人约50人，全部纳入服务。设备成本按小批量试产档493元计。</w:t>
      </w:r>
    </w:p>
    <w:p w14:paraId="5604CA76">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9</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单社区经济模型（50台规模，含税口径）</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2"/>
        <w:gridCol w:w="1548"/>
        <w:gridCol w:w="1548"/>
        <w:gridCol w:w="3612"/>
      </w:tblGrid>
      <w:tr w14:paraId="27280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9B62F7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项目</w:t>
            </w:r>
          </w:p>
        </w:tc>
        <w:tc>
          <w:tcPr>
            <w:tcW w:w="154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F97C77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首年（元）</w:t>
            </w:r>
          </w:p>
        </w:tc>
        <w:tc>
          <w:tcPr>
            <w:tcW w:w="154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99338F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稳态年（元）</w:t>
            </w:r>
          </w:p>
        </w:tc>
        <w:tc>
          <w:tcPr>
            <w:tcW w:w="361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AFEDE8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计算方式</w:t>
            </w:r>
          </w:p>
        </w:tc>
      </w:tr>
      <w:tr w14:paraId="1B07C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E49751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设备销售收入</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A0435E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39950</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ECF5FB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361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DCE7E9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50台乘799元</w:t>
            </w:r>
          </w:p>
        </w:tc>
      </w:tr>
      <w:tr w14:paraId="29773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6B6FD0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平台订阅收入</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B97038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18000</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34BC80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18000</w:t>
            </w:r>
          </w:p>
        </w:tc>
        <w:tc>
          <w:tcPr>
            <w:tcW w:w="361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9ACDA5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50台乘30元乘12个月</w:t>
            </w:r>
          </w:p>
        </w:tc>
      </w:tr>
      <w:tr w14:paraId="21D2E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0F36BA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机构服务收入</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748017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12000</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C4C188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12000</w:t>
            </w:r>
          </w:p>
        </w:tc>
        <w:tc>
          <w:tcPr>
            <w:tcW w:w="361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88BC48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按社区计</w:t>
            </w:r>
          </w:p>
        </w:tc>
      </w:tr>
      <w:tr w14:paraId="3B839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16C6B1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含税收入合计</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B54201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69950</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7EF37E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30000</w:t>
            </w:r>
          </w:p>
        </w:tc>
        <w:tc>
          <w:tcPr>
            <w:tcW w:w="361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84D142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r>
      <w:tr w14:paraId="5D12A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263F3D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设备成本</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B5C023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24650</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C2B79C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361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622848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50台乘493元</w:t>
            </w:r>
          </w:p>
        </w:tc>
      </w:tr>
      <w:tr w14:paraId="1B78F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02E498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平台运维成本</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1DECEA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3000</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C79612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3000</w:t>
            </w:r>
          </w:p>
        </w:tc>
        <w:tc>
          <w:tcPr>
            <w:tcW w:w="361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4E41D9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50台乘60元，含云服务、运维与回充站摊销</w:t>
            </w:r>
          </w:p>
        </w:tc>
      </w:tr>
      <w:tr w14:paraId="1EA22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74C18E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服务交付成本</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712680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3200</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1E68E1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3200</w:t>
            </w:r>
          </w:p>
        </w:tc>
        <w:tc>
          <w:tcPr>
            <w:tcW w:w="361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05AF2F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约8人日乘400元，含评估、培训、报告与回访</w:t>
            </w:r>
          </w:p>
        </w:tc>
      </w:tr>
      <w:tr w14:paraId="31CC7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CCDC22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直接成本合计</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ED6B86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30850</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163970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6200</w:t>
            </w:r>
          </w:p>
        </w:tc>
        <w:tc>
          <w:tcPr>
            <w:tcW w:w="361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C1C7A4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r>
      <w:tr w14:paraId="071F8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287D8D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毛利</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9D7D8D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39100</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5EAC76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23800</w:t>
            </w:r>
          </w:p>
        </w:tc>
        <w:tc>
          <w:tcPr>
            <w:tcW w:w="361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7E6944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r>
      <w:tr w14:paraId="6CE0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74D3C3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毛利率</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C0901B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55.9%</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EC3A23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79.3%</w:t>
            </w:r>
          </w:p>
        </w:tc>
        <w:tc>
          <w:tcPr>
            <w:tcW w:w="361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BC7208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r>
    </w:tbl>
    <w:p w14:paraId="5F91EE3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模型显示两个特征。其一，首年收入以设备为主，毛利率约56%；稳态年收入全部来自服务，毛利率升至约79%。其二，稳态年的单社区毛利约2.4万元，边际成本很低，这意味着模式的盈利能力随社区数量线性增长，而非随设备销量增长。</w:t>
      </w:r>
    </w:p>
    <w:p w14:paraId="0BB30F6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本模型是第七章全部财务测算的基本单元。盈亏平衡点、敏感性区间与三年资金需求均在第七章7.2统一测算，本章不再重复。</w:t>
      </w:r>
    </w:p>
    <w:p w14:paraId="4147A9A3">
      <w:pPr>
        <w:pStyle w:val="3"/>
        <w:bidi w:val="0"/>
      </w:pPr>
      <w:bookmarkStart w:id="157" w:name="_Toc23197"/>
      <w:bookmarkStart w:id="158" w:name="_Toc32556"/>
      <w:r>
        <w:rPr>
          <w:rFonts w:hint="eastAsia"/>
        </w:rPr>
        <w:t>4.6验证阶段的目标市场与推进路径</w:t>
      </w:r>
      <w:bookmarkEnd w:id="157"/>
      <w:bookmarkEnd w:id="158"/>
    </w:p>
    <w:p w14:paraId="35F2CB36">
      <w:pPr>
        <w:pStyle w:val="4"/>
        <w:keepNext w:val="0"/>
        <w:keepLines w:val="0"/>
        <w:kinsoku/>
        <w:wordWrap/>
        <w:overflowPunct/>
        <w:topLinePunct w:val="0"/>
        <w:autoSpaceDE/>
        <w:autoSpaceDN/>
        <w:bidi w:val="0"/>
        <w:adjustRightInd/>
        <w:snapToGrid/>
        <w:spacing w:line="300" w:lineRule="auto"/>
        <w:textAlignment w:val="auto"/>
      </w:pPr>
      <w:bookmarkStart w:id="159" w:name="_Toc7108"/>
      <w:bookmarkStart w:id="160" w:name="_Toc16992"/>
      <w:r>
        <w:rPr>
          <w:rFonts w:hint="eastAsia"/>
        </w:rPr>
        <w:t>4.6.1以北京体育大学为中心的海淀辐射路径</w:t>
      </w:r>
      <w:bookmarkEnd w:id="159"/>
      <w:bookmarkEnd w:id="160"/>
    </w:p>
    <w:p w14:paraId="0875CAF6">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验证阶段的目标市场明确限定为北京市海淀区。这一选择基于三点考虑：团队与实验室位于海淀，进场与运维成本最低；海淀区养老服务设施密度高、体系完整，是理想的模式验证场；已有的颐清园养老社区合作关系提供了首个落点。</w:t>
      </w:r>
    </w:p>
    <w:p w14:paraId="2BEF1B87">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10</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海淀区养老服务设施底数</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4"/>
        <w:gridCol w:w="1204"/>
        <w:gridCol w:w="5332"/>
      </w:tblGrid>
      <w:tr w14:paraId="0B0EA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9AB48A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设施类型</w:t>
            </w:r>
          </w:p>
        </w:tc>
        <w:tc>
          <w:tcPr>
            <w:tcW w:w="120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F540EC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数量</w:t>
            </w:r>
          </w:p>
        </w:tc>
        <w:tc>
          <w:tcPr>
            <w:tcW w:w="53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A427CB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在本项目中的意义</w:t>
            </w:r>
          </w:p>
        </w:tc>
      </w:tr>
      <w:tr w14:paraId="08AF1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00D69F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社区养老服务驿站</w:t>
            </w:r>
          </w:p>
        </w:tc>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B41582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160家</w:t>
            </w:r>
          </w:p>
        </w:tc>
        <w:tc>
          <w:tcPr>
            <w:tcW w:w="53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7129B0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最核心的落地单元与目标客户</w:t>
            </w:r>
          </w:p>
        </w:tc>
      </w:tr>
      <w:tr w14:paraId="6307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896144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区域养老服务中心</w:t>
            </w:r>
          </w:p>
        </w:tc>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CEAA65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20家</w:t>
            </w:r>
          </w:p>
        </w:tc>
        <w:tc>
          <w:tcPr>
            <w:tcW w:w="53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670F85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服务能力更强的规模化落点</w:t>
            </w:r>
          </w:p>
        </w:tc>
      </w:tr>
      <w:tr w14:paraId="51F67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9CFC88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养老机构</w:t>
            </w:r>
          </w:p>
        </w:tc>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AC34CA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68家</w:t>
            </w:r>
          </w:p>
        </w:tc>
        <w:tc>
          <w:tcPr>
            <w:tcW w:w="53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4AE259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备案床位10513张，为二期机构场景储备</w:t>
            </w:r>
          </w:p>
        </w:tc>
      </w:tr>
      <w:tr w14:paraId="60914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65EF53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养老助餐点</w:t>
            </w:r>
          </w:p>
        </w:tc>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DFB886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293家</w:t>
            </w:r>
          </w:p>
        </w:tc>
        <w:tc>
          <w:tcPr>
            <w:tcW w:w="53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72F08D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佩戴激励机制可对接的既有社区资源</w:t>
            </w:r>
          </w:p>
        </w:tc>
      </w:tr>
    </w:tbl>
    <w:p w14:paraId="507F9AAD">
      <w:pPr>
        <w:keepNext w:val="0"/>
        <w:keepLines w:val="0"/>
        <w:pageBreakBefore w:val="0"/>
        <w:kinsoku/>
        <w:wordWrap/>
        <w:overflowPunct/>
        <w:topLinePunct w:val="0"/>
        <w:autoSpaceDE/>
        <w:autoSpaceDN/>
        <w:bidi w:val="0"/>
        <w:adjustRightInd/>
        <w:snapToGrid/>
        <w:spacing w:before="40" w:after="14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数据来源：海淀区人民政府公开信息，2025年度。</w:t>
      </w:r>
    </w:p>
    <w:p w14:paraId="4477F642">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海淀区民政部门公开数据同时显示，全区累计开展巡视探访22.97万人次，覆盖老年人20952人。这批被重点关注的高龄独居老人，与本项目的目标服务对象高度重合，是模式验证阶段最直接的服务人群基础。</w:t>
      </w:r>
    </w:p>
    <w:p w14:paraId="3E7BCB66">
      <w:pPr>
        <w:pStyle w:val="4"/>
        <w:keepNext w:val="0"/>
        <w:keepLines w:val="0"/>
        <w:kinsoku/>
        <w:wordWrap/>
        <w:overflowPunct/>
        <w:topLinePunct w:val="0"/>
        <w:autoSpaceDE/>
        <w:autoSpaceDN/>
        <w:bidi w:val="0"/>
        <w:adjustRightInd/>
        <w:snapToGrid/>
        <w:spacing w:line="300" w:lineRule="auto"/>
        <w:textAlignment w:val="auto"/>
      </w:pPr>
      <w:bookmarkStart w:id="161" w:name="_Toc9878"/>
      <w:bookmarkStart w:id="162" w:name="_Toc24102"/>
      <w:r>
        <w:rPr>
          <w:rFonts w:hint="eastAsia"/>
        </w:rPr>
        <w:t>4.6.2三步推进路径</w:t>
      </w:r>
      <w:bookmarkEnd w:id="161"/>
      <w:bookmarkEnd w:id="162"/>
    </w:p>
    <w:p w14:paraId="0A4DC0C1">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11</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三步推进路径</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3"/>
        <w:gridCol w:w="891"/>
        <w:gridCol w:w="2228"/>
        <w:gridCol w:w="4108"/>
      </w:tblGrid>
      <w:tr w14:paraId="1A29C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D72B1C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阶段</w:t>
            </w:r>
          </w:p>
        </w:tc>
        <w:tc>
          <w:tcPr>
            <w:tcW w:w="8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79C9F3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时间</w:t>
            </w:r>
          </w:p>
        </w:tc>
        <w:tc>
          <w:tcPr>
            <w:tcW w:w="223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67D09D3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目标</w:t>
            </w:r>
          </w:p>
        </w:tc>
        <w:tc>
          <w:tcPr>
            <w:tcW w:w="412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7DE54F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关键动作</w:t>
            </w:r>
          </w:p>
        </w:tc>
      </w:tr>
      <w:tr w14:paraId="7E547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6F6C81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第一步打透一个点</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4F509A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第1年</w:t>
            </w:r>
          </w:p>
        </w:tc>
        <w:tc>
          <w:tcPr>
            <w:tcW w:w="223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330E8C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颐清园养老社区完整跑通七环节闭环</w:t>
            </w:r>
          </w:p>
        </w:tc>
        <w:tc>
          <w:tcPr>
            <w:tcW w:w="412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464BE4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完成服务闭环全流程验证，形成首份社区跌倒风险报告与落地作业手册</w:t>
            </w:r>
          </w:p>
        </w:tc>
      </w:tr>
      <w:tr w14:paraId="409DC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9AEEC8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第二步街镇复制</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6F54B4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第2年</w:t>
            </w:r>
          </w:p>
        </w:tc>
        <w:tc>
          <w:tcPr>
            <w:tcW w:w="223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D8B1FF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扩展至5至10个海淀区社区点位</w:t>
            </w:r>
          </w:p>
        </w:tc>
        <w:tc>
          <w:tcPr>
            <w:tcW w:w="412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F0C3D9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以首个社区的成效数据为凭据，通过街道民政渠道推广；验证作业手册的可复制性；完成小批量试产与工艺定型</w:t>
            </w:r>
          </w:p>
        </w:tc>
      </w:tr>
      <w:tr w14:paraId="414FE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E86368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第三步区域推广</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D85932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第3年</w:t>
            </w:r>
          </w:p>
        </w:tc>
        <w:tc>
          <w:tcPr>
            <w:tcW w:w="223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8EF96B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累计47个点位，跨区复制</w:t>
            </w:r>
          </w:p>
        </w:tc>
        <w:tc>
          <w:tcPr>
            <w:tcW w:w="412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7E29E3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越过45个点位的盈亏平衡线；向其他城区及城乡结合部延伸，下沉版模块面向县域市场</w:t>
            </w:r>
          </w:p>
        </w:tc>
      </w:tr>
    </w:tbl>
    <w:p w14:paraId="78C87257">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第三年的47个点位对应海淀区内渗透率约26.1%，不需要跨区扩张即可达成；规划中的跨城区复制与县域下沉均为增量。该目标与第七章表7-1、第九章9.3.3完全一致。</w:t>
      </w:r>
    </w:p>
    <w:p w14:paraId="1058945F">
      <w:pPr>
        <w:pStyle w:val="4"/>
        <w:keepNext w:val="0"/>
        <w:keepLines w:val="0"/>
        <w:kinsoku/>
        <w:wordWrap/>
        <w:overflowPunct/>
        <w:topLinePunct w:val="0"/>
        <w:autoSpaceDE/>
        <w:autoSpaceDN/>
        <w:bidi w:val="0"/>
        <w:adjustRightInd/>
        <w:snapToGrid/>
        <w:spacing w:line="300" w:lineRule="auto"/>
        <w:textAlignment w:val="auto"/>
      </w:pPr>
      <w:bookmarkStart w:id="163" w:name="_Toc15459"/>
      <w:bookmarkStart w:id="164" w:name="_Toc16304"/>
      <w:r>
        <w:rPr>
          <w:rFonts w:hint="eastAsia"/>
        </w:rPr>
        <w:t>4.6.3模式的可复制性</w:t>
      </w:r>
      <w:bookmarkEnd w:id="163"/>
      <w:bookmarkEnd w:id="164"/>
    </w:p>
    <w:p w14:paraId="4C2A32D1">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一套模式能否复制，取决于它对特定条件的依赖程度。本模式的复制门槛已被刻意压低到三个条件。</w:t>
      </w:r>
    </w:p>
    <w:p w14:paraId="78046109">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—标准化的作业手册。进场、评估、部署、运行、复盘五个阶段的动作全部固化为文档与表单，新点位的落地不依赖个别成员的经验。</w:t>
      </w:r>
    </w:p>
    <w:p w14:paraId="1BF31F5E">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—依托既有的社区服务组织。服务的执行方是社区驿站与网格员，本项目不需要在每个社区自建服务队伍，因而人力成本不随点位数量线性增长。</w:t>
      </w:r>
    </w:p>
    <w:p w14:paraId="2E817603">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—激励资源来自社区自身。佩戴激励所使用的助餐折扣与服务积分是社区既有资源，本项目提供数据与规则，不承担激励成本。</w:t>
      </w:r>
    </w:p>
    <w:p w14:paraId="5314B86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三个条件共同决定了本模式的边际扩张成本较低。这也是本项目认为它具备示范效应的依据——它不是一个只能在某个资源禀赋特殊的社区跑通的方案，而是一套可以被其他社区照着做的方法。</w:t>
      </w:r>
    </w:p>
    <w:p w14:paraId="63F0AE1A">
      <w:pPr>
        <w:keepNext w:val="0"/>
        <w:keepLines w:val="0"/>
        <w:pageBreakBefore w:val="0"/>
        <w:kinsoku/>
        <w:wordWrap/>
        <w:overflowPunct/>
        <w:topLinePunct w:val="0"/>
        <w:autoSpaceDE/>
        <w:autoSpaceDN/>
        <w:bidi w:val="0"/>
        <w:adjustRightInd/>
        <w:snapToGrid/>
        <w:spacing w:line="300" w:lineRule="auto"/>
        <w:textAlignment w:val="auto"/>
        <w:rPr>
          <w:color w:val="000000" w:themeColor="text1"/>
          <w14:textFill>
            <w14:solidFill>
              <w14:schemeClr w14:val="tx1"/>
            </w14:solidFill>
          </w14:textFill>
        </w:rPr>
      </w:pPr>
      <w:r>
        <w:rPr>
          <w:color w:val="000000" w:themeColor="text1"/>
          <w14:textFill>
            <w14:solidFill>
              <w14:schemeClr w14:val="tx1"/>
            </w14:solidFill>
          </w14:textFill>
        </w:rPr>
        <w:br w:type="page"/>
      </w:r>
    </w:p>
    <w:p w14:paraId="24C42F6B">
      <w:pPr>
        <w:pStyle w:val="2"/>
        <w:bidi w:val="0"/>
      </w:pPr>
      <w:bookmarkStart w:id="165" w:name="_Toc3442"/>
      <w:bookmarkStart w:id="166" w:name="_Toc13536"/>
      <w:r>
        <w:rPr>
          <w:rFonts w:hint="eastAsia"/>
        </w:rPr>
        <w:t>营销与竞争策略</w:t>
      </w:r>
      <w:bookmarkEnd w:id="165"/>
      <w:bookmarkEnd w:id="166"/>
    </w:p>
    <w:p w14:paraId="4BF0CAAF">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本章回答一个问题：产品做出来之后，怎么让它真正到达需要它的老人身上。这个问题在养老市场尤其不容易，因为想用的人不付钱、付钱的人不使用、而决定采购的人两者都不是。</w:t>
      </w:r>
    </w:p>
    <w:p w14:paraId="733EBB60">
      <w:pPr>
        <w:pStyle w:val="3"/>
        <w:bidi w:val="0"/>
      </w:pPr>
      <w:bookmarkStart w:id="167" w:name="_Toc18365"/>
      <w:bookmarkStart w:id="168" w:name="_Toc23084"/>
      <w:r>
        <w:rPr>
          <w:rFonts w:hint="eastAsia"/>
        </w:rPr>
        <w:t>5.1 SWOT分析</w:t>
      </w:r>
      <w:bookmarkEnd w:id="167"/>
      <w:bookmarkEnd w:id="168"/>
    </w:p>
    <w:p w14:paraId="75E7BA3E">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本节对项目的内外部条件作出评估。其中劣势部分按实际情况列示，并逐条给出应对措施——一个不敢写出真实劣势的分析没有意义。</w:t>
      </w:r>
    </w:p>
    <w:p w14:paraId="4DA48B74">
      <w:pPr>
        <w:pStyle w:val="4"/>
        <w:keepNext w:val="0"/>
        <w:keepLines w:val="0"/>
        <w:kinsoku/>
        <w:wordWrap/>
        <w:overflowPunct/>
        <w:topLinePunct w:val="0"/>
        <w:autoSpaceDE/>
        <w:autoSpaceDN/>
        <w:bidi w:val="0"/>
        <w:adjustRightInd/>
        <w:snapToGrid/>
        <w:spacing w:line="300" w:lineRule="auto"/>
        <w:textAlignment w:val="auto"/>
      </w:pPr>
      <w:bookmarkStart w:id="169" w:name="_Toc18608"/>
      <w:bookmarkStart w:id="170" w:name="_Toc32276"/>
      <w:r>
        <w:rPr>
          <w:rFonts w:hint="eastAsia"/>
        </w:rPr>
        <w:t>5.1.1优势</w:t>
      </w:r>
      <w:bookmarkEnd w:id="169"/>
      <w:bookmarkEnd w:id="170"/>
    </w:p>
    <w:p w14:paraId="30FF0D75">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项目优势</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2"/>
        <w:gridCol w:w="6708"/>
      </w:tblGrid>
      <w:tr w14:paraId="693C3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D26588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优势</w:t>
            </w:r>
          </w:p>
        </w:tc>
        <w:tc>
          <w:tcPr>
            <w:tcW w:w="670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64142DC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说明</w:t>
            </w:r>
          </w:p>
        </w:tc>
      </w:tr>
      <w:tr w14:paraId="09A89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99E000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学科交叉的不可替代性</w:t>
            </w:r>
          </w:p>
        </w:tc>
        <w:tc>
          <w:tcPr>
            <w:tcW w:w="670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536311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团队横跨体育工程、运动医学与康复、运动人体科学、竞技体育四个学院，并延伸至中央财经大学与中国科学院大学。跌倒的本质是人体平衡控制失效，属运动生物力学问题，纯工科团队难以在短期内建立这一认知（详见第三章3.7.1）</w:t>
            </w:r>
          </w:p>
        </w:tc>
      </w:tr>
      <w:tr w14:paraId="74A0D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F8F761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动捕平台的独占性</w:t>
            </w:r>
          </w:p>
        </w:tc>
        <w:tc>
          <w:tcPr>
            <w:tcW w:w="670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85C84C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依托北京体育大学体育工程实验室高精度光学动捕系统，可获得步态标注的金标准。此类平台在体育类院校属常规科研设施，对多数创业团队则难以获取</w:t>
            </w:r>
          </w:p>
        </w:tc>
      </w:tr>
      <w:tr w14:paraId="0843B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420854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范式领先</w:t>
            </w:r>
          </w:p>
        </w:tc>
        <w:tc>
          <w:tcPr>
            <w:tcW w:w="670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5A7B8A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从事后报警前移至事发前主动防护，与市面全部事后响应型产品形成代际差异</w:t>
            </w:r>
          </w:p>
        </w:tc>
      </w:tr>
      <w:tr w14:paraId="1ABBD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410BF9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形态优势</w:t>
            </w:r>
          </w:p>
        </w:tc>
        <w:tc>
          <w:tcPr>
            <w:tcW w:w="670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0EEB7D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以护腰为载体，规避了传统护髋产品有效但不愿穿的困境，直接命中依从性这一行业首要失效点</w:t>
            </w:r>
          </w:p>
        </w:tc>
      </w:tr>
      <w:tr w14:paraId="1C466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A8D209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无耗材的执行架构</w:t>
            </w:r>
          </w:p>
        </w:tc>
        <w:tc>
          <w:tcPr>
            <w:tcW w:w="670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3B1624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采用储气式冷气体方案，气囊排气后可复位、储气罐可重新充压，触发后不需更换任何耗材。国内已上市的同类产品普遍采用气罐或气体发生器方案，触发后须更换耗材，这一差异直接作用于机构客户的持有成本</w:t>
            </w:r>
          </w:p>
        </w:tc>
      </w:tr>
      <w:tr w14:paraId="110B4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FA5C41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自有真实数据的起点</w:t>
            </w:r>
          </w:p>
        </w:tc>
        <w:tc>
          <w:tcPr>
            <w:tcW w:w="670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BEA5D3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2026年暑期已在颐清园养老社区完成20余名老人的步态采集，取得32份有效步态数据。规模虽有限，但这是标注规范可控、人群特征与目标场景完全匹配的自有数据，且社区采集通道已经打通</w:t>
            </w:r>
          </w:p>
        </w:tc>
      </w:tr>
      <w:tr w14:paraId="5BDDD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4E5EED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双导师与专业资质</w:t>
            </w:r>
          </w:p>
        </w:tc>
        <w:tc>
          <w:tcPr>
            <w:tcW w:w="670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28B934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指导教师阮槟老师具有高级运动防护师资质，宗寿鑫老师负责软硬件系统与数据训练，覆盖本项目所需的两类核心能力</w:t>
            </w:r>
          </w:p>
        </w:tc>
      </w:tr>
      <w:tr w14:paraId="1B248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46BD0C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已有基础与社区关系</w:t>
            </w:r>
          </w:p>
        </w:tc>
        <w:tc>
          <w:tcPr>
            <w:tcW w:w="670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F9B01A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获第五届北京大学生创新创业大赛民生服务赛道一等奖、中国国际大学生创新大赛校赛银奖；依托本项目组建的暑期社会实践团队获评优秀实践团队；已与颐清园养老社区建立结对合作并完成首轮社区实践</w:t>
            </w:r>
          </w:p>
        </w:tc>
      </w:tr>
    </w:tbl>
    <w:p w14:paraId="33DC6AD3">
      <w:pPr>
        <w:pStyle w:val="4"/>
        <w:keepNext w:val="0"/>
        <w:keepLines w:val="0"/>
        <w:kinsoku/>
        <w:wordWrap/>
        <w:overflowPunct/>
        <w:topLinePunct w:val="0"/>
        <w:autoSpaceDE/>
        <w:autoSpaceDN/>
        <w:bidi w:val="0"/>
        <w:adjustRightInd/>
        <w:snapToGrid/>
        <w:spacing w:line="300" w:lineRule="auto"/>
        <w:textAlignment w:val="auto"/>
      </w:pPr>
      <w:bookmarkStart w:id="171" w:name="_Toc31644"/>
      <w:bookmarkStart w:id="172" w:name="_Toc477"/>
      <w:r>
        <w:rPr>
          <w:rFonts w:hint="eastAsia"/>
        </w:rPr>
        <w:t>5.1.2劣势与应对</w:t>
      </w:r>
      <w:bookmarkEnd w:id="171"/>
      <w:bookmarkEnd w:id="172"/>
    </w:p>
    <w:p w14:paraId="5B9B1541">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2</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项目劣势与应对措施</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0"/>
        <w:gridCol w:w="2580"/>
        <w:gridCol w:w="4300"/>
      </w:tblGrid>
      <w:tr w14:paraId="3A62E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70E137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劣势</w:t>
            </w:r>
          </w:p>
        </w:tc>
        <w:tc>
          <w:tcPr>
            <w:tcW w:w="258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B08688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实际情况</w:t>
            </w:r>
          </w:p>
        </w:tc>
        <w:tc>
          <w:tcPr>
            <w:tcW w:w="430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030F71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应对措施</w:t>
            </w:r>
          </w:p>
        </w:tc>
      </w:tr>
      <w:tr w14:paraId="3C8E3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8BDAA7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尚无集成样机</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50E675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当前处于概念验证阶段，未完成整机试制与性能实测</w:t>
            </w:r>
          </w:p>
        </w:tc>
        <w:tc>
          <w:tcPr>
            <w:tcW w:w="430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9D4D0D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资源优先投向数据集建设与算法验证。在防跌领域，先验证何时该触发，比先做出一个会鼓起来的气囊更关键。样机试制列入第一年计划</w:t>
            </w:r>
          </w:p>
        </w:tc>
      </w:tr>
      <w:tr w14:paraId="1BF91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F22D5E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自有数据规模仍然有限</w:t>
            </w:r>
          </w:p>
        </w:tc>
        <w:tc>
          <w:tcPr>
            <w:tcW w:w="25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05D3F6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已完成32份社区真实老年步态采集，但用于模型训练的临跌倒失衡样本仍依赖后续模拟采集</w:t>
            </w:r>
          </w:p>
        </w:tc>
        <w:tc>
          <w:tcPr>
            <w:tcW w:w="430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A11A51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两条采集线并行推进：学生志愿者模拟数据用于训练，社区老年人真实数据用于校正与验证。志愿者招募已启动，计划300名；社区采集通道已打通，复采成本低（详见第三章3.6.4）</w:t>
            </w:r>
          </w:p>
        </w:tc>
      </w:tr>
      <w:tr w14:paraId="052FF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7A9BA4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核心部件成本未定</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58EADC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柔性传感织物尚未取得报价，单台物料成本目前为估算值</w:t>
            </w:r>
          </w:p>
        </w:tc>
        <w:tc>
          <w:tcPr>
            <w:tcW w:w="430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0BF44A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四项定制件已启动多家询价，以正式报价替换估算；第七章已将该项列为待验证假设并作敏感性分析</w:t>
            </w:r>
          </w:p>
        </w:tc>
      </w:tr>
      <w:tr w14:paraId="4536C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A6A148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团队无商业运营经验</w:t>
            </w:r>
          </w:p>
        </w:tc>
        <w:tc>
          <w:tcPr>
            <w:tcW w:w="25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B97049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成员均为在校本科生，缺乏企业管理与市场拓展实操</w:t>
            </w:r>
          </w:p>
        </w:tc>
        <w:tc>
          <w:tcPr>
            <w:tcW w:w="430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396C9A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一期采用机构端切入，销售链条短、客户集中，对复杂销售能力要求较低；已引入中央财经大学金融工程专业成员承担财务建模与复核；同时通过学校创业孵化平台补充产品与运营方向人才</w:t>
            </w:r>
          </w:p>
        </w:tc>
      </w:tr>
      <w:tr w14:paraId="756DF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D95721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无企业实体</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0855BA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尚未完成工商登记注册</w:t>
            </w:r>
          </w:p>
        </w:tc>
        <w:tc>
          <w:tcPr>
            <w:tcW w:w="430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81E013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一期以校地合作与社区试点形式推进，不以营收为首要目标；企业注册筹备列入第二年计划</w:t>
            </w:r>
          </w:p>
        </w:tc>
      </w:tr>
    </w:tbl>
    <w:p w14:paraId="34506728">
      <w:pPr>
        <w:pStyle w:val="4"/>
        <w:keepNext w:val="0"/>
        <w:keepLines w:val="0"/>
        <w:kinsoku/>
        <w:wordWrap/>
        <w:overflowPunct/>
        <w:topLinePunct w:val="0"/>
        <w:autoSpaceDE/>
        <w:autoSpaceDN/>
        <w:bidi w:val="0"/>
        <w:adjustRightInd/>
        <w:snapToGrid/>
        <w:spacing w:line="300" w:lineRule="auto"/>
        <w:textAlignment w:val="auto"/>
      </w:pPr>
      <w:bookmarkStart w:id="173" w:name="_Toc10327"/>
      <w:bookmarkStart w:id="174" w:name="_Toc28877"/>
      <w:r>
        <w:rPr>
          <w:rFonts w:hint="eastAsia"/>
        </w:rPr>
        <w:t>5.1.3机会</w:t>
      </w:r>
      <w:bookmarkEnd w:id="173"/>
      <w:bookmarkEnd w:id="174"/>
    </w:p>
    <w:p w14:paraId="1223A6D1">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—政策持续加码。《关于发展银发经济增进老年人福祉的意见》明确支持智能护理设备与老年用品产业；工业和信息化部等三部门设有智慧健康养老产品推广目录，构成中期可争取的政策通道。</w:t>
      </w:r>
    </w:p>
    <w:p w14:paraId="3B0B39FF">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—社区服务载体已经就位。海淀区已建成社区养老服务驿站160家、区域养老服务中心20家。承接本项目服务模式的基层组织在几年前尚不存在，如今已成体系。</w:t>
      </w:r>
    </w:p>
    <w:p w14:paraId="122E610E">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—技术三条件同时成熟。柔性传感走向可穿戴、端侧推理算力达到可用门槛、微型气动执行机构成本下降。</w:t>
      </w:r>
    </w:p>
    <w:p w14:paraId="68CE29C7">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—价格带空白。国内已上市的同类气囊防护产品定价在两千元以上，远高于调研显示的老年个人支付意愿区间，也高于社区机构批量采购的常规预算水平。中低价格带尚无成熟产品。</w:t>
      </w:r>
    </w:p>
    <w:p w14:paraId="73AA86EC">
      <w:pPr>
        <w:pStyle w:val="4"/>
        <w:keepNext w:val="0"/>
        <w:keepLines w:val="0"/>
        <w:kinsoku/>
        <w:wordWrap/>
        <w:overflowPunct/>
        <w:topLinePunct w:val="0"/>
        <w:autoSpaceDE/>
        <w:autoSpaceDN/>
        <w:bidi w:val="0"/>
        <w:adjustRightInd/>
        <w:snapToGrid/>
        <w:spacing w:line="300" w:lineRule="auto"/>
        <w:textAlignment w:val="auto"/>
      </w:pPr>
      <w:bookmarkStart w:id="175" w:name="_Toc24149"/>
      <w:bookmarkStart w:id="176" w:name="_Toc6542"/>
      <w:r>
        <w:rPr>
          <w:rFonts w:hint="eastAsia"/>
        </w:rPr>
        <w:t>5.1.4威胁与防线</w:t>
      </w:r>
      <w:bookmarkEnd w:id="175"/>
      <w:bookmarkEnd w:id="176"/>
    </w:p>
    <w:p w14:paraId="346DE956">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威胁与防线</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8"/>
        <w:gridCol w:w="3268"/>
        <w:gridCol w:w="3784"/>
      </w:tblGrid>
      <w:tr w14:paraId="40D06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5494E1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威胁</w:t>
            </w:r>
          </w:p>
        </w:tc>
        <w:tc>
          <w:tcPr>
            <w:tcW w:w="326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44DD63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风险描述</w:t>
            </w:r>
          </w:p>
        </w:tc>
        <w:tc>
          <w:tcPr>
            <w:tcW w:w="378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142A7A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防线</w:t>
            </w:r>
          </w:p>
        </w:tc>
      </w:tr>
      <w:tr w14:paraId="4B2C1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0C44B7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大型企业进入</w:t>
            </w:r>
          </w:p>
        </w:tc>
        <w:tc>
          <w:tcPr>
            <w:tcW w:w="326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4891B9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智能穿戴或养老服务领域的成熟企业投入同类产品，在供应链与渠道上具备压倒性优势</w:t>
            </w:r>
          </w:p>
        </w:tc>
        <w:tc>
          <w:tcPr>
            <w:tcW w:w="3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A164FA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壁垒不在硬件而在数据与模式。本土老年步态数据集与社区服务关系需要时间积累，无法用资金短期购买</w:t>
            </w:r>
          </w:p>
        </w:tc>
      </w:tr>
      <w:tr w14:paraId="3DC24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50288D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国内同类产品下沉</w:t>
            </w:r>
          </w:p>
        </w:tc>
        <w:tc>
          <w:tcPr>
            <w:tcW w:w="326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4DC974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国内已有具备汽车安全气囊产业背景的厂商推出穿戴式气囊产品，若其推出简化版本下探价格带，将直接压缩本项目的价格空间</w:t>
            </w:r>
          </w:p>
        </w:tc>
        <w:tc>
          <w:tcPr>
            <w:tcW w:w="378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D6747F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差异不在防护部位数量，而在持有成本与产品形态：本项目为无耗材架构且保持护腰形态，而现有产品触发后须更换气罐且为外穿马甲形态。同时本项目的服务模式与数据能力不在硬件厂商的能力射程内</w:t>
            </w:r>
          </w:p>
        </w:tc>
      </w:tr>
      <w:tr w14:paraId="10E1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9BA40C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国外产品本土化降价</w:t>
            </w:r>
          </w:p>
        </w:tc>
        <w:tc>
          <w:tcPr>
            <w:tcW w:w="326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92D85C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已有气囊护髋厂商针对中国市场降价并调整算法</w:t>
            </w:r>
          </w:p>
        </w:tc>
        <w:tc>
          <w:tcPr>
            <w:tcW w:w="3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9486E4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其识别模型的本土化需要中国老年步态数据，而这正是本项目的积累方向；同时其难以复制嵌入社区养老服务体系的服务模式</w:t>
            </w:r>
          </w:p>
        </w:tc>
      </w:tr>
      <w:tr w14:paraId="1A38F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810397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误报导致口碑崩塌</w:t>
            </w:r>
          </w:p>
        </w:tc>
        <w:tc>
          <w:tcPr>
            <w:tcW w:w="326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F6BC09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误报率过高将直接导致老人弃用，是本行业最致命的失败方式</w:t>
            </w:r>
          </w:p>
        </w:tc>
        <w:tc>
          <w:tcPr>
            <w:tcW w:w="378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78928B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算法以低误报为首要优化目标，对日常高误报风险动作定向增强训练；在真实老年数据完成校正前不进入规模推广</w:t>
            </w:r>
          </w:p>
        </w:tc>
      </w:tr>
      <w:tr w14:paraId="37C67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2CB873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监管政策变化</w:t>
            </w:r>
          </w:p>
        </w:tc>
        <w:tc>
          <w:tcPr>
            <w:tcW w:w="326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838179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若相关产品被纳入医疗器械管理范畴，将大幅提高准入成本</w:t>
            </w:r>
          </w:p>
        </w:tc>
        <w:tc>
          <w:tcPr>
            <w:tcW w:w="3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88A242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已明确按个人防护用品定位，主动剔除全部医疗干预与疾病预测功能，并预留器械分类界定的评估路径（详见第八章）</w:t>
            </w:r>
          </w:p>
        </w:tc>
      </w:tr>
      <w:tr w14:paraId="4AA15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2C5113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机构采购预算不确定</w:t>
            </w:r>
          </w:p>
        </w:tc>
        <w:tc>
          <w:tcPr>
            <w:tcW w:w="326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22CBEB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社区养老服务机构的设备采购预算受财政安排影响</w:t>
            </w:r>
          </w:p>
        </w:tc>
        <w:tc>
          <w:tcPr>
            <w:tcW w:w="378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2245C4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收入结构中平台订阅与服务收入占比逐年提升，降低对一次性设备采购的依赖；同时推进政府购买服务与家庭端两条备选路径</w:t>
            </w:r>
          </w:p>
        </w:tc>
      </w:tr>
    </w:tbl>
    <w:p w14:paraId="07773CAF">
      <w:pPr>
        <w:pStyle w:val="3"/>
        <w:bidi w:val="0"/>
      </w:pPr>
      <w:bookmarkStart w:id="177" w:name="_Toc8645"/>
      <w:bookmarkStart w:id="178" w:name="_Toc20794"/>
      <w:r>
        <w:rPr>
          <w:rFonts w:hint="eastAsia"/>
        </w:rPr>
        <w:t>5.2竞品与行业竞争结构</w:t>
      </w:r>
      <w:bookmarkEnd w:id="177"/>
      <w:bookmarkEnd w:id="178"/>
    </w:p>
    <w:p w14:paraId="330FD910">
      <w:pPr>
        <w:pStyle w:val="4"/>
        <w:keepNext w:val="0"/>
        <w:keepLines w:val="0"/>
        <w:kinsoku/>
        <w:wordWrap/>
        <w:overflowPunct/>
        <w:topLinePunct w:val="0"/>
        <w:autoSpaceDE/>
        <w:autoSpaceDN/>
        <w:bidi w:val="0"/>
        <w:adjustRightInd/>
        <w:snapToGrid/>
        <w:spacing w:line="300" w:lineRule="auto"/>
        <w:textAlignment w:val="auto"/>
      </w:pPr>
      <w:bookmarkStart w:id="179" w:name="_Toc16935"/>
      <w:bookmarkStart w:id="180" w:name="_Toc29596"/>
      <w:r>
        <w:rPr>
          <w:rFonts w:hint="eastAsia"/>
        </w:rPr>
        <w:t>5.2.1解决方案类别对比</w:t>
      </w:r>
      <w:bookmarkEnd w:id="179"/>
      <w:bookmarkEnd w:id="180"/>
    </w:p>
    <w:p w14:paraId="3EA4FD96">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本节先在类别层面比较，原因是老年防跌领域尚未形成主导性品牌，类别差异比个体产品的参数差异更能说明问题。</w:t>
      </w:r>
    </w:p>
    <w:p w14:paraId="5561979C">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解决方案类别对比</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0"/>
        <w:gridCol w:w="1204"/>
        <w:gridCol w:w="1118"/>
        <w:gridCol w:w="1118"/>
        <w:gridCol w:w="1548"/>
        <w:gridCol w:w="1892"/>
      </w:tblGrid>
      <w:tr w14:paraId="037C3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3D1E20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对比维度</w:t>
            </w:r>
          </w:p>
        </w:tc>
        <w:tc>
          <w:tcPr>
            <w:tcW w:w="120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3FD998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跌倒报警手环</w:t>
            </w:r>
          </w:p>
        </w:tc>
        <w:tc>
          <w:tcPr>
            <w:tcW w:w="111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A2B746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毫米波雷达</w:t>
            </w:r>
          </w:p>
        </w:tc>
        <w:tc>
          <w:tcPr>
            <w:tcW w:w="111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A85075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传统护髋裤</w:t>
            </w:r>
          </w:p>
        </w:tc>
        <w:tc>
          <w:tcPr>
            <w:tcW w:w="154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82F9FD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穿戴式气囊产品</w:t>
            </w:r>
          </w:p>
        </w:tc>
        <w:tc>
          <w:tcPr>
            <w:tcW w:w="189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0B5C18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安行护腰</w:t>
            </w:r>
          </w:p>
        </w:tc>
      </w:tr>
      <w:tr w14:paraId="29F22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35A414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跌倒前预判</w:t>
            </w:r>
          </w:p>
        </w:tc>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D60363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无</w:t>
            </w:r>
          </w:p>
        </w:tc>
        <w:tc>
          <w:tcPr>
            <w:tcW w:w="11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8B96F8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无</w:t>
            </w:r>
          </w:p>
        </w:tc>
        <w:tc>
          <w:tcPr>
            <w:tcW w:w="11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0B02EA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无</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F139D3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有</w:t>
            </w:r>
          </w:p>
        </w:tc>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F253DE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有</w:t>
            </w:r>
          </w:p>
        </w:tc>
      </w:tr>
      <w:tr w14:paraId="40AF6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927E4E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物理防护能力</w:t>
            </w:r>
          </w:p>
        </w:tc>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075820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无</w:t>
            </w:r>
          </w:p>
        </w:tc>
        <w:tc>
          <w:tcPr>
            <w:tcW w:w="11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406B71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无</w:t>
            </w:r>
          </w:p>
        </w:tc>
        <w:tc>
          <w:tcPr>
            <w:tcW w:w="11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CE46CD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有</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381CFE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有</w:t>
            </w:r>
          </w:p>
        </w:tc>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CBE925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有</w:t>
            </w:r>
          </w:p>
        </w:tc>
      </w:tr>
      <w:tr w14:paraId="4028B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71F950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随身覆盖</w:t>
            </w:r>
          </w:p>
        </w:tc>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722CDF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是</w:t>
            </w:r>
          </w:p>
        </w:tc>
        <w:tc>
          <w:tcPr>
            <w:tcW w:w="11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0E39E2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否</w:t>
            </w:r>
          </w:p>
        </w:tc>
        <w:tc>
          <w:tcPr>
            <w:tcW w:w="11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1EEAE0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是</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36A521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是</w:t>
            </w:r>
          </w:p>
        </w:tc>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CC4E7B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是</w:t>
            </w:r>
          </w:p>
        </w:tc>
      </w:tr>
      <w:tr w14:paraId="1F6D1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A6F08B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适老化佩戴形态</w:t>
            </w:r>
          </w:p>
        </w:tc>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CCB2B3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一般</w:t>
            </w:r>
          </w:p>
        </w:tc>
        <w:tc>
          <w:tcPr>
            <w:tcW w:w="11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EC4CD2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不适用</w:t>
            </w:r>
          </w:p>
        </w:tc>
        <w:tc>
          <w:tcPr>
            <w:tcW w:w="11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D9444C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差</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DEB0E2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一般</w:t>
            </w:r>
          </w:p>
        </w:tc>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334E95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好</w:t>
            </w:r>
          </w:p>
        </w:tc>
      </w:tr>
      <w:tr w14:paraId="6E399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B67555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中国老年步态适配</w:t>
            </w:r>
          </w:p>
        </w:tc>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EC78CF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不适用</w:t>
            </w:r>
          </w:p>
        </w:tc>
        <w:tc>
          <w:tcPr>
            <w:tcW w:w="11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602BCF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一般</w:t>
            </w:r>
          </w:p>
        </w:tc>
        <w:tc>
          <w:tcPr>
            <w:tcW w:w="11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F445E0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不适用</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033136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不足</w:t>
            </w:r>
          </w:p>
        </w:tc>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5BD24A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专门优化</w:t>
            </w:r>
          </w:p>
        </w:tc>
      </w:tr>
      <w:tr w14:paraId="44CCF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99987D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长期佩戴依从性</w:t>
            </w:r>
          </w:p>
        </w:tc>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0F6267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低</w:t>
            </w:r>
          </w:p>
        </w:tc>
        <w:tc>
          <w:tcPr>
            <w:tcW w:w="11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1E17A2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不适用</w:t>
            </w:r>
          </w:p>
        </w:tc>
        <w:tc>
          <w:tcPr>
            <w:tcW w:w="11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013530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很低</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2A1C91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w:t>
            </w:r>
          </w:p>
        </w:tc>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4F2027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设计目标为高</w:t>
            </w:r>
          </w:p>
        </w:tc>
      </w:tr>
      <w:tr w14:paraId="42BB1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248C3F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触发后持有成本</w:t>
            </w:r>
          </w:p>
        </w:tc>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B66C36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无</w:t>
            </w:r>
          </w:p>
        </w:tc>
        <w:tc>
          <w:tcPr>
            <w:tcW w:w="11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F68C03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无</w:t>
            </w:r>
          </w:p>
        </w:tc>
        <w:tc>
          <w:tcPr>
            <w:tcW w:w="11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437274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无</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D7237B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需更换耗材</w:t>
            </w:r>
          </w:p>
        </w:tc>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0CD2C0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无耗材</w:t>
            </w:r>
          </w:p>
        </w:tc>
      </w:tr>
      <w:tr w14:paraId="3B511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A25793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价格区间</w:t>
            </w:r>
          </w:p>
        </w:tc>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1534B3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低</w:t>
            </w:r>
          </w:p>
        </w:tc>
        <w:tc>
          <w:tcPr>
            <w:tcW w:w="11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F17E8D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高</w:t>
            </w:r>
          </w:p>
        </w:tc>
        <w:tc>
          <w:tcPr>
            <w:tcW w:w="11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970C5E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低</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79C04D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很高</w:t>
            </w:r>
          </w:p>
        </w:tc>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100B8A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w:t>
            </w:r>
          </w:p>
        </w:tc>
      </w:tr>
      <w:tr w14:paraId="78CA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33D92D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嵌入社区服务体系</w:t>
            </w:r>
          </w:p>
        </w:tc>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BFB3F9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否</w:t>
            </w:r>
          </w:p>
        </w:tc>
        <w:tc>
          <w:tcPr>
            <w:tcW w:w="11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35912D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否</w:t>
            </w:r>
          </w:p>
        </w:tc>
        <w:tc>
          <w:tcPr>
            <w:tcW w:w="11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7AA3F5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否</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88A92B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否</w:t>
            </w:r>
          </w:p>
        </w:tc>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5BA47F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是</w:t>
            </w:r>
          </w:p>
        </w:tc>
      </w:tr>
      <w:tr w14:paraId="4EC4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010FF1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数据沉淀与治理价值</w:t>
            </w:r>
          </w:p>
        </w:tc>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AEE3E9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低</w:t>
            </w:r>
          </w:p>
        </w:tc>
        <w:tc>
          <w:tcPr>
            <w:tcW w:w="11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A49626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w:t>
            </w:r>
          </w:p>
        </w:tc>
        <w:tc>
          <w:tcPr>
            <w:tcW w:w="11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6D1893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无</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95151F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低</w:t>
            </w:r>
          </w:p>
        </w:tc>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401F6C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高</w:t>
            </w:r>
          </w:p>
        </w:tc>
      </w:tr>
    </w:tbl>
    <w:p w14:paraId="4FB366C1">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表中最值得注意的是后三行。前七行比较的是产品性能，即便本项目在其中占优，竞争对手也可以通过技术迭代追赶。而后三行比较的是持有成本与模式——触发后是否产生耗材支出、是否嵌入社区养老服务体系、是否沉淀出对基层治理有用的数据。这三项不是靠改进硬件能够跨越的，它需要架构层面的选择与长期的社区关系积累。本项目的竞争防线主要建立在这里。</w:t>
      </w:r>
    </w:p>
    <w:p w14:paraId="19A46A80">
      <w:pPr>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143500" cy="3848100"/>
            <wp:effectExtent l="0" t="0" r="0" b="0"/>
            <wp:docPr id="7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6"/>
                    <pic:cNvPicPr>
                      <a:picLocks noChangeAspect="1" noChangeArrowheads="1"/>
                    </pic:cNvPicPr>
                  </pic:nvPicPr>
                  <pic:blipFill>
                    <a:blip r:embed="rId33"/>
                    <a:srcRect/>
                    <a:stretch>
                      <a:fillRect/>
                    </a:stretch>
                  </pic:blipFill>
                  <pic:spPr>
                    <a:xfrm>
                      <a:off x="0" y="0"/>
                      <a:ext cx="5143500" cy="3848100"/>
                    </a:xfrm>
                    <a:prstGeom prst="rect">
                      <a:avLst/>
                    </a:prstGeom>
                  </pic:spPr>
                </pic:pic>
              </a:graphicData>
            </a:graphic>
          </wp:inline>
        </w:drawing>
      </w:r>
    </w:p>
    <w:p w14:paraId="599EA4B1">
      <w:pPr>
        <w:pStyle w:val="8"/>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rFonts w:hint="eastAsia"/>
        </w:rP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rPr>
          <w:rFonts w:hint="eastAsia"/>
        </w:rPr>
        <w:instrText xml:space="preserve"> SEQ 图 \* ARABIC \s 1 </w:instrText>
      </w:r>
      <w:r>
        <w:fldChar w:fldCharType="separate"/>
      </w:r>
      <w:r>
        <w:t>1</w:t>
      </w:r>
      <w:r>
        <w:fldChar w:fldCharType="end"/>
      </w:r>
      <w:r>
        <w:rPr>
          <w:rFonts w:hint="eastAsia" w:ascii="黑体" w:hAnsi="黑体" w:eastAsia="黑体" w:cs="黑体"/>
          <w:color w:val="000000" w:themeColor="text1"/>
          <w:sz w:val="21"/>
          <w:szCs w:val="21"/>
          <w14:textFill>
            <w14:solidFill>
              <w14:schemeClr w14:val="tx1"/>
            </w14:solidFill>
          </w14:textFill>
        </w:rPr>
        <w:t>竞品对比四象限图</w:t>
      </w:r>
    </w:p>
    <w:p w14:paraId="79A04950">
      <w:pPr>
        <w:pStyle w:val="4"/>
        <w:keepNext w:val="0"/>
        <w:keepLines w:val="0"/>
        <w:kinsoku/>
        <w:wordWrap/>
        <w:overflowPunct/>
        <w:topLinePunct w:val="0"/>
        <w:autoSpaceDE/>
        <w:autoSpaceDN/>
        <w:bidi w:val="0"/>
        <w:adjustRightInd/>
        <w:snapToGrid/>
        <w:spacing w:line="300" w:lineRule="auto"/>
        <w:textAlignment w:val="auto"/>
      </w:pPr>
      <w:bookmarkStart w:id="181" w:name="_Toc21173"/>
      <w:bookmarkStart w:id="182" w:name="_Toc2913"/>
      <w:r>
        <w:rPr>
          <w:rFonts w:hint="eastAsia"/>
        </w:rPr>
        <w:t>5.2.2与国内已上市产品的直接对比</w:t>
      </w:r>
      <w:bookmarkEnd w:id="181"/>
      <w:bookmarkEnd w:id="182"/>
    </w:p>
    <w:p w14:paraId="48B40572">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国内已有具备汽车安全气囊产业背景的厂商推出面向老年人的穿戴式气囊产品，以马甲形态覆盖头部、前额、颈部、背部、腰部、髋部、臀部多个部位。该产品的存在证明了穿戴式主动防护在国内市场的可行性，也提供了一个可供对照的参照系。以下对比依据其商品页面的公开信息整理。</w:t>
      </w:r>
    </w:p>
    <w:p w14:paraId="0468630F">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与国内已上市产品的对比</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6"/>
        <w:gridCol w:w="3440"/>
        <w:gridCol w:w="3784"/>
      </w:tblGrid>
      <w:tr w14:paraId="44C4D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CFC529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对比项</w:t>
            </w:r>
          </w:p>
        </w:tc>
        <w:tc>
          <w:tcPr>
            <w:tcW w:w="344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F938C4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国内已上市马甲式气囊产品</w:t>
            </w:r>
          </w:p>
        </w:tc>
        <w:tc>
          <w:tcPr>
            <w:tcW w:w="378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66BE1E1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安行护腰（设计目标）</w:t>
            </w:r>
          </w:p>
        </w:tc>
      </w:tr>
      <w:tr w14:paraId="1A2F0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E386F8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防护部位</w:t>
            </w:r>
          </w:p>
        </w:tc>
        <w:tc>
          <w:tcPr>
            <w:tcW w:w="344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A029FA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头部、前额、颈部、背部、腰部、髋部、臀部</w:t>
            </w:r>
          </w:p>
        </w:tc>
        <w:tc>
          <w:tcPr>
            <w:tcW w:w="3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CCBCD8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双侧髋部大转子、腰骶部</w:t>
            </w:r>
          </w:p>
        </w:tc>
      </w:tr>
      <w:tr w14:paraId="193F7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022978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产品形态</w:t>
            </w:r>
          </w:p>
        </w:tc>
        <w:tc>
          <w:tcPr>
            <w:tcW w:w="344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5A338F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外穿马甲</w:t>
            </w:r>
          </w:p>
        </w:tc>
        <w:tc>
          <w:tcPr>
            <w:tcW w:w="378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CE68DA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护腰，可穿于外衣之内</w:t>
            </w:r>
          </w:p>
        </w:tc>
      </w:tr>
      <w:tr w14:paraId="6CCE9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6D226D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整机重量</w:t>
            </w:r>
          </w:p>
        </w:tc>
        <w:tc>
          <w:tcPr>
            <w:tcW w:w="344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C77BFB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公开宣传中标注约相当于三瓶500毫升饮用水</w:t>
            </w:r>
          </w:p>
        </w:tc>
        <w:tc>
          <w:tcPr>
            <w:tcW w:w="3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4475D2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目标700克以内，待样机实测</w:t>
            </w:r>
          </w:p>
        </w:tc>
      </w:tr>
      <w:tr w14:paraId="7FD16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A58975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触发后耗材</w:t>
            </w:r>
          </w:p>
        </w:tc>
        <w:tc>
          <w:tcPr>
            <w:tcW w:w="344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A5DE16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气罐为耗材，每次气囊展开后需更换一组；据其说明，新版气罐最多可返厂重复充气三次</w:t>
            </w:r>
          </w:p>
        </w:tc>
        <w:tc>
          <w:tcPr>
            <w:tcW w:w="378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29A202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无耗材。气囊排气复位，储气罐由充电底座或社区回充站重新充压</w:t>
            </w:r>
          </w:p>
        </w:tc>
      </w:tr>
      <w:tr w14:paraId="171F1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A22AA8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公开售价</w:t>
            </w:r>
          </w:p>
        </w:tc>
        <w:tc>
          <w:tcPr>
            <w:tcW w:w="344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143804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约2800元</w:t>
            </w:r>
          </w:p>
        </w:tc>
        <w:tc>
          <w:tcPr>
            <w:tcW w:w="3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C4B3DB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机构版799元（含税）</w:t>
            </w:r>
          </w:p>
        </w:tc>
      </w:tr>
      <w:tr w14:paraId="33718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9674A9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目标客户</w:t>
            </w:r>
          </w:p>
        </w:tc>
        <w:tc>
          <w:tcPr>
            <w:tcW w:w="344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A4C6E4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面向个人与家庭零售</w:t>
            </w:r>
          </w:p>
        </w:tc>
        <w:tc>
          <w:tcPr>
            <w:tcW w:w="378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08BFA1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面向社区养老服务机构批量采购，兼顾家庭端</w:t>
            </w:r>
          </w:p>
        </w:tc>
      </w:tr>
      <w:tr w14:paraId="39561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BE561D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配套服务</w:t>
            </w:r>
          </w:p>
        </w:tc>
        <w:tc>
          <w:tcPr>
            <w:tcW w:w="344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975536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未见面向社区机构的服务与数据产品</w:t>
            </w:r>
          </w:p>
        </w:tc>
        <w:tc>
          <w:tcPr>
            <w:tcW w:w="3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A6BB19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网页端管理平台，输出社区风险分布、佩戴率看板与季度报告</w:t>
            </w:r>
          </w:p>
        </w:tc>
      </w:tr>
    </w:tbl>
    <w:p w14:paraId="2E269C2A">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这组对比说明的问题</w:t>
      </w:r>
    </w:p>
    <w:p w14:paraId="7CA63D7D">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在防护部位数量上，本项目一期覆盖范围明显更小。这是产品定义阶段的主动选择，依据是伤害后果的严重程度、不同部位的可防护程度，以及防护范围与佩戴意愿之间的取舍（详见第三章3.1.3）。</w:t>
      </w:r>
    </w:p>
    <w:p w14:paraId="1F280107">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的差异不在防护多少个部位，而在两处：其一是持有成本结构。对按点位批量采购的社区客户而言，一次性设备支出可以列入采购预算，而每次触发后的耗材更换则构成持续的运营支出与管理负担，无耗材架构在这一维度上具有实质差异。其二是产品形态与目标客户。外穿马甲形态与两千元以上的价格带，与本项目瞄准的社区机构批量采购场景并不重合——243份问卷显示约八成受访老人可接受的价位在599元以下，而社区机构的采购决策同样受预算约束。</w:t>
      </w:r>
    </w:p>
    <w:p w14:paraId="77DC6FA9">
      <w:pPr>
        <w:pStyle w:val="4"/>
        <w:keepNext w:val="0"/>
        <w:keepLines w:val="0"/>
        <w:kinsoku/>
        <w:wordWrap/>
        <w:overflowPunct/>
        <w:topLinePunct w:val="0"/>
        <w:autoSpaceDE/>
        <w:autoSpaceDN/>
        <w:bidi w:val="0"/>
        <w:adjustRightInd/>
        <w:snapToGrid/>
        <w:spacing w:line="300" w:lineRule="auto"/>
        <w:textAlignment w:val="auto"/>
      </w:pPr>
      <w:bookmarkStart w:id="183" w:name="_Toc21208"/>
      <w:bookmarkStart w:id="184" w:name="_Toc15198"/>
      <w:r>
        <w:rPr>
          <w:rFonts w:hint="eastAsia"/>
        </w:rPr>
        <w:t>5.2.3行业竞争结构</w:t>
      </w:r>
      <w:bookmarkEnd w:id="183"/>
      <w:bookmarkEnd w:id="184"/>
    </w:p>
    <w:p w14:paraId="2A33C52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以波特五力框架审视本项目所处的竞争结构。需要说明的是，本项目尚未完成工商注册、尚无签约客户，五力中有两力目前缺乏实证依据，此处如实标注其分析成熟度，不作过度推演。</w:t>
      </w:r>
    </w:p>
    <w:p w14:paraId="4D27A2DF">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行业竞争结构（波特五力）</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6"/>
        <w:gridCol w:w="1032"/>
        <w:gridCol w:w="4472"/>
        <w:gridCol w:w="1720"/>
      </w:tblGrid>
      <w:tr w14:paraId="492F8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376F3D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作用力</w:t>
            </w:r>
          </w:p>
        </w:tc>
        <w:tc>
          <w:tcPr>
            <w:tcW w:w="10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D172BD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当前判断</w:t>
            </w:r>
          </w:p>
        </w:tc>
        <w:tc>
          <w:tcPr>
            <w:tcW w:w="447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5159AE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依据与说明</w:t>
            </w:r>
          </w:p>
        </w:tc>
        <w:tc>
          <w:tcPr>
            <w:tcW w:w="172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21DFB9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依据成熟度</w:t>
            </w:r>
          </w:p>
        </w:tc>
      </w:tr>
      <w:tr w14:paraId="63074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ECD413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潜在进入者威胁</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39AE10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高</w:t>
            </w:r>
          </w:p>
        </w:tc>
        <w:tc>
          <w:tcPr>
            <w:tcW w:w="447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5AD0E2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智能穿戴与养老服务领域的成熟企业具备进入条件；具备汽车安全气囊产业背景的厂商已经进入，证明跨界进入的门槛并不高</w:t>
            </w:r>
          </w:p>
        </w:tc>
        <w:tc>
          <w:tcPr>
            <w:tcW w:w="17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52A984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强：已有可观察的在售产品</w:t>
            </w:r>
          </w:p>
        </w:tc>
      </w:tr>
      <w:tr w14:paraId="1288A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4F62DA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替代品威胁</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448EC3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中高</w:t>
            </w:r>
          </w:p>
        </w:tc>
        <w:tc>
          <w:tcPr>
            <w:tcW w:w="447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F8F742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雷达跌倒检测、智能手环、适老化环境改造均可部分替代本项目的价值，其中适老化改造是财政资金的主要投向。但上述方案均不提供跌倒瞬间的物理防护，替代并不完全</w:t>
            </w:r>
          </w:p>
        </w:tc>
        <w:tc>
          <w:tcPr>
            <w:tcW w:w="172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A11EBB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强：已完成类别层面的对比分析，见表5-4</w:t>
            </w:r>
          </w:p>
        </w:tc>
      </w:tr>
      <w:tr w14:paraId="6F2B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2F463B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供应商议价能力</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57DBD4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w:t>
            </w:r>
          </w:p>
        </w:tc>
        <w:tc>
          <w:tcPr>
            <w:tcW w:w="447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8DDDA1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柔性传感织物依赖小批量定制，供应商基数小、本项目采购量低，议价能力弱；储气罐、电磁阀、主控与惯性器件属成熟工业品类，供应商充足，议价能力强</w:t>
            </w:r>
          </w:p>
        </w:tc>
        <w:tc>
          <w:tcPr>
            <w:tcW w:w="17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DF8222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中：气囊模组已获报价，柔性传感织物报价待取得</w:t>
            </w:r>
          </w:p>
        </w:tc>
      </w:tr>
      <w:tr w14:paraId="53AD3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E883DA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购买者议价能力</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F21C44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待验证</w:t>
            </w:r>
          </w:p>
        </w:tc>
        <w:tc>
          <w:tcPr>
            <w:tcW w:w="447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2D5B3E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预期社区机构作为批量采购方具备一定议价能力，但本项目尚无签约客户，机构的实际预算水平与议价空间无实证依据</w:t>
            </w:r>
          </w:p>
        </w:tc>
        <w:tc>
          <w:tcPr>
            <w:tcW w:w="172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DC2CAB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弱：无签约客户，待首个社区合作洽谈后补充</w:t>
            </w:r>
          </w:p>
        </w:tc>
      </w:tr>
      <w:tr w14:paraId="52E83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E735FB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同业竞争强度</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F06E49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待验证</w:t>
            </w:r>
          </w:p>
        </w:tc>
        <w:tc>
          <w:tcPr>
            <w:tcW w:w="447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BAF562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同为护腰形态、面向社区机构批量采购的产品尚未出现，无直接同业可供比较；类别层面的竞争已在表5-4呈现</w:t>
            </w:r>
          </w:p>
        </w:tc>
        <w:tc>
          <w:tcPr>
            <w:tcW w:w="17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19F061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弱：细分赛道尚未形成，无从比较</w:t>
            </w:r>
          </w:p>
        </w:tc>
      </w:tr>
    </w:tbl>
    <w:p w14:paraId="606A7D26">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后两力保留待验证的判断而不强行填充，理由与第七章对关键假设的处理一致：一份标注了依据强度的分析，比一份看起来完整但部分结论无从追溯的分析更可用。这两项将在首个社区完成合作洽谈后以实际信息补充。</w:t>
      </w:r>
    </w:p>
    <w:p w14:paraId="7C0CBA70">
      <w:pPr>
        <w:pStyle w:val="3"/>
        <w:bidi w:val="0"/>
      </w:pPr>
      <w:bookmarkStart w:id="185" w:name="_Toc22153"/>
      <w:bookmarkStart w:id="186" w:name="_Toc9588"/>
      <w:r>
        <w:rPr>
          <w:rFonts w:hint="eastAsia"/>
        </w:rPr>
        <w:t>5.3获客与转化路径</w:t>
      </w:r>
      <w:bookmarkEnd w:id="185"/>
      <w:bookmarkEnd w:id="186"/>
    </w:p>
    <w:p w14:paraId="7DCD43AC">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市场扩张的三步路径已在第四章说明，本节讨论的是另一个问题：在单个社区内部，如何把一位老人从不了解变为愿意使用。</w:t>
      </w:r>
    </w:p>
    <w:p w14:paraId="71F5D006">
      <w:pPr>
        <w:pStyle w:val="4"/>
        <w:keepNext w:val="0"/>
        <w:keepLines w:val="0"/>
        <w:kinsoku/>
        <w:wordWrap/>
        <w:overflowPunct/>
        <w:topLinePunct w:val="0"/>
        <w:autoSpaceDE/>
        <w:autoSpaceDN/>
        <w:bidi w:val="0"/>
        <w:adjustRightInd/>
        <w:snapToGrid/>
        <w:spacing w:line="300" w:lineRule="auto"/>
        <w:textAlignment w:val="auto"/>
      </w:pPr>
      <w:bookmarkStart w:id="187" w:name="_Toc27494"/>
      <w:bookmarkStart w:id="188" w:name="_Toc6446"/>
      <w:r>
        <w:rPr>
          <w:rFonts w:hint="eastAsia"/>
        </w:rPr>
        <w:t>5.3.1调研揭示的关键事实</w:t>
      </w:r>
      <w:bookmarkEnd w:id="187"/>
      <w:bookmarkEnd w:id="188"/>
    </w:p>
    <w:p w14:paraId="6D219FA2">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243份问卷提供了三条对营销策略具有决定意义的发现。</w:t>
      </w:r>
    </w:p>
    <w:p w14:paraId="5891D363">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第一，购买驱动因素与技术无关。在能够提高使用意愿的因素中，排名前三的是跌倒时能够提供保护56.4%、穿着轻便舒适53.9%、有实际测试或认证证明43.6%。而提前识别危险仅为29.2%，续航较长21.4%。老人关心的是有没有用、舒不舒服、可不可信，不是算法先进与否。</w:t>
      </w:r>
    </w:p>
    <w:p w14:paraId="396BA721">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第二，体验是主转化环节而非辅助手段。21.8%的受访者选择需要体验后决定。这意味着在243人中约有53人卡在我得先试一下这一步。对这部分人群，任何广告投放都无效，只有让他们把产品穿在身上才可能推进。</w:t>
      </w:r>
    </w:p>
    <w:p w14:paraId="6539D2B3">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第三，子女参与决策但更难说服。约七成的购买决策有子女参与。其中子女主导组的产品概念接受度达83.8%，购买意向却只有56.8%——子女认为东西有价值，不等于愿意立刻付款，他们更关注效果证明、可靠性与售后。</w:t>
      </w:r>
    </w:p>
    <w:p w14:paraId="66409F35">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上述三条发现所对应的需求转化漏斗见第二章图2-3。</w:t>
      </w:r>
    </w:p>
    <w:p w14:paraId="2BD7951E">
      <w:pPr>
        <w:pStyle w:val="4"/>
        <w:keepNext w:val="0"/>
        <w:keepLines w:val="0"/>
        <w:kinsoku/>
        <w:wordWrap/>
        <w:overflowPunct/>
        <w:topLinePunct w:val="0"/>
        <w:autoSpaceDE/>
        <w:autoSpaceDN/>
        <w:bidi w:val="0"/>
        <w:adjustRightInd/>
        <w:snapToGrid/>
        <w:spacing w:line="300" w:lineRule="auto"/>
        <w:textAlignment w:val="auto"/>
      </w:pPr>
      <w:bookmarkStart w:id="189" w:name="_Toc3457"/>
      <w:bookmarkStart w:id="190" w:name="_Toc627"/>
      <w:r>
        <w:rPr>
          <w:rFonts w:hint="eastAsia"/>
        </w:rPr>
        <w:t>5.3.2转化链路设计</w:t>
      </w:r>
      <w:bookmarkEnd w:id="189"/>
      <w:bookmarkEnd w:id="190"/>
    </w:p>
    <w:p w14:paraId="1C43CE57">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基于上述发现，本项目不采用以广告投放为起点的传统获客路径，而设计为以社区信任场景为起点的六步链路。</w:t>
      </w:r>
    </w:p>
    <w:p w14:paraId="20F8C6D7">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六步转化链路</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1"/>
        <w:gridCol w:w="1502"/>
        <w:gridCol w:w="3263"/>
        <w:gridCol w:w="2944"/>
      </w:tblGrid>
      <w:tr w14:paraId="12480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51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489091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步</w:t>
            </w:r>
          </w:p>
        </w:tc>
        <w:tc>
          <w:tcPr>
            <w:tcW w:w="154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E589A1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环节</w:t>
            </w:r>
          </w:p>
        </w:tc>
        <w:tc>
          <w:tcPr>
            <w:tcW w:w="344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2B4FFE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做法</w:t>
            </w:r>
          </w:p>
        </w:tc>
        <w:tc>
          <w:tcPr>
            <w:tcW w:w="309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1168DB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解决的问题</w:t>
            </w:r>
          </w:p>
        </w:tc>
      </w:tr>
      <w:tr w14:paraId="5C277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1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31EFBE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3E8E00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社区宣讲建立认知</w:t>
            </w:r>
          </w:p>
        </w:tc>
        <w:tc>
          <w:tcPr>
            <w:tcW w:w="344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34BBE7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依托驿站与服务中心组织防跌安全讲座，由团队专业成员主讲，内容为跌倒风险因素与防护知识，不推销产品</w:t>
            </w:r>
          </w:p>
        </w:tc>
        <w:tc>
          <w:tcPr>
            <w:tcW w:w="309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2FA93A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借用社区的既有信任，避免陌生推销带来的抵触</w:t>
            </w:r>
          </w:p>
        </w:tc>
      </w:tr>
      <w:tr w14:paraId="28A33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1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8B214F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CDDDAE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防跌安全评估</w:t>
            </w:r>
          </w:p>
        </w:tc>
        <w:tc>
          <w:tcPr>
            <w:tcW w:w="344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F351A4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为参与老人做安全评估并给出个性化的活动建议</w:t>
            </w:r>
          </w:p>
        </w:tc>
        <w:tc>
          <w:tcPr>
            <w:tcW w:w="309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7AFCB7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把抽象的跌倒风险变成关于我自己的具体结论，唤起需求</w:t>
            </w:r>
          </w:p>
        </w:tc>
      </w:tr>
      <w:tr w14:paraId="6245C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1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777B46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C68903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现场试穿体验</w:t>
            </w:r>
          </w:p>
        </w:tc>
        <w:tc>
          <w:tcPr>
            <w:tcW w:w="344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7F197B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让老人实际穿戴，完成起坐、转身等简单动作</w:t>
            </w:r>
          </w:p>
        </w:tc>
        <w:tc>
          <w:tcPr>
            <w:tcW w:w="309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5DC320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直接解决21.8%的体验后决定人群，同时验证轻便舒适这一第二驱动因素</w:t>
            </w:r>
          </w:p>
        </w:tc>
      </w:tr>
      <w:tr w14:paraId="337B7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1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846DD9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4</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BBA170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专业人员解释边界</w:t>
            </w:r>
          </w:p>
        </w:tc>
        <w:tc>
          <w:tcPr>
            <w:tcW w:w="344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E7E8F1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由运动康复背景成员说明产品能做什么、不能做什么，包括防护覆盖哪些部位</w:t>
            </w:r>
          </w:p>
        </w:tc>
        <w:tc>
          <w:tcPr>
            <w:tcW w:w="309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0E8A67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回应有测试或认证证明这一第三驱动因素，同时守住合规边界并管理使用预期</w:t>
            </w:r>
          </w:p>
        </w:tc>
      </w:tr>
      <w:tr w14:paraId="09E99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1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A1FDF8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5</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FEBF0D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子女端信息触达</w:t>
            </w:r>
          </w:p>
        </w:tc>
        <w:tc>
          <w:tcPr>
            <w:tcW w:w="344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9FC9C7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向家属提供防护原理说明、验证数据与服务承诺</w:t>
            </w:r>
          </w:p>
        </w:tc>
        <w:tc>
          <w:tcPr>
            <w:tcW w:w="309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6B95C4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针对子女更关注效果证明的特点，提供与老人端不同的信息</w:t>
            </w:r>
          </w:p>
        </w:tc>
      </w:tr>
      <w:tr w14:paraId="5BCEF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1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C461BF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F986B6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社区渠道转化</w:t>
            </w:r>
          </w:p>
        </w:tc>
        <w:tc>
          <w:tcPr>
            <w:tcW w:w="344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9033F7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通过驿站统一配发或家庭自行购买完成转化</w:t>
            </w:r>
          </w:p>
        </w:tc>
        <w:tc>
          <w:tcPr>
            <w:tcW w:w="309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6B88C8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降低老人独立完成购买决策的门槛</w:t>
            </w:r>
          </w:p>
        </w:tc>
      </w:tr>
    </w:tbl>
    <w:p w14:paraId="43F7791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这条链路的核心判断是：体验不是营销的辅助手段，而是主转化环节。因此本项目的推广资源主要投向线下社区活动与体验组织，而非线上广告投放。</w:t>
      </w:r>
    </w:p>
    <w:p w14:paraId="6C919516">
      <w:pPr>
        <w:pStyle w:val="4"/>
        <w:keepNext w:val="0"/>
        <w:keepLines w:val="0"/>
        <w:kinsoku/>
        <w:wordWrap/>
        <w:overflowPunct/>
        <w:topLinePunct w:val="0"/>
        <w:autoSpaceDE/>
        <w:autoSpaceDN/>
        <w:bidi w:val="0"/>
        <w:adjustRightInd/>
        <w:snapToGrid/>
        <w:spacing w:line="300" w:lineRule="auto"/>
        <w:textAlignment w:val="auto"/>
      </w:pPr>
      <w:bookmarkStart w:id="191" w:name="_Toc23566"/>
      <w:bookmarkStart w:id="192" w:name="_Toc20919"/>
      <w:r>
        <w:rPr>
          <w:rFonts w:hint="eastAsia"/>
        </w:rPr>
        <w:t>5.3.3两套价值主张</w:t>
      </w:r>
      <w:bookmarkEnd w:id="191"/>
      <w:bookmarkEnd w:id="192"/>
    </w:p>
    <w:p w14:paraId="0FE0B3E3">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老人与子女关注的完全不是同一件事，因此需要两套表述，不能混用。</w:t>
      </w:r>
    </w:p>
    <w:p w14:paraId="0A30FEAF">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8</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面向老人与面向子女的两套价值主张</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1"/>
        <w:gridCol w:w="3256"/>
        <w:gridCol w:w="4453"/>
      </w:tblGrid>
      <w:tr w14:paraId="2EF29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67B7F54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对象</w:t>
            </w:r>
          </w:p>
        </w:tc>
        <w:tc>
          <w:tcPr>
            <w:tcW w:w="326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01988D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第一句话</w:t>
            </w:r>
          </w:p>
        </w:tc>
        <w:tc>
          <w:tcPr>
            <w:tcW w:w="447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AA94BE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随后必须跟上</w:t>
            </w:r>
          </w:p>
        </w:tc>
      </w:tr>
      <w:tr w14:paraId="71C69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BD6723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老人</w:t>
            </w:r>
          </w:p>
        </w:tc>
        <w:tc>
          <w:tcPr>
            <w:tcW w:w="326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278784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平时是一条轻便的护腰，发生危险时多一层保护</w:t>
            </w:r>
          </w:p>
        </w:tc>
        <w:tc>
          <w:tcPr>
            <w:tcW w:w="447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DF3485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不用一直操作，异常情况可以提醒家人。第三层才讲算法、传感器与数据</w:t>
            </w:r>
          </w:p>
        </w:tc>
      </w:tr>
      <w:tr w14:paraId="1C83C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7AB8F7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子女</w:t>
            </w:r>
          </w:p>
        </w:tc>
        <w:tc>
          <w:tcPr>
            <w:tcW w:w="326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4E7E77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父母一个人活动时多一层安全保护，真正发生异常时你能及时知道</w:t>
            </w:r>
          </w:p>
        </w:tc>
        <w:tc>
          <w:tcPr>
            <w:tcW w:w="447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E5B023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防护能力如何验证、覆盖哪些部位、什么时候能起作用、什么时候不能起作用。子女要的是证据，不是概念</w:t>
            </w:r>
          </w:p>
        </w:tc>
      </w:tr>
    </w:tbl>
    <w:p w14:paraId="2C88CCFA">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面向老人时，第一句话绝不能是技术描述。调研显示，单独的健康数据记录功能仅有11.9%的老人看重，而智能、算法这类词汇对老年群体不构成吸引力，反而可能加重设备复杂的印象。技术叙述的位置在第三层，不在第一层。</w:t>
      </w:r>
    </w:p>
    <w:p w14:paraId="5C32A6BD">
      <w:pPr>
        <w:pStyle w:val="4"/>
        <w:keepNext w:val="0"/>
        <w:keepLines w:val="0"/>
        <w:kinsoku/>
        <w:wordWrap/>
        <w:overflowPunct/>
        <w:topLinePunct w:val="0"/>
        <w:autoSpaceDE/>
        <w:autoSpaceDN/>
        <w:bidi w:val="0"/>
        <w:adjustRightInd/>
        <w:snapToGrid/>
        <w:spacing w:line="300" w:lineRule="auto"/>
        <w:textAlignment w:val="auto"/>
      </w:pPr>
      <w:bookmarkStart w:id="193" w:name="_Toc21475"/>
      <w:bookmarkStart w:id="194" w:name="_Toc12919"/>
      <w:r>
        <w:rPr>
          <w:rFonts w:hint="eastAsia"/>
        </w:rPr>
        <w:t>5.3.4传播中的表述纪律</w:t>
      </w:r>
      <w:bookmarkEnd w:id="193"/>
      <w:bookmarkEnd w:id="194"/>
    </w:p>
    <w:p w14:paraId="4841C1B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以下表述在任何推广材料与口头沟通中均不得使用，原因是它们超出了产品的实际验证能力，或触碰合规边界。</w:t>
      </w:r>
    </w:p>
    <w:p w14:paraId="55EE17DD">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9</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传播中的受限表述与替代表述</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40"/>
        <w:gridCol w:w="5160"/>
      </w:tblGrid>
      <w:tr w14:paraId="6F2D1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344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1FE83D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禁止表述</w:t>
            </w:r>
          </w:p>
        </w:tc>
        <w:tc>
          <w:tcPr>
            <w:tcW w:w="51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618BEDF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替代表述</w:t>
            </w:r>
          </w:p>
        </w:tc>
      </w:tr>
      <w:tr w14:paraId="79D2C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44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91E95C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防止骨折、保证不受伤</w:t>
            </w:r>
          </w:p>
        </w:tc>
        <w:tc>
          <w:tcPr>
            <w:tcW w:w="51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E21025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降低跌倒冲击造成严重伤害的风险</w:t>
            </w:r>
          </w:p>
        </w:tc>
      </w:tr>
      <w:tr w14:paraId="6E9A4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44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A67EDC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能够提前预测所有跌倒</w:t>
            </w:r>
          </w:p>
        </w:tc>
        <w:tc>
          <w:tcPr>
            <w:tcW w:w="51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5B40B8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识别不可逆失衡状态并提供防护</w:t>
            </w:r>
          </w:p>
        </w:tc>
      </w:tr>
      <w:tr w14:paraId="557D9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44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92B05E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全身防护、全方位保护</w:t>
            </w:r>
          </w:p>
        </w:tc>
        <w:tc>
          <w:tcPr>
            <w:tcW w:w="51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14B271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腰髋部主动缓冲防护</w:t>
            </w:r>
          </w:p>
        </w:tc>
      </w:tr>
      <w:tr w14:paraId="4F45B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44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05F684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医疗级、临床验证</w:t>
            </w:r>
          </w:p>
        </w:tc>
        <w:tc>
          <w:tcPr>
            <w:tcW w:w="51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58F9E0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按个人防护用品定位，不作医疗声明</w:t>
            </w:r>
          </w:p>
        </w:tc>
      </w:tr>
      <w:tr w14:paraId="4BBD1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44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CA3767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可替代医疗监护设备</w:t>
            </w:r>
          </w:p>
        </w:tc>
        <w:tc>
          <w:tcPr>
            <w:tcW w:w="51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4EC6FD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提供物理防护与应急通知</w:t>
            </w:r>
          </w:p>
        </w:tc>
      </w:tr>
      <w:tr w14:paraId="45D74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44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7975D7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预防中风、预警老年痴呆</w:t>
            </w:r>
          </w:p>
        </w:tc>
        <w:tc>
          <w:tcPr>
            <w:tcW w:w="51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F6ADC9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不涉及任何疾病预测或诊断</w:t>
            </w:r>
          </w:p>
        </w:tc>
      </w:tr>
    </w:tbl>
    <w:p w14:paraId="03816E93">
      <w:pPr>
        <w:pStyle w:val="3"/>
        <w:bidi w:val="0"/>
      </w:pPr>
      <w:bookmarkStart w:id="195" w:name="_Toc31652"/>
      <w:bookmarkStart w:id="196" w:name="_Toc5443"/>
      <w:r>
        <w:rPr>
          <w:rFonts w:hint="eastAsia"/>
        </w:rPr>
        <w:t>5.4推广渠道体系</w:t>
      </w:r>
      <w:bookmarkEnd w:id="195"/>
      <w:bookmarkEnd w:id="196"/>
    </w:p>
    <w:p w14:paraId="4D76F262">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渠道按优先级分为三层，资源投入依次递减。</w:t>
      </w:r>
    </w:p>
    <w:p w14:paraId="3EAC8E23">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10</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推广渠道体系</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2"/>
        <w:gridCol w:w="2064"/>
        <w:gridCol w:w="3096"/>
        <w:gridCol w:w="2408"/>
      </w:tblGrid>
      <w:tr w14:paraId="1A67F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9340DF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层级</w:t>
            </w:r>
          </w:p>
        </w:tc>
        <w:tc>
          <w:tcPr>
            <w:tcW w:w="206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B9391F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渠道</w:t>
            </w:r>
          </w:p>
        </w:tc>
        <w:tc>
          <w:tcPr>
            <w:tcW w:w="309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789F43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作用</w:t>
            </w:r>
          </w:p>
        </w:tc>
        <w:tc>
          <w:tcPr>
            <w:tcW w:w="240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CB09A6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投入方式</w:t>
            </w:r>
          </w:p>
        </w:tc>
      </w:tr>
      <w:tr w14:paraId="18BDC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C9E662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第一层核心</w:t>
            </w:r>
          </w:p>
        </w:tc>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1AFDC4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社区养老服务驿站与区域养老服务中心</w:t>
            </w:r>
          </w:p>
        </w:tc>
        <w:tc>
          <w:tcPr>
            <w:tcW w:w="309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0DEBA2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组织宣讲与体验活动，完成主要转化；同时是服务的执行方</w:t>
            </w:r>
          </w:p>
        </w:tc>
        <w:tc>
          <w:tcPr>
            <w:tcW w:w="240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7D80A6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团队直接对接，提供标准化宣讲与活动物料</w:t>
            </w:r>
          </w:p>
        </w:tc>
      </w:tr>
      <w:tr w14:paraId="295B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E05CE2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第一层核心</w:t>
            </w:r>
          </w:p>
        </w:tc>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26CBDD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街道民政与社区卫生服务中心</w:t>
            </w:r>
          </w:p>
        </w:tc>
        <w:tc>
          <w:tcPr>
            <w:tcW w:w="309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7DDEBC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提供公信力背书，打开政府购买服务通道</w:t>
            </w:r>
          </w:p>
        </w:tc>
        <w:tc>
          <w:tcPr>
            <w:tcW w:w="240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921AD9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以试点成效数据为凭据推进</w:t>
            </w:r>
          </w:p>
        </w:tc>
      </w:tr>
      <w:tr w14:paraId="7CB37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0DEE95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第二层支撑</w:t>
            </w:r>
          </w:p>
        </w:tc>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C0AE00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校地合作与志愿服务</w:t>
            </w:r>
          </w:p>
        </w:tc>
        <w:tc>
          <w:tcPr>
            <w:tcW w:w="309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1F52B3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依托学校社会实践与志愿服务体系组织社区活动，降低人力成本</w:t>
            </w:r>
          </w:p>
        </w:tc>
        <w:tc>
          <w:tcPr>
            <w:tcW w:w="240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CE3945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纳入学校暑期社会实践与志愿服务项目</w:t>
            </w:r>
          </w:p>
        </w:tc>
      </w:tr>
      <w:tr w14:paraId="65823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3415A0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第二层支撑</w:t>
            </w:r>
          </w:p>
        </w:tc>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03A0C5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专业机构口碑</w:t>
            </w:r>
          </w:p>
        </w:tc>
        <w:tc>
          <w:tcPr>
            <w:tcW w:w="309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2B51ED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医生与康复师推荐可显著提升信任度，调研中32.9%的老人看重这一因素</w:t>
            </w:r>
          </w:p>
        </w:tc>
        <w:tc>
          <w:tcPr>
            <w:tcW w:w="240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3F5BA1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依托运动医学与康复学院资源建立专业背书</w:t>
            </w:r>
          </w:p>
        </w:tc>
      </w:tr>
      <w:tr w14:paraId="4D7B1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814446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第三层补充</w:t>
            </w:r>
          </w:p>
        </w:tc>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52D1DE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新媒体科普</w:t>
            </w:r>
          </w:p>
        </w:tc>
        <w:tc>
          <w:tcPr>
            <w:tcW w:w="309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C4C6D4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面向子女群体的防跌知识科普，建立品牌认知</w:t>
            </w:r>
          </w:p>
        </w:tc>
        <w:tc>
          <w:tcPr>
            <w:tcW w:w="240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C242E7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低成本内容运营，不作为主要获客手段</w:t>
            </w:r>
          </w:p>
        </w:tc>
      </w:tr>
    </w:tbl>
    <w:p w14:paraId="56E97AE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渠道设计的一个基本判断是：老年防跌产品不适合以电商广告为主要获客手段。老人不在这些渠道上做决策，而子女在缺乏信任基础时也不会为父母购买一件需要长期佩戴的设备。信任只能在线下的社区场景中建立。</w:t>
      </w:r>
    </w:p>
    <w:p w14:paraId="76B3F147">
      <w:pPr>
        <w:pStyle w:val="3"/>
        <w:bidi w:val="0"/>
      </w:pPr>
      <w:bookmarkStart w:id="197" w:name="_Toc30252"/>
      <w:bookmarkStart w:id="198" w:name="_Toc16146"/>
      <w:r>
        <w:rPr>
          <w:rFonts w:hint="eastAsia"/>
        </w:rPr>
        <w:t>5.5定价策略与转化设计</w:t>
      </w:r>
      <w:bookmarkEnd w:id="197"/>
      <w:bookmarkEnd w:id="198"/>
    </w:p>
    <w:p w14:paraId="684A2A2A">
      <w:pPr>
        <w:pStyle w:val="4"/>
        <w:keepNext w:val="0"/>
        <w:keepLines w:val="0"/>
        <w:kinsoku/>
        <w:wordWrap/>
        <w:overflowPunct/>
        <w:topLinePunct w:val="0"/>
        <w:autoSpaceDE/>
        <w:autoSpaceDN/>
        <w:bidi w:val="0"/>
        <w:adjustRightInd/>
        <w:snapToGrid/>
        <w:spacing w:line="300" w:lineRule="auto"/>
        <w:textAlignment w:val="auto"/>
      </w:pPr>
      <w:bookmarkStart w:id="199" w:name="_Toc19298"/>
      <w:bookmarkStart w:id="200" w:name="_Toc11831"/>
      <w:r>
        <w:rPr>
          <w:rFonts w:hint="eastAsia"/>
        </w:rPr>
        <w:t>5.5.1调研揭示的支付意愿</w:t>
      </w:r>
      <w:bookmarkEnd w:id="199"/>
      <w:bookmarkEnd w:id="200"/>
    </w:p>
    <w:p w14:paraId="5C179A12">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在给出明确价格区间的185名受访者中，80.0%选择599元及以下，60.0%集中在200至599元区间，中位受访者落在200至399元区间。</w:t>
      </w:r>
    </w:p>
    <w:p w14:paraId="1C71B84E">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一结果初看对本项目不利，实则印证了一期战略的正确性。个人支付意愿偏低，恰恰说明面向老人个体销售不是可行的起点。老人不会为一件可能永远用不上的防护装备支付高价——这是理性的，而不是保守的。真正具有付费动机的是承担安全责任的机构：一位老人在服务范围内跌倒骨折，机构面临的责任认定与声誉损失远高于设备采购支出。这就是本项目一期走机构端的原因。</w:t>
      </w:r>
    </w:p>
    <w:p w14:paraId="300D935F">
      <w:pPr>
        <w:pStyle w:val="4"/>
        <w:keepNext w:val="0"/>
        <w:keepLines w:val="0"/>
        <w:kinsoku/>
        <w:wordWrap/>
        <w:overflowPunct/>
        <w:topLinePunct w:val="0"/>
        <w:autoSpaceDE/>
        <w:autoSpaceDN/>
        <w:bidi w:val="0"/>
        <w:adjustRightInd/>
        <w:snapToGrid/>
        <w:spacing w:line="300" w:lineRule="auto"/>
        <w:textAlignment w:val="auto"/>
      </w:pPr>
      <w:bookmarkStart w:id="201" w:name="_Toc20916"/>
      <w:bookmarkStart w:id="202" w:name="_Toc20115"/>
      <w:r>
        <w:rPr>
          <w:rFonts w:hint="eastAsia"/>
        </w:rPr>
        <w:t>5.5.2分场景定价</w:t>
      </w:r>
      <w:bookmarkEnd w:id="201"/>
      <w:bookmarkEnd w:id="202"/>
    </w:p>
    <w:p w14:paraId="63F81105">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11</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分场景定价</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8"/>
        <w:gridCol w:w="1892"/>
        <w:gridCol w:w="2064"/>
        <w:gridCol w:w="3096"/>
      </w:tblGrid>
      <w:tr w14:paraId="2F8BF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B70D20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项目</w:t>
            </w:r>
          </w:p>
        </w:tc>
        <w:tc>
          <w:tcPr>
            <w:tcW w:w="189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645C369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价格（含税）</w:t>
            </w:r>
          </w:p>
        </w:tc>
        <w:tc>
          <w:tcPr>
            <w:tcW w:w="206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7B2B67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付费方</w:t>
            </w:r>
          </w:p>
        </w:tc>
        <w:tc>
          <w:tcPr>
            <w:tcW w:w="309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348948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设计依据</w:t>
            </w:r>
          </w:p>
        </w:tc>
      </w:tr>
      <w:tr w14:paraId="6CF60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213CC6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机构版设备</w:t>
            </w:r>
          </w:p>
        </w:tc>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76802F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799元/台</w:t>
            </w:r>
          </w:p>
        </w:tc>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0F9698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社区驿站、服务中心、街道民政</w:t>
            </w:r>
          </w:p>
        </w:tc>
        <w:tc>
          <w:tcPr>
            <w:tcW w:w="309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E7B979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机构预算支付，不受个人支付意愿约束；对应责任成本的转移</w:t>
            </w:r>
          </w:p>
        </w:tc>
      </w:tr>
      <w:tr w14:paraId="1297E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6F244C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家庭版基础款</w:t>
            </w:r>
          </w:p>
        </w:tc>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774DC9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599元/台</w:t>
            </w:r>
          </w:p>
        </w:tc>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8C1AA8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成年子女</w:t>
            </w:r>
          </w:p>
        </w:tc>
        <w:tc>
          <w:tcPr>
            <w:tcW w:w="309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7201B2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对齐调研中80%受访者可接受的价格上限，含设备与基础报警功能</w:t>
            </w:r>
          </w:p>
        </w:tc>
      </w:tr>
      <w:tr w14:paraId="387E7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010E05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家庭版完整款</w:t>
            </w:r>
          </w:p>
        </w:tc>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655AD6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999元/台</w:t>
            </w:r>
          </w:p>
        </w:tc>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E0E0A8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成年子女</w:t>
            </w:r>
          </w:p>
        </w:tc>
        <w:tc>
          <w:tcPr>
            <w:tcW w:w="309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26DE0B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含首年平台服务、上门穿戴指导与个性化配置，面向支付能力较强的家庭</w:t>
            </w:r>
          </w:p>
        </w:tc>
      </w:tr>
      <w:tr w14:paraId="65306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D02E88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下沉版可拆装模块</w:t>
            </w:r>
          </w:p>
        </w:tc>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48B0AC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399元/套</w:t>
            </w:r>
          </w:p>
        </w:tc>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5D11AF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县域市场、支付能力受限家庭</w:t>
            </w:r>
          </w:p>
        </w:tc>
        <w:tc>
          <w:tcPr>
            <w:tcW w:w="309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7EA442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落在调研中位价格区间上沿，气囊模块可加装于已有护腰</w:t>
            </w:r>
          </w:p>
        </w:tc>
      </w:tr>
      <w:tr w14:paraId="4CBC0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E8736E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平台服务订阅</w:t>
            </w:r>
          </w:p>
        </w:tc>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D95955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机构30元/台/月；家庭19元/月</w:t>
            </w:r>
          </w:p>
        </w:tc>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30EE83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机构或家庭</w:t>
            </w:r>
          </w:p>
        </w:tc>
        <w:tc>
          <w:tcPr>
            <w:tcW w:w="309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B89335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家庭版完整款首年含服务，次年起单独订阅</w:t>
            </w:r>
          </w:p>
        </w:tc>
      </w:tr>
      <w:tr w14:paraId="06A19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8838F7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机构管理服务</w:t>
            </w:r>
          </w:p>
        </w:tc>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22FD1C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12000元/社区/年</w:t>
            </w:r>
          </w:p>
        </w:tc>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316B8E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w:t>
            </w:r>
          </w:p>
        </w:tc>
        <w:tc>
          <w:tcPr>
            <w:tcW w:w="309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8F1DBC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季度报告、改造建议、人员培训与档案留档</w:t>
            </w:r>
          </w:p>
        </w:tc>
      </w:tr>
    </w:tbl>
    <w:p w14:paraId="1BD6CAD3">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本表为第四章表4-6的细化版本，家庭端由单一价格调整为基础款与完整款两档，依据即为上述支付意愿调研结果。表列价格均为含税价，第七章的利润测算按此口径作价税分离。</w:t>
      </w:r>
    </w:p>
    <w:p w14:paraId="229CE0A2">
      <w:pPr>
        <w:keepNext w:val="0"/>
        <w:keepLines w:val="0"/>
        <w:pageBreakBefore w:val="0"/>
        <w:kinsoku/>
        <w:wordWrap/>
        <w:overflowPunct/>
        <w:topLinePunct w:val="0"/>
        <w:autoSpaceDE/>
        <w:autoSpaceDN/>
        <w:bidi w:val="0"/>
        <w:adjustRightInd/>
        <w:snapToGrid/>
        <w:spacing w:before="40" w:after="14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说明：上述定价以第七章表7-3的单台物料成本假设为基础。该假设中柔性传感织物一项尚未取得正式报价，若实际询价结果显著偏离估算，定价结构将同步复核。</w:t>
      </w:r>
    </w:p>
    <w:p w14:paraId="349D4616">
      <w:pPr>
        <w:pStyle w:val="4"/>
        <w:keepNext w:val="0"/>
        <w:keepLines w:val="0"/>
        <w:kinsoku/>
        <w:wordWrap/>
        <w:overflowPunct/>
        <w:topLinePunct w:val="0"/>
        <w:autoSpaceDE/>
        <w:autoSpaceDN/>
        <w:bidi w:val="0"/>
        <w:adjustRightInd/>
        <w:snapToGrid/>
        <w:spacing w:line="300" w:lineRule="auto"/>
        <w:textAlignment w:val="auto"/>
      </w:pPr>
      <w:bookmarkStart w:id="203" w:name="_Toc2253"/>
      <w:bookmarkStart w:id="204" w:name="_Toc12437"/>
      <w:r>
        <w:rPr>
          <w:rFonts w:hint="eastAsia"/>
        </w:rPr>
        <w:t>5.5.3转化阻力与对策</w:t>
      </w:r>
      <w:bookmarkEnd w:id="203"/>
      <w:bookmarkEnd w:id="204"/>
    </w:p>
    <w:p w14:paraId="1808DFF1">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在明确表示不愿尝试防护产品的受访者中，主要原因依次为：觉得自己还用不上56.0%、不舒服52.0%、担心价格高52.0%、不相信效果32.0%、穿戴麻烦28.0%、外观像病人28.0%。</w:t>
      </w:r>
    </w:p>
    <w:p w14:paraId="0722519A">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12</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转化阻力与对策</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8"/>
        <w:gridCol w:w="2752"/>
        <w:gridCol w:w="4300"/>
      </w:tblGrid>
      <w:tr w14:paraId="1BACC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383F83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阻力</w:t>
            </w:r>
          </w:p>
        </w:tc>
        <w:tc>
          <w:tcPr>
            <w:tcW w:w="275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2545A4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实质</w:t>
            </w:r>
          </w:p>
        </w:tc>
        <w:tc>
          <w:tcPr>
            <w:tcW w:w="430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54C9A4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对策</w:t>
            </w:r>
          </w:p>
        </w:tc>
      </w:tr>
      <w:tr w14:paraId="61829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DC593A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觉得自己还用不上</w:t>
            </w:r>
          </w:p>
        </w:tc>
        <w:tc>
          <w:tcPr>
            <w:tcW w:w="27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9FE3B2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风险感知不足，多见于尚未发生跌倒的老人</w:t>
            </w:r>
          </w:p>
        </w:tc>
        <w:tc>
          <w:tcPr>
            <w:tcW w:w="430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F43974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在社区宣讲中使用风险证据链，从本人经历、险跌经历延伸到身边熟人跌倒。调研显示65.8%的老人身边有熟人发生过跌倒</w:t>
            </w:r>
          </w:p>
        </w:tc>
      </w:tr>
      <w:tr w14:paraId="3A592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A347B6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不舒服、穿戴麻烦</w:t>
            </w:r>
          </w:p>
        </w:tc>
        <w:tc>
          <w:tcPr>
            <w:tcW w:w="275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49B657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来自传统护具的负面经验。传统产品痛点排名为太厚太热54.0%、勒44.5%、活动不便33.6%</w:t>
            </w:r>
          </w:p>
        </w:tc>
        <w:tc>
          <w:tcPr>
            <w:tcW w:w="430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91D06E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以轻薄贴身为产品硬指标，并通过现场试穿直接消解顾虑。这是体验环节不可替代的原因</w:t>
            </w:r>
          </w:p>
        </w:tc>
      </w:tr>
      <w:tr w14:paraId="2D096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E29D55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担心价格高</w:t>
            </w:r>
          </w:p>
        </w:tc>
        <w:tc>
          <w:tcPr>
            <w:tcW w:w="27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E8ED97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支付意愿受限</w:t>
            </w:r>
          </w:p>
        </w:tc>
        <w:tc>
          <w:tcPr>
            <w:tcW w:w="430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4EC932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一期由机构付费，个人不承担采购成本；家庭端提供599元基础款与399元下沉版</w:t>
            </w:r>
          </w:p>
        </w:tc>
      </w:tr>
      <w:tr w14:paraId="2B60A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A81672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不相信效果</w:t>
            </w:r>
          </w:p>
        </w:tc>
        <w:tc>
          <w:tcPr>
            <w:tcW w:w="275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F5145E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缺少可验证的证据</w:t>
            </w:r>
          </w:p>
        </w:tc>
        <w:tc>
          <w:tcPr>
            <w:tcW w:w="430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AE8619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公开跌落测试的对照数据与验证方法；争取第三方检测报告与智慧健康养老产品推广目录认定</w:t>
            </w:r>
          </w:p>
        </w:tc>
      </w:tr>
      <w:tr w14:paraId="1F833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63BB66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外观像病人</w:t>
            </w:r>
          </w:p>
        </w:tc>
        <w:tc>
          <w:tcPr>
            <w:tcW w:w="27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21591B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产品形态带来的心理标签</w:t>
            </w:r>
          </w:p>
        </w:tc>
        <w:tc>
          <w:tcPr>
            <w:tcW w:w="430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EC3AAD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护腰形态本身即是对这一阻力的回应，外观与普通护腰一致，可穿于外衣之内，调研中23.0%的老人明确看重这一点</w:t>
            </w:r>
          </w:p>
        </w:tc>
      </w:tr>
    </w:tbl>
    <w:p w14:paraId="19567C13">
      <w:pPr>
        <w:pStyle w:val="2"/>
        <w:bidi w:val="0"/>
      </w:pPr>
      <w:bookmarkStart w:id="205" w:name="_Toc6700"/>
      <w:bookmarkStart w:id="206" w:name="_Toc29528"/>
      <w:r>
        <w:rPr>
          <w:rFonts w:hint="eastAsia"/>
        </w:rPr>
        <w:t>项目团队</w:t>
      </w:r>
      <w:bookmarkEnd w:id="205"/>
      <w:bookmarkEnd w:id="206"/>
    </w:p>
    <w:p w14:paraId="69EA27BC">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章说明这个团队是怎么来的、由什么人构成、各自做什么，以及它靠什么机制持续运转。团队部分最容易写成一份荣誉清单，本章尽量避免这种写法——所列的每一项个人经历，都对应着此人在本项目中承担的具体工作。</w:t>
      </w:r>
    </w:p>
    <w:p w14:paraId="515FD73D">
      <w:pPr>
        <w:pStyle w:val="3"/>
        <w:bidi w:val="0"/>
      </w:pPr>
      <w:bookmarkStart w:id="207" w:name="_Toc17306"/>
      <w:bookmarkStart w:id="208" w:name="_Toc6792"/>
      <w:r>
        <w:rPr>
          <w:rFonts w:hint="eastAsia"/>
        </w:rPr>
        <w:t>6.1团队概况</w:t>
      </w:r>
      <w:bookmarkEnd w:id="207"/>
      <w:bookmarkEnd w:id="208"/>
    </w:p>
    <w:p w14:paraId="0A2F98D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安行护腰团队现由12名在校本科生与2位指导教师组成，成员来自北京体育大学、中央财经大学、中国科学院大学三所高校。其中北京体育大学成员10名，分属体育工程学院、运动医学与康复学院、运动人体科学学院、竞技体育学院、新闻传播学院五个学院，专业覆盖数据科学与大数据技术、智能体育工程、运动康复、运动人体科学、运动训练、网络与新媒体六个方向，年级跨越2022级至2025级。</w:t>
      </w:r>
    </w:p>
    <w:p w14:paraId="5EC10B0F">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团队围绕产品功能层、技术资产层、服务模式层三层结构划分能力组，每一层都有对应的专业背景支撑，不存在某一层由非对口专业成员兼任的情况。</w:t>
      </w:r>
    </w:p>
    <w:p w14:paraId="3CB9419B">
      <w:pPr>
        <w:pStyle w:val="3"/>
        <w:bidi w:val="0"/>
      </w:pPr>
      <w:bookmarkStart w:id="209" w:name="_Toc28031"/>
      <w:bookmarkStart w:id="210" w:name="_Toc5529"/>
      <w:r>
        <w:rPr>
          <w:rFonts w:hint="eastAsia"/>
        </w:rPr>
        <w:t>6.2组建过程与组建原则</w:t>
      </w:r>
      <w:bookmarkEnd w:id="209"/>
      <w:bookmarkEnd w:id="210"/>
    </w:p>
    <w:p w14:paraId="4563097F">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本团队的组建顺序是先有问题、再有技术路线、最后才有人员配置，而不是先有一群人再去找题目。</w:t>
      </w:r>
    </w:p>
    <w:p w14:paraId="591872E7">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项目的起点是一次养老社区志愿服务中听到的真实经历。当团队确认要做的是在触地之前完成防护，而非在跌倒之后发出报警，技术路线随之确定：需要在毫秒级窗口内判断平衡控制是否已经失效。这个判断同时要求三种能力——理解人体平衡控制的运动生物力学知识、把生物力学指标转化为可计算特征的工程能力、以及判断产品在人体上是否安全可行的医学康复视角。</w:t>
      </w:r>
    </w:p>
    <w:p w14:paraId="1F10C603">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三种能力缺一不可，且任何单一专业都无法同时具备。团队的四学院结构由此确定，它不是为了在材料上写出学科交叉，而是技术路线倒推出来的必然结果。</w:t>
      </w:r>
    </w:p>
    <w:p w14:paraId="72784696">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跨校成员的加入遵循同样的逻辑。项目推进到财务建模环节时，团队发现自身缺少能够独立校验单位经济模型与税负口径的专业能力，中央财经大学金融工程专业的成员因此加入；推进到柔性传感材料选型环节时，同样出现了材料与器件层面的能力缺口，中国科学院大学物理科学专业的成员由此进入协同。两次扩充都发生在具体的能力短板暴露之后，而非事先规划的组织架构。校内的成员补充遵循同一原则：当社区宣讲与科普传播成为服务闭环中的固定环节后，团队引入了新闻传播学院网络与新媒体专业的成员，承担面向老人与家属两类受众的内容设计。</w:t>
      </w:r>
    </w:p>
    <w:p w14:paraId="288DD379">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关于跨校协同关系的说明</w:t>
      </w:r>
    </w:p>
    <w:p w14:paraId="350B1361">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与中国科学院大学、中央财经大学的协同为学生团队之间的技术交流与协作，成员以个人身份参与项目工作，双方所在高校之间未签署机构层面的正式合作协议。本章及全书涉及跨校关系的表述均按此口径。</w:t>
      </w:r>
    </w:p>
    <w:p w14:paraId="1C169713">
      <w:pPr>
        <w:pStyle w:val="3"/>
        <w:bidi w:val="0"/>
      </w:pPr>
      <w:bookmarkStart w:id="211" w:name="_Toc16369"/>
      <w:bookmarkStart w:id="212" w:name="_Toc5691"/>
      <w:r>
        <w:rPr>
          <w:rFonts w:hint="eastAsia"/>
        </w:rPr>
        <w:t>6.3团队结构与能力矩阵</w:t>
      </w:r>
      <w:bookmarkEnd w:id="211"/>
      <w:bookmarkEnd w:id="212"/>
    </w:p>
    <w:p w14:paraId="5294F5D6">
      <w:pPr>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191125" cy="2257425"/>
            <wp:effectExtent l="0" t="0" r="0" b="0"/>
            <wp:docPr id="8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7"/>
                    <pic:cNvPicPr>
                      <a:picLocks noChangeAspect="1" noChangeArrowheads="1"/>
                    </pic:cNvPicPr>
                  </pic:nvPicPr>
                  <pic:blipFill>
                    <a:blip r:embed="rId34"/>
                    <a:srcRect/>
                    <a:stretch>
                      <a:fillRect/>
                    </a:stretch>
                  </pic:blipFill>
                  <pic:spPr>
                    <a:xfrm>
                      <a:off x="0" y="0"/>
                      <a:ext cx="5191125" cy="2257425"/>
                    </a:xfrm>
                    <a:prstGeom prst="rect">
                      <a:avLst/>
                    </a:prstGeom>
                  </pic:spPr>
                </pic:pic>
              </a:graphicData>
            </a:graphic>
          </wp:inline>
        </w:drawing>
      </w:r>
    </w:p>
    <w:p w14:paraId="7E076897">
      <w:pPr>
        <w:pStyle w:val="8"/>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rFonts w:hint="eastAsia"/>
        </w:rPr>
        <w:t xml:space="preserve">图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rPr>
          <w:rFonts w:hint="eastAsia"/>
        </w:rPr>
        <w:instrText xml:space="preserve"> SEQ 图 \* ARABIC \s 1 </w:instrText>
      </w:r>
      <w:r>
        <w:fldChar w:fldCharType="separate"/>
      </w:r>
      <w:r>
        <w:t>1</w:t>
      </w:r>
      <w:r>
        <w:fldChar w:fldCharType="end"/>
      </w:r>
      <w:r>
        <w:rPr>
          <w:rFonts w:hint="eastAsia" w:ascii="黑体" w:hAnsi="黑体" w:eastAsia="黑体" w:cs="黑体"/>
          <w:color w:val="000000" w:themeColor="text1"/>
          <w:sz w:val="21"/>
          <w:szCs w:val="21"/>
          <w14:textFill>
            <w14:solidFill>
              <w14:schemeClr w14:val="tx1"/>
            </w14:solidFill>
          </w14:textFill>
        </w:rPr>
        <w:t>安行护腰团队组织结构图</w:t>
      </w:r>
    </w:p>
    <w:p w14:paraId="368CB800">
      <w:pPr>
        <w:pStyle w:val="4"/>
        <w:keepNext w:val="0"/>
        <w:keepLines w:val="0"/>
        <w:kinsoku/>
        <w:wordWrap/>
        <w:overflowPunct/>
        <w:topLinePunct w:val="0"/>
        <w:autoSpaceDE/>
        <w:autoSpaceDN/>
        <w:bidi w:val="0"/>
        <w:adjustRightInd/>
        <w:snapToGrid/>
        <w:spacing w:line="300" w:lineRule="auto"/>
        <w:textAlignment w:val="auto"/>
      </w:pPr>
      <w:bookmarkStart w:id="213" w:name="_Toc1427"/>
      <w:bookmarkStart w:id="214" w:name="_Toc32347"/>
      <w:r>
        <w:rPr>
          <w:rFonts w:hint="eastAsia"/>
        </w:rPr>
        <w:t>6.3.1六个能力方向</w:t>
      </w:r>
      <w:bookmarkEnd w:id="213"/>
      <w:bookmarkEnd w:id="214"/>
    </w:p>
    <w:p w14:paraId="0DA23100">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团队六个能力方向</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4"/>
        <w:gridCol w:w="2924"/>
        <w:gridCol w:w="4472"/>
      </w:tblGrid>
      <w:tr w14:paraId="1630F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2015D4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能力方向</w:t>
            </w:r>
          </w:p>
        </w:tc>
        <w:tc>
          <w:tcPr>
            <w:tcW w:w="292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BFB9E2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所属单位与专业</w:t>
            </w:r>
          </w:p>
        </w:tc>
        <w:tc>
          <w:tcPr>
            <w:tcW w:w="447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B03B24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在项目中承担的工作</w:t>
            </w:r>
          </w:p>
        </w:tc>
      </w:tr>
      <w:tr w14:paraId="13B3B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1A847B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工程与信息</w:t>
            </w:r>
          </w:p>
        </w:tc>
        <w:tc>
          <w:tcPr>
            <w:tcW w:w="292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53A545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北京体育大学体育工程学院：数据科学与大数据技术、智能体育工程</w:t>
            </w:r>
          </w:p>
        </w:tc>
        <w:tc>
          <w:tcPr>
            <w:tcW w:w="447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0EB097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传感系统设计与集成、算法架构与端侧部署、平台与应用开发</w:t>
            </w:r>
          </w:p>
        </w:tc>
      </w:tr>
      <w:tr w14:paraId="6A999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8139D3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运动科学</w:t>
            </w:r>
          </w:p>
        </w:tc>
        <w:tc>
          <w:tcPr>
            <w:tcW w:w="292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86B643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北京体育大学运动人体科学学院：运动人体科学</w:t>
            </w:r>
          </w:p>
        </w:tc>
        <w:tc>
          <w:tcPr>
            <w:tcW w:w="447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CEE81C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步态生物力学特征体系构建、动捕数据采集与标注规范、实验设计</w:t>
            </w:r>
          </w:p>
        </w:tc>
      </w:tr>
      <w:tr w14:paraId="695A8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8B2D8D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医学康复</w:t>
            </w:r>
          </w:p>
        </w:tc>
        <w:tc>
          <w:tcPr>
            <w:tcW w:w="292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3BC5EB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北京体育大学运动医学与康复学院：运动康复</w:t>
            </w:r>
          </w:p>
        </w:tc>
        <w:tc>
          <w:tcPr>
            <w:tcW w:w="447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B9B37C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老年运动功能评估、防跌动作指导、佩戴安全性与伦理规范、产品功能边界界定</w:t>
            </w:r>
          </w:p>
        </w:tc>
      </w:tr>
      <w:tr w14:paraId="5B184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EF20F8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实践与传播</w:t>
            </w:r>
          </w:p>
        </w:tc>
        <w:tc>
          <w:tcPr>
            <w:tcW w:w="292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1A23F5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北京体育大学竞技体育学院：运动训练；新闻传播学院：网络与新媒体</w:t>
            </w:r>
          </w:p>
        </w:tc>
        <w:tc>
          <w:tcPr>
            <w:tcW w:w="447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53DF1F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社区宣讲与实践组织、问卷调研执行、活动记录、科普内容设计与新媒体传播</w:t>
            </w:r>
          </w:p>
        </w:tc>
      </w:tr>
      <w:tr w14:paraId="7BF84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5B1E88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商业与金融</w:t>
            </w:r>
          </w:p>
        </w:tc>
        <w:tc>
          <w:tcPr>
            <w:tcW w:w="292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60C20E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中央财经大学金融学院：金融工程</w:t>
            </w:r>
          </w:p>
        </w:tc>
        <w:tc>
          <w:tcPr>
            <w:tcW w:w="447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8DD862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财务模型构建与独立复核、单点经济模型测算、税负测算、经费口径规范</w:t>
            </w:r>
          </w:p>
        </w:tc>
      </w:tr>
      <w:tr w14:paraId="58470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F22445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材料与硬件</w:t>
            </w:r>
          </w:p>
        </w:tc>
        <w:tc>
          <w:tcPr>
            <w:tcW w:w="292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19004C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中国科学院大学：物理科学</w:t>
            </w:r>
          </w:p>
        </w:tc>
        <w:tc>
          <w:tcPr>
            <w:tcW w:w="447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1BAADB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柔性传感材料方案、气动执行部件选型、电路设计支持</w:t>
            </w:r>
          </w:p>
        </w:tc>
      </w:tr>
    </w:tbl>
    <w:p w14:paraId="7F5EE791">
      <w:pPr>
        <w:pStyle w:val="4"/>
        <w:keepNext w:val="0"/>
        <w:keepLines w:val="0"/>
        <w:kinsoku/>
        <w:wordWrap/>
        <w:overflowPunct/>
        <w:topLinePunct w:val="0"/>
        <w:autoSpaceDE/>
        <w:autoSpaceDN/>
        <w:bidi w:val="0"/>
        <w:adjustRightInd/>
        <w:snapToGrid/>
        <w:spacing w:line="300" w:lineRule="auto"/>
        <w:textAlignment w:val="auto"/>
      </w:pPr>
      <w:bookmarkStart w:id="215" w:name="_Toc20370"/>
      <w:bookmarkStart w:id="216" w:name="_Toc28538"/>
      <w:r>
        <w:rPr>
          <w:rFonts w:hint="eastAsia"/>
        </w:rPr>
        <w:t>6.3.2成员一览</w:t>
      </w:r>
      <w:bookmarkEnd w:id="215"/>
      <w:bookmarkEnd w:id="216"/>
    </w:p>
    <w:p w14:paraId="54A1694B">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2</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团队成员一览</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1"/>
        <w:gridCol w:w="1100"/>
        <w:gridCol w:w="2755"/>
        <w:gridCol w:w="2361"/>
        <w:gridCol w:w="1493"/>
      </w:tblGrid>
      <w:tr w14:paraId="5436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3CA4B8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姓名</w:t>
            </w:r>
          </w:p>
        </w:tc>
        <w:tc>
          <w:tcPr>
            <w:tcW w:w="77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322FF6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年级</w:t>
            </w:r>
          </w:p>
        </w:tc>
        <w:tc>
          <w:tcPr>
            <w:tcW w:w="292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8ECAE7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学校与学院专业</w:t>
            </w:r>
          </w:p>
        </w:tc>
        <w:tc>
          <w:tcPr>
            <w:tcW w:w="249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BC4118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项目分工</w:t>
            </w:r>
          </w:p>
        </w:tc>
        <w:tc>
          <w:tcPr>
            <w:tcW w:w="154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3480E9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能力方向</w:t>
            </w:r>
          </w:p>
        </w:tc>
      </w:tr>
      <w:tr w14:paraId="4193D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7A428C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赵梓嫣</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A872A5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2025级</w:t>
            </w:r>
          </w:p>
        </w:tc>
        <w:tc>
          <w:tcPr>
            <w:tcW w:w="292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F21FCF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北京体育大学体育工程学院数据科学与大数据技术</w:t>
            </w:r>
          </w:p>
        </w:tc>
        <w:tc>
          <w:tcPr>
            <w:tcW w:w="249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61E517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项目负责人、产品统筹</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57F594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工程与信息</w:t>
            </w:r>
          </w:p>
        </w:tc>
      </w:tr>
      <w:tr w14:paraId="73072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638D6D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刘腾罡</w:t>
            </w:r>
          </w:p>
        </w:tc>
        <w:tc>
          <w:tcPr>
            <w:tcW w:w="77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16D970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2025级</w:t>
            </w:r>
          </w:p>
        </w:tc>
        <w:tc>
          <w:tcPr>
            <w:tcW w:w="292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77264E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北京体育大学体育工程学院数据科学与大数据技术</w:t>
            </w:r>
          </w:p>
        </w:tc>
        <w:tc>
          <w:tcPr>
            <w:tcW w:w="249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7A10FE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算法开发、数据采集</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B57F84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工程与信息</w:t>
            </w:r>
          </w:p>
        </w:tc>
      </w:tr>
      <w:tr w14:paraId="769D3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CF1FF6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赖德才</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F9ABFF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2025级</w:t>
            </w:r>
          </w:p>
        </w:tc>
        <w:tc>
          <w:tcPr>
            <w:tcW w:w="292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8A4CF2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北京体育大学体育工程学院智能体育工程</w:t>
            </w:r>
          </w:p>
        </w:tc>
        <w:tc>
          <w:tcPr>
            <w:tcW w:w="249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C2DFCC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硬件集成、设备操作</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39D490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工程与信息</w:t>
            </w:r>
          </w:p>
        </w:tc>
      </w:tr>
      <w:tr w14:paraId="2ED26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58AAB9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李一鸣</w:t>
            </w:r>
          </w:p>
        </w:tc>
        <w:tc>
          <w:tcPr>
            <w:tcW w:w="77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72AB7F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2025级</w:t>
            </w:r>
          </w:p>
        </w:tc>
        <w:tc>
          <w:tcPr>
            <w:tcW w:w="292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41DE5A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北京体育大学体育工程学院数据科学与大数据技术</w:t>
            </w:r>
          </w:p>
        </w:tc>
        <w:tc>
          <w:tcPr>
            <w:tcW w:w="249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754FCA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设备操作、科普传播</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8F97DD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工程与信息</w:t>
            </w:r>
          </w:p>
        </w:tc>
      </w:tr>
      <w:tr w14:paraId="4D604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795524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王姝文</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EEB24D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2024级</w:t>
            </w:r>
          </w:p>
        </w:tc>
        <w:tc>
          <w:tcPr>
            <w:tcW w:w="292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15CE7F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北京体育大学运动医学与康复学院运动康复</w:t>
            </w:r>
          </w:p>
        </w:tc>
        <w:tc>
          <w:tcPr>
            <w:tcW w:w="249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5E88D4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康复评估、动作指导、功能边界审查</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3538AF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医学康复</w:t>
            </w:r>
          </w:p>
        </w:tc>
      </w:tr>
      <w:tr w14:paraId="16DE8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2592E0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崔钰萱</w:t>
            </w:r>
          </w:p>
        </w:tc>
        <w:tc>
          <w:tcPr>
            <w:tcW w:w="77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A258C5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2024级</w:t>
            </w:r>
          </w:p>
        </w:tc>
        <w:tc>
          <w:tcPr>
            <w:tcW w:w="292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C649EB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北京体育大学运动人体科学学院运动人体科学</w:t>
            </w:r>
          </w:p>
        </w:tc>
        <w:tc>
          <w:tcPr>
            <w:tcW w:w="249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B77530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数据验证、健康宣讲</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17E647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运动科学</w:t>
            </w:r>
          </w:p>
        </w:tc>
      </w:tr>
      <w:tr w14:paraId="42951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D3C38D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杨竣涵</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FD6123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2024级</w:t>
            </w:r>
          </w:p>
        </w:tc>
        <w:tc>
          <w:tcPr>
            <w:tcW w:w="292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CE5D6F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北京体育大学运动人体科学学院运动人体科学</w:t>
            </w:r>
          </w:p>
        </w:tc>
        <w:tc>
          <w:tcPr>
            <w:tcW w:w="249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7413E9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商务运营、社区对接与记录</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270E7A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运动科学</w:t>
            </w:r>
          </w:p>
        </w:tc>
      </w:tr>
      <w:tr w14:paraId="1F81A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E14490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龙曼灵</w:t>
            </w:r>
          </w:p>
        </w:tc>
        <w:tc>
          <w:tcPr>
            <w:tcW w:w="77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4441C6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2025级</w:t>
            </w:r>
          </w:p>
        </w:tc>
        <w:tc>
          <w:tcPr>
            <w:tcW w:w="292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558BCD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北京体育大学运动人体科学学院运动人体科学</w:t>
            </w:r>
          </w:p>
        </w:tc>
        <w:tc>
          <w:tcPr>
            <w:tcW w:w="249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014951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产品调研、问卷执行</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C25F4F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运动科学</w:t>
            </w:r>
          </w:p>
        </w:tc>
      </w:tr>
      <w:tr w14:paraId="4D09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D7A2BB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曾雅静</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830E4D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2022级</w:t>
            </w:r>
          </w:p>
        </w:tc>
        <w:tc>
          <w:tcPr>
            <w:tcW w:w="292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2B21F8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北京体育大学竞技体育学院运动训练</w:t>
            </w:r>
          </w:p>
        </w:tc>
        <w:tc>
          <w:tcPr>
            <w:tcW w:w="249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5E14A5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宣讲与实践统筹、社会资源对接</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F79F43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实践与传播</w:t>
            </w:r>
          </w:p>
        </w:tc>
      </w:tr>
      <w:tr w14:paraId="28BFF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30BD2A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韩一诺</w:t>
            </w:r>
          </w:p>
        </w:tc>
        <w:tc>
          <w:tcPr>
            <w:tcW w:w="77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83BD42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2025级</w:t>
            </w:r>
          </w:p>
        </w:tc>
        <w:tc>
          <w:tcPr>
            <w:tcW w:w="292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85F624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中央财经大学金融学院金融工程</w:t>
            </w:r>
          </w:p>
        </w:tc>
        <w:tc>
          <w:tcPr>
            <w:tcW w:w="249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366E00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财务模型复核、税负测算</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867B22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商业与金融</w:t>
            </w:r>
          </w:p>
        </w:tc>
      </w:tr>
      <w:tr w14:paraId="44BC6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B5C1EC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杨海诺</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08EDD2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2025级</w:t>
            </w:r>
          </w:p>
        </w:tc>
        <w:tc>
          <w:tcPr>
            <w:tcW w:w="292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C1DDBE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中国科学院大学物理科学</w:t>
            </w:r>
          </w:p>
        </w:tc>
        <w:tc>
          <w:tcPr>
            <w:tcW w:w="249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9187AF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柔性传感材料方案、硬件选型支持</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663432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材料与硬件</w:t>
            </w:r>
          </w:p>
        </w:tc>
      </w:tr>
      <w:tr w14:paraId="7F456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0ADC76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苟馨匀</w:t>
            </w:r>
          </w:p>
        </w:tc>
        <w:tc>
          <w:tcPr>
            <w:tcW w:w="77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0E1AC7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2024级</w:t>
            </w:r>
          </w:p>
        </w:tc>
        <w:tc>
          <w:tcPr>
            <w:tcW w:w="292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0703F8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北京体育大学新闻传播学院网络与新媒体</w:t>
            </w:r>
          </w:p>
        </w:tc>
        <w:tc>
          <w:tcPr>
            <w:tcW w:w="249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1F6E71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科普内容设计、新媒体传播</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C6481D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实践与传播</w:t>
            </w:r>
          </w:p>
        </w:tc>
      </w:tr>
    </w:tbl>
    <w:p w14:paraId="7BB0CC68">
      <w:pPr>
        <w:pStyle w:val="3"/>
        <w:bidi w:val="0"/>
      </w:pPr>
      <w:bookmarkStart w:id="217" w:name="_Toc10489"/>
      <w:bookmarkStart w:id="218" w:name="_Toc27504"/>
      <w:r>
        <w:rPr>
          <w:rFonts w:hint="eastAsia"/>
        </w:rPr>
        <w:t>6.4核心成员与实质贡献</w:t>
      </w:r>
      <w:bookmarkEnd w:id="217"/>
      <w:bookmarkEnd w:id="218"/>
    </w:p>
    <w:p w14:paraId="424450BA">
      <w:pPr>
        <w:pStyle w:val="4"/>
        <w:keepNext w:val="0"/>
        <w:keepLines w:val="0"/>
        <w:kinsoku/>
        <w:wordWrap/>
        <w:overflowPunct/>
        <w:topLinePunct w:val="0"/>
        <w:autoSpaceDE/>
        <w:autoSpaceDN/>
        <w:bidi w:val="0"/>
        <w:adjustRightInd/>
        <w:snapToGrid/>
        <w:spacing w:line="300" w:lineRule="auto"/>
        <w:textAlignment w:val="auto"/>
      </w:pPr>
      <w:bookmarkStart w:id="219" w:name="_Toc24597"/>
      <w:bookmarkStart w:id="220" w:name="_Toc9338"/>
      <w:r>
        <w:rPr>
          <w:rFonts w:hint="eastAsia"/>
        </w:rPr>
        <w:t>6.4.1工程与信息组</w:t>
      </w:r>
      <w:bookmarkEnd w:id="219"/>
      <w:bookmarkEnd w:id="220"/>
    </w:p>
    <w:p w14:paraId="1A73D40D">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工程与信息组成员贡献</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1"/>
        <w:gridCol w:w="3598"/>
        <w:gridCol w:w="4111"/>
      </w:tblGrid>
      <w:tr w14:paraId="3FC61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D88CDB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姓名</w:t>
            </w:r>
          </w:p>
        </w:tc>
        <w:tc>
          <w:tcPr>
            <w:tcW w:w="361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C85B08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个人背景</w:t>
            </w:r>
          </w:p>
        </w:tc>
        <w:tc>
          <w:tcPr>
            <w:tcW w:w="412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C3A0A0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在项目中的实质贡献</w:t>
            </w:r>
          </w:p>
        </w:tc>
      </w:tr>
      <w:tr w14:paraId="62632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A72C51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赵梓嫣</w:t>
            </w:r>
          </w:p>
        </w:tc>
        <w:tc>
          <w:tcPr>
            <w:tcW w:w="361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7D3277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体育工程学院25级年级长，数据一班团支书，校干部骨干培训班团支书，入党积极分子。获北京大学生创新创业大赛一等奖、中国大学生计算机设计大赛北京市级赛二等奖、北京市大学生人工智能+创新大赛二等奖、北京市大学生超级个体创业大赛三等奖、北京市大学生创新创业大赛三等奖、中国国际大学生创新大赛校赛银奖3项、挑战杯创业计划竞赛校赛二等奖2项</w:t>
            </w:r>
          </w:p>
        </w:tc>
        <w:tc>
          <w:tcPr>
            <w:tcW w:w="412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D63E93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项目发起人与负责人。确立了防护时点前移这一核心技术判断，统筹产品定义、技术路线与材料体系；主持跨学院与跨校团队的组建与分工；主导产品功能边界的收敛决策，推动移除电刺激理疗与疾病风险预警等越界功能。多次竞赛组织经历使其具备将技术方案转化为完整商业论证的能力，这直接体现在本项目由个人销售转向社区服务的模式设计上</w:t>
            </w:r>
          </w:p>
        </w:tc>
      </w:tr>
      <w:tr w14:paraId="76F92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B06019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刘腾罡</w:t>
            </w:r>
          </w:p>
        </w:tc>
        <w:tc>
          <w:tcPr>
            <w:tcW w:w="361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1435A1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数据二班团支书，校青马班成员，入党积极分子。获北京大学生创新创业大赛一等奖、北京市大学生创新创业大赛三等奖、北京市大学生超级个体创业大赛三等奖、中国国际大学生创新大赛校赛银奖3项、挑战杯中国大学生创业计划竞赛校赛二等奖</w:t>
            </w:r>
          </w:p>
        </w:tc>
        <w:tc>
          <w:tcPr>
            <w:tcW w:w="412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125C3F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负责算法开发与数据工作。承担多模态特征工程的实现、端侧轻量化模型的训练与部署；主持公开数据集的筛选与许可证合规审查，完成7个候选数据集的逐项核查并主动排除2个不可商用数据集；在颐清园现场承担步态数据采集与标注</w:t>
            </w:r>
          </w:p>
        </w:tc>
      </w:tr>
      <w:tr w14:paraId="52FC7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08BAD8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赖德才</w:t>
            </w:r>
          </w:p>
        </w:tc>
        <w:tc>
          <w:tcPr>
            <w:tcW w:w="361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D2DEF0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智能一班团支书，入党积极分子。获北京大学生创新创业大赛一等奖、中国国际大学生创新大赛校赛银奖2项、体育工程学院羽毛球团体赛一等奖</w:t>
            </w:r>
          </w:p>
        </w:tc>
        <w:tc>
          <w:tcPr>
            <w:tcW w:w="412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2AAE04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负责硬件集成与设备操作。承担传感阵列与主控模块的选型与集成方案、气动执行部件的结构设计与供应商询价；主持物料成本清单的编制与降本路径测算</w:t>
            </w:r>
          </w:p>
        </w:tc>
      </w:tr>
      <w:tr w14:paraId="56AEB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CAD73F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李一鸣</w:t>
            </w:r>
          </w:p>
        </w:tc>
        <w:tc>
          <w:tcPr>
            <w:tcW w:w="361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E5A941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数据一班英语课代表，青年志愿者协会爱心部成员</w:t>
            </w:r>
          </w:p>
        </w:tc>
        <w:tc>
          <w:tcPr>
            <w:tcW w:w="412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1092E3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负责设备操作与科普传播。承担数据采集的现场辅助与新媒体科普内容制作；志愿服务经历使其在面向老年人的现场沟通中表现稳定，暑期实践期间承担科普材料的发放与讲解</w:t>
            </w:r>
          </w:p>
        </w:tc>
      </w:tr>
    </w:tbl>
    <w:p w14:paraId="03D76AA3">
      <w:pPr>
        <w:pStyle w:val="4"/>
        <w:keepNext w:val="0"/>
        <w:keepLines w:val="0"/>
        <w:kinsoku/>
        <w:wordWrap/>
        <w:overflowPunct/>
        <w:topLinePunct w:val="0"/>
        <w:autoSpaceDE/>
        <w:autoSpaceDN/>
        <w:bidi w:val="0"/>
        <w:adjustRightInd/>
        <w:snapToGrid/>
        <w:spacing w:line="300" w:lineRule="auto"/>
        <w:textAlignment w:val="auto"/>
      </w:pPr>
      <w:bookmarkStart w:id="221" w:name="_Toc12646"/>
      <w:bookmarkStart w:id="222" w:name="_Toc9434"/>
      <w:r>
        <w:rPr>
          <w:rFonts w:hint="eastAsia"/>
        </w:rPr>
        <w:t>6.4.2运动科学与医学康复组</w:t>
      </w:r>
      <w:bookmarkEnd w:id="221"/>
      <w:bookmarkEnd w:id="222"/>
    </w:p>
    <w:p w14:paraId="6910D669">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运动科学与医学康复组成员贡献</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1"/>
        <w:gridCol w:w="3599"/>
        <w:gridCol w:w="4110"/>
      </w:tblGrid>
      <w:tr w14:paraId="7A48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4D74B2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姓名</w:t>
            </w:r>
          </w:p>
        </w:tc>
        <w:tc>
          <w:tcPr>
            <w:tcW w:w="361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0545DE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个人背景</w:t>
            </w:r>
          </w:p>
        </w:tc>
        <w:tc>
          <w:tcPr>
            <w:tcW w:w="412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A94030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在项目中的实质贡献</w:t>
            </w:r>
          </w:p>
        </w:tc>
      </w:tr>
      <w:tr w14:paraId="06563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DCFDE3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王姝文</w:t>
            </w:r>
          </w:p>
        </w:tc>
        <w:tc>
          <w:tcPr>
            <w:tcW w:w="361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749A70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运康3班班长，北京体育大学职业发展协会公务员部副部长。获2024—2025年度北京体育大学优秀学生干部、三好学生</w:t>
            </w:r>
          </w:p>
        </w:tc>
        <w:tc>
          <w:tcPr>
            <w:tcW w:w="412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C120E5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负责康复评估与功能边界审查。以运动康复专业视角建立防跌安全评估表单与风险分级规则；主导识别并移除产品中的医疗干预类功能，界定了产品不构成医学诊断的表述纪律；负责佩戴安全性与实践伦理规范</w:t>
            </w:r>
          </w:p>
        </w:tc>
      </w:tr>
      <w:tr w14:paraId="667CF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D8AA65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崔钰萱</w:t>
            </w:r>
          </w:p>
        </w:tc>
        <w:tc>
          <w:tcPr>
            <w:tcW w:w="361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72118B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获2024—2025年度校二等奖学金、三好学生、2025年全国排舞锦标赛18-35岁甲组中级原创项目第一名、北京体育大学2025年健身气功八段锦技能展示大赛二等奖、挑战杯校级二等奖</w:t>
            </w:r>
          </w:p>
        </w:tc>
        <w:tc>
          <w:tcPr>
            <w:tcW w:w="412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06CC5E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负责数据验证与健康宣讲。参与步态生物力学特征体系的构建与动捕数据标注规范制定；在社区实践中承担腰髋肌群功能性锻炼方法的示范与讲解，其运动技能背景使示范环节具备专业性</w:t>
            </w:r>
          </w:p>
        </w:tc>
      </w:tr>
      <w:tr w14:paraId="4975D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5BFBE0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杨竣涵</w:t>
            </w:r>
          </w:p>
        </w:tc>
        <w:tc>
          <w:tcPr>
            <w:tcW w:w="361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3FB249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运人3班团支书。获2024—2025年度校一等奖学金、三好学生、优秀班集体与优秀团支部</w:t>
            </w:r>
          </w:p>
        </w:tc>
        <w:tc>
          <w:tcPr>
            <w:tcW w:w="412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E5C769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负责商务运营与社区对接。承担颐清园养老社区的进场沟通、活动排期与现场记录；参与社区落地标准作业清单中进场与复盘两个阶段的流程设计</w:t>
            </w:r>
          </w:p>
        </w:tc>
      </w:tr>
      <w:tr w14:paraId="19C71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70AE26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龙曼灵</w:t>
            </w:r>
          </w:p>
        </w:tc>
        <w:tc>
          <w:tcPr>
            <w:tcW w:w="361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8AF2FE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运动人体科学学院文礼部部员。获运动人体科学学院职业规划大赛校级三等奖</w:t>
            </w:r>
          </w:p>
        </w:tc>
        <w:tc>
          <w:tcPr>
            <w:tcW w:w="412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1AAC67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负责产品调研与问卷执行。参与《老年人日常安全防护与智能穿戴产品需求调查问卷》的设计，承担243份问卷的现场发放、回收与数据录入，参与调研报告的撰写</w:t>
            </w:r>
          </w:p>
        </w:tc>
      </w:tr>
    </w:tbl>
    <w:p w14:paraId="73B87A3D">
      <w:pPr>
        <w:pStyle w:val="4"/>
        <w:keepNext w:val="0"/>
        <w:keepLines w:val="0"/>
        <w:kinsoku/>
        <w:wordWrap/>
        <w:overflowPunct/>
        <w:topLinePunct w:val="0"/>
        <w:autoSpaceDE/>
        <w:autoSpaceDN/>
        <w:bidi w:val="0"/>
        <w:adjustRightInd/>
        <w:snapToGrid/>
        <w:spacing w:line="300" w:lineRule="auto"/>
        <w:textAlignment w:val="auto"/>
      </w:pPr>
      <w:bookmarkStart w:id="223" w:name="_Toc27886"/>
      <w:bookmarkStart w:id="224" w:name="_Toc13623"/>
      <w:r>
        <w:rPr>
          <w:rFonts w:hint="eastAsia"/>
        </w:rPr>
        <w:t>6.4.3实践运营与跨校协同组</w:t>
      </w:r>
      <w:bookmarkEnd w:id="223"/>
      <w:bookmarkEnd w:id="224"/>
    </w:p>
    <w:p w14:paraId="71EF1457">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实践运营与跨校协同组成员贡献</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1"/>
        <w:gridCol w:w="3600"/>
        <w:gridCol w:w="4109"/>
      </w:tblGrid>
      <w:tr w14:paraId="6867E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99385E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姓名</w:t>
            </w:r>
          </w:p>
        </w:tc>
        <w:tc>
          <w:tcPr>
            <w:tcW w:w="361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1743BB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个人背景</w:t>
            </w:r>
          </w:p>
        </w:tc>
        <w:tc>
          <w:tcPr>
            <w:tcW w:w="412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6AD1B85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在项目中的实质贡献</w:t>
            </w:r>
          </w:p>
        </w:tc>
      </w:tr>
      <w:tr w14:paraId="7A20B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1215D9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曾雅静</w:t>
            </w:r>
          </w:p>
        </w:tc>
        <w:tc>
          <w:tcPr>
            <w:tcW w:w="361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C6D24E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共预备党员。获2023—2024、2024—2025年度国家奖学金，2022—2023至2024—2025学年北京体育大学三好学生，2023—2024、2024—2025学年优秀共青团员，2024—2025年度北京市优秀学生干部，第四届体育经济与管理论坛专题报告，中国网球公开赛优秀志愿者。此外，其曾作为核心成员参与的其他项目获中国国际大学生创新大赛（2025）国赛金奖、北京赛区金奖，并入选教育部优秀项目成果展</w:t>
            </w:r>
          </w:p>
        </w:tc>
        <w:tc>
          <w:tcPr>
            <w:tcW w:w="412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CABD02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负责宣讲与实践统筹。作为团队中年级最高、赛事经验最完整的成员，统筹2026年暑期社会实践的整体组织，包括4次进入社区的排期、4场宣讲活动的内容编排与人员分工；对接社区与校内实践资源，主持实践成果材料的整理与留存</w:t>
            </w:r>
          </w:p>
        </w:tc>
      </w:tr>
      <w:tr w14:paraId="1912A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143A87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韩一诺</w:t>
            </w:r>
          </w:p>
        </w:tc>
        <w:tc>
          <w:tcPr>
            <w:tcW w:w="361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818388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中央财经大学金融学院金融工程专业本科生，共青团员，中央财经大学金融学院青年志愿者协会宣传部部长</w:t>
            </w:r>
          </w:p>
        </w:tc>
        <w:tc>
          <w:tcPr>
            <w:tcW w:w="412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02047B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负责财务板块的独立复核与测算。梳理项目预算明细，核对收支逻辑与经费测算依据；在复核中识别出既往测算未计入税负、营运资金缓冲金额与其说明口径不符等问题，并主导第七章税负测算一节的编制，明确了增值税起征点适用、附加税费减半、前期亏损结转弥补三项口径，使财务预测具备可审计性</w:t>
            </w:r>
          </w:p>
        </w:tc>
      </w:tr>
      <w:tr w14:paraId="4FEF9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559B39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杨海诺</w:t>
            </w:r>
          </w:p>
        </w:tc>
        <w:tc>
          <w:tcPr>
            <w:tcW w:w="361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2220E1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中国科学院大学物理科学专业本科生。中国科学院大学本科生创新计划原子分子组成员，中国科学院大学本科新生足球杯赛亚军</w:t>
            </w:r>
          </w:p>
        </w:tc>
        <w:tc>
          <w:tcPr>
            <w:tcW w:w="412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00365B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负责柔性传感材料方案与硬件选型支持。参与传感材料的技术路线比选与器件参数评估，为气动执行部件的方案比选提供材料与物理层面的判断依据；其本科生创新计划的科研训练经历使其能够独立开展材料性能的文献调研与参数核算</w:t>
            </w:r>
          </w:p>
        </w:tc>
      </w:tr>
      <w:tr w14:paraId="32ADE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B3AC78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苟馨匀</w:t>
            </w:r>
          </w:p>
        </w:tc>
        <w:tc>
          <w:tcPr>
            <w:tcW w:w="361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7F26D9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新闻传播学院网络与新媒体专业本科生，班级文体委员。实习经历包括新华社体育部融媒体中心、中央电视台《今日说法》栏目编辑、咪咕体育活动策划</w:t>
            </w:r>
          </w:p>
        </w:tc>
        <w:tc>
          <w:tcPr>
            <w:tcW w:w="412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87C611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负责科普内容设计与对外传播。承担适老化健康科普展板与讲义的内容编排、新媒体科普内容制作、实践成果影像材料的整理。其在主流媒体与体育内容平台的实习经历，使团队具备面向老年人与家属两类受众分别表达的专业能力——这正对应第五章两套价值主张所要求的差异化表述，也是多数技术团队最容易忽略的一环</w:t>
            </w:r>
          </w:p>
        </w:tc>
      </w:tr>
    </w:tbl>
    <w:p w14:paraId="581C0CA8">
      <w:pPr>
        <w:pStyle w:val="3"/>
        <w:bidi w:val="0"/>
      </w:pPr>
      <w:bookmarkStart w:id="225" w:name="_Toc28513"/>
      <w:bookmarkStart w:id="226" w:name="_Toc5641"/>
      <w:r>
        <w:rPr>
          <w:rFonts w:hint="eastAsia"/>
        </w:rPr>
        <w:t>6.5指导教师</w:t>
      </w:r>
      <w:bookmarkEnd w:id="225"/>
      <w:bookmarkEnd w:id="226"/>
    </w:p>
    <w:p w14:paraId="2835B5EE">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指导教师及其指导内容</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2"/>
        <w:gridCol w:w="1892"/>
        <w:gridCol w:w="2838"/>
        <w:gridCol w:w="2838"/>
      </w:tblGrid>
      <w:tr w14:paraId="0A74B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462F67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姓名</w:t>
            </w:r>
          </w:p>
        </w:tc>
        <w:tc>
          <w:tcPr>
            <w:tcW w:w="189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A75A6B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单位与职务</w:t>
            </w:r>
          </w:p>
        </w:tc>
        <w:tc>
          <w:tcPr>
            <w:tcW w:w="283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483807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专业背景</w:t>
            </w:r>
          </w:p>
        </w:tc>
        <w:tc>
          <w:tcPr>
            <w:tcW w:w="283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748812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在项目中的指导内容</w:t>
            </w:r>
          </w:p>
        </w:tc>
      </w:tr>
      <w:tr w14:paraId="0FB82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1317DB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宗寿鑫</w:t>
            </w:r>
          </w:p>
        </w:tc>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4A38A0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北京体育大学体育工程学院，讲师，博士</w:t>
            </w:r>
          </w:p>
        </w:tc>
        <w:tc>
          <w:tcPr>
            <w:tcW w:w="283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D7FEE3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运动表现分析教学团队。发表学术论文15篇，其中SCI检索9篇、EI检索6篇；持有实用新型专利3项；承担国家重点研发计划的智能心理服务软硬件系统开发</w:t>
            </w:r>
          </w:p>
        </w:tc>
        <w:tc>
          <w:tcPr>
            <w:tcW w:w="283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9EC8C4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指导软硬件系统架构、设备集成方案与数据训练流程；提出端侧推理相对于云端方案的必要性判断，直接影响了本项目的技术架构选择；指导实验设计与数据采集规范</w:t>
            </w:r>
          </w:p>
        </w:tc>
      </w:tr>
      <w:tr w14:paraId="6E1E7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91E18A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阮槟</w:t>
            </w:r>
          </w:p>
        </w:tc>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121B07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北京体育大学运动医学与康复学院运动康复医学中心，书记，博士，高级运动防护师</w:t>
            </w:r>
          </w:p>
        </w:tc>
        <w:tc>
          <w:tcPr>
            <w:tcW w:w="283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84EA24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主持校级课题2项、参与36项，发表SCI及核心期刊论文17篇；持有实用新型专利2项；保障备战2024巴黎奥运会国家女子拳击队，助力夺得3金2银；现任中国康复医学会足踝专业委员会青年委员学组副组长</w:t>
            </w:r>
          </w:p>
        </w:tc>
        <w:tc>
          <w:tcPr>
            <w:tcW w:w="283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BD72AC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指导运动康复与损伤防护的专业内容；主导识别产品中的医疗越界功能并推动移除，界定了产品的合规表述边界；对接颐清园养老社区资源，2026年暑期社会实践全程随队并负责现场安全监督</w:t>
            </w:r>
          </w:p>
        </w:tc>
      </w:tr>
      <w:tr w14:paraId="37625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ECF343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指导教师承担的相关科研课题</w:t>
            </w:r>
          </w:p>
        </w:tc>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88C076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c>
          <w:tcPr>
            <w:tcW w:w="283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6FC24B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宗寿鑫：承担国家重点研发计划的智能心理服务软硬件系统开发；参与国家体育总局项目《心理服务智能系统的研发》、北京体育大学校级项目《儿童大肌肉群动作发展能力智能评估体系的建立》</w:t>
            </w:r>
          </w:p>
        </w:tc>
        <w:tc>
          <w:tcPr>
            <w:tcW w:w="283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74828B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三项课题均属智能系统开发与人体动作智能评估方向，与本项目的传感集成、端侧推理与运动特征建模同源，构成指导能力的专业基础</w:t>
            </w:r>
          </w:p>
        </w:tc>
      </w:tr>
      <w:tr w14:paraId="7A779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981DA1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p>
        </w:tc>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7954AD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c>
          <w:tcPr>
            <w:tcW w:w="283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395178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阮槟：国家级大学生创新训练计划项目《慢性踝关节不稳人群损伤特点研究》（项目编号201810043023，第一指导教师）、《家+康复——远程运动康复平台》相关研究（指导教师）</w:t>
            </w:r>
          </w:p>
        </w:tc>
        <w:tc>
          <w:tcPr>
            <w:tcW w:w="283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898DA0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前者属运动损伤风险评估方向，后者属智能康复平台方向，与本项目的防跌安全评估体系与社区服务平台建设直接相关</w:t>
            </w:r>
          </w:p>
        </w:tc>
      </w:tr>
    </w:tbl>
    <w:p w14:paraId="37FEB215">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双导师配置由项目的技术特征决定。本项目既需要嵌入式系统与算法能力，又需要对人体运动与损伤机制的专业理解，任何单一学科背景的教师都难以完整覆盖。两位教师的指导并非各自负责一段，而是在产品定义、功能边界、实验设计三个关键节点上共同参与——其中功能边界的收敛，正是工程视角与医学康复视角交锋后的结果。</w:t>
      </w:r>
    </w:p>
    <w:p w14:paraId="4D465777">
      <w:pPr>
        <w:pStyle w:val="3"/>
        <w:bidi w:val="0"/>
      </w:pPr>
      <w:bookmarkStart w:id="227" w:name="_Toc16351"/>
      <w:bookmarkStart w:id="228" w:name="_Toc10557"/>
      <w:r>
        <w:rPr>
          <w:rFonts w:hint="eastAsia"/>
        </w:rPr>
        <w:t>6.6协作机制</w:t>
      </w:r>
      <w:bookmarkEnd w:id="227"/>
      <w:bookmarkEnd w:id="228"/>
    </w:p>
    <w:p w14:paraId="5B4010B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12人、跨3所高校、跨4个学院的团队，如果没有明确的机制，很容易退化为少数人干活、多数人挂名。本项目运行中形成了四项机制。</w:t>
      </w:r>
    </w:p>
    <w:p w14:paraId="12EDA685">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团队协作机制</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6"/>
        <w:gridCol w:w="3956"/>
        <w:gridCol w:w="3268"/>
      </w:tblGrid>
      <w:tr w14:paraId="7107F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FBC8A0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机制</w:t>
            </w:r>
          </w:p>
        </w:tc>
        <w:tc>
          <w:tcPr>
            <w:tcW w:w="395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76DBCD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具体做法</w:t>
            </w:r>
          </w:p>
        </w:tc>
        <w:tc>
          <w:tcPr>
            <w:tcW w:w="326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2011ED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解决的问题</w:t>
            </w:r>
          </w:p>
        </w:tc>
      </w:tr>
      <w:tr w14:paraId="40300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D756C0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模块负责制</w:t>
            </w:r>
          </w:p>
        </w:tc>
        <w:tc>
          <w:tcPr>
            <w:tcW w:w="395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6A37C9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产品定义、算法、硬件、康复评估、社区服务、财务六个模块各设唯一责任人，责任人对该模块的交付物与对外口径负责</w:t>
            </w:r>
          </w:p>
        </w:tc>
        <w:tc>
          <w:tcPr>
            <w:tcW w:w="326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5D118F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避免责任分散，任何一项内容都能找到具体的追问对象</w:t>
            </w:r>
          </w:p>
        </w:tc>
      </w:tr>
      <w:tr w14:paraId="17F90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95C927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周例会制度</w:t>
            </w:r>
          </w:p>
        </w:tc>
        <w:tc>
          <w:tcPr>
            <w:tcW w:w="395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471E98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每周固定时间同步进度、暴露阻塞问题、确认下周交付项；跨校成员以线上方式参加</w:t>
            </w:r>
          </w:p>
        </w:tc>
        <w:tc>
          <w:tcPr>
            <w:tcW w:w="326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DA0F62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保证跨校、跨学院成员的信息同步不依赖个别人的转述</w:t>
            </w:r>
          </w:p>
        </w:tc>
      </w:tr>
      <w:tr w14:paraId="40869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E6DEA4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文档化沉淀</w:t>
            </w:r>
          </w:p>
        </w:tc>
        <w:tc>
          <w:tcPr>
            <w:tcW w:w="395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360018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社区作业的全部环节固化为标准表单与脚本；技术决策与数据口径变更均记录在案</w:t>
            </w:r>
          </w:p>
        </w:tc>
        <w:tc>
          <w:tcPr>
            <w:tcW w:w="326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1D9BA1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使新成员可以快速接手，也使既往结论可被回溯核对</w:t>
            </w:r>
          </w:p>
        </w:tc>
      </w:tr>
      <w:tr w14:paraId="5D73D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91900F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跨校协同方式</w:t>
            </w:r>
          </w:p>
        </w:tc>
        <w:tc>
          <w:tcPr>
            <w:tcW w:w="395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AD2C04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以线上技术交流加阶段性成果交付推进，每个协同事项明确交付物与时间节点</w:t>
            </w:r>
          </w:p>
        </w:tc>
        <w:tc>
          <w:tcPr>
            <w:tcW w:w="326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8EF4FA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在没有机构协议与共同场地的条件下保持协作的实际产出</w:t>
            </w:r>
          </w:p>
        </w:tc>
      </w:tr>
    </w:tbl>
    <w:p w14:paraId="32CB35F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其中文档化沉淀这一项对本项目具有超出团队管理的意义。社区落地作业手册之所以能够成为可复制性的基础，前提正是团队在第一个社区就以文档方式记录了全部动作，而非等到需要复制时再回头整理。</w:t>
      </w:r>
    </w:p>
    <w:p w14:paraId="1E5A9A4F">
      <w:pPr>
        <w:pStyle w:val="4"/>
        <w:keepNext w:val="0"/>
        <w:keepLines w:val="0"/>
        <w:kinsoku/>
        <w:wordWrap/>
        <w:overflowPunct/>
        <w:topLinePunct w:val="0"/>
        <w:autoSpaceDE/>
        <w:autoSpaceDN/>
        <w:bidi w:val="0"/>
        <w:adjustRightInd/>
        <w:snapToGrid/>
        <w:spacing w:line="300" w:lineRule="auto"/>
        <w:textAlignment w:val="auto"/>
      </w:pPr>
      <w:bookmarkStart w:id="229" w:name="_Toc5979"/>
      <w:bookmarkStart w:id="230" w:name="_Toc22283"/>
      <w:r>
        <w:rPr>
          <w:rFonts w:hint="eastAsia"/>
        </w:rPr>
        <w:t>6.6.1激励制度</w:t>
      </w:r>
      <w:bookmarkEnd w:id="229"/>
      <w:bookmarkEnd w:id="230"/>
    </w:p>
    <w:p w14:paraId="09AB88F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学生团队没有薪酬手段，激励只能依靠三件事：贡献被看见、成果被承认、能力有增长。团队据此约定了四项规则。</w:t>
      </w:r>
    </w:p>
    <w:p w14:paraId="3F990E85">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8</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团队激励制度</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6"/>
        <w:gridCol w:w="7224"/>
      </w:tblGrid>
      <w:tr w14:paraId="04669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68ED37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规则</w:t>
            </w:r>
          </w:p>
        </w:tc>
        <w:tc>
          <w:tcPr>
            <w:tcW w:w="722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68414E6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具体约定</w:t>
            </w:r>
          </w:p>
        </w:tc>
      </w:tr>
      <w:tr w14:paraId="65033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7A66C4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贡献度记录</w:t>
            </w:r>
          </w:p>
        </w:tc>
        <w:tc>
          <w:tcPr>
            <w:tcW w:w="722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5FC02B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以模块交付物为计量单位，周例会逐项确认并记录在案。贡献度记录是署名顺序与奖金分配的唯一依据，不以年级或资历排序</w:t>
            </w:r>
          </w:p>
        </w:tc>
      </w:tr>
      <w:tr w14:paraId="16225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BD7546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成果署名规则</w:t>
            </w:r>
          </w:p>
        </w:tc>
        <w:tc>
          <w:tcPr>
            <w:tcW w:w="722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0FD1CA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论文、专利与软件著作权的署名顺序在成果立项时即行约定，按该成果的实际贡献确定，并在周例会公示</w:t>
            </w:r>
          </w:p>
        </w:tc>
      </w:tr>
      <w:tr w14:paraId="4E809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FE4C55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竞赛奖金分配</w:t>
            </w:r>
          </w:p>
        </w:tc>
        <w:tc>
          <w:tcPr>
            <w:tcW w:w="722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FB0DDB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竞赛奖金按各成员在该次参赛中的实际投入与交付确定分配比例，由模块责任人提出方案、全体成员确认后执行</w:t>
            </w:r>
          </w:p>
        </w:tc>
      </w:tr>
      <w:tr w14:paraId="51FC8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E8EDE9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能力成长路径</w:t>
            </w:r>
          </w:p>
        </w:tc>
        <w:tc>
          <w:tcPr>
            <w:tcW w:w="722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50147D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新成员由对应模块的责任人带教，从承担子任务起步，达到独立交付标准后接手完整模块。团队成员分布于2022至2025各年级，带教关系同时承担梯队接续的作用</w:t>
            </w:r>
          </w:p>
        </w:tc>
      </w:tr>
    </w:tbl>
    <w:p w14:paraId="607BDD8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四项规则的共同指向是把贡献变成可记录、可核对的事实，而不是依赖印象。这对一个12人、跨3所高校、以线上协同为主的团队尤其必要——在成员彼此看不见日常工作的条件下，记录是承认的前提。</w:t>
      </w:r>
    </w:p>
    <w:p w14:paraId="64E89478">
      <w:pPr>
        <w:keepNext w:val="0"/>
        <w:keepLines w:val="0"/>
        <w:pageBreakBefore w:val="0"/>
        <w:kinsoku/>
        <w:wordWrap/>
        <w:overflowPunct/>
        <w:topLinePunct w:val="0"/>
        <w:autoSpaceDE/>
        <w:autoSpaceDN/>
        <w:bidi w:val="0"/>
        <w:adjustRightInd/>
        <w:snapToGrid/>
        <w:spacing w:before="120" w:after="2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676400" cy="1257300"/>
            <wp:effectExtent l="0" t="0" r="0" b="0"/>
            <wp:docPr id="8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8"/>
                    <pic:cNvPicPr>
                      <a:picLocks noChangeAspect="1" noChangeArrowheads="1"/>
                    </pic:cNvPicPr>
                  </pic:nvPicPr>
                  <pic:blipFill>
                    <a:blip r:embed="rId35"/>
                    <a:srcRect/>
                    <a:stretch>
                      <a:fillRect/>
                    </a:stretch>
                  </pic:blipFill>
                  <pic:spPr>
                    <a:xfrm>
                      <a:off x="0" y="0"/>
                      <a:ext cx="1676400" cy="1257300"/>
                    </a:xfrm>
                    <a:prstGeom prst="rect">
                      <a:avLst/>
                    </a:prstGeom>
                  </pic:spPr>
                </pic:pic>
              </a:graphicData>
            </a:graphic>
          </wp:inline>
        </w:drawing>
      </w:r>
      <w:r>
        <w:rPr>
          <w:color w:val="000000" w:themeColor="text1"/>
          <w14:textFill>
            <w14:solidFill>
              <w14:schemeClr w14:val="tx1"/>
            </w14:solidFill>
          </w14:textFill>
        </w:rPr>
        <w:drawing>
          <wp:inline distT="0" distB="0" distL="0" distR="0">
            <wp:extent cx="1676400" cy="971550"/>
            <wp:effectExtent l="0" t="0" r="0" b="0"/>
            <wp:docPr id="8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9"/>
                    <pic:cNvPicPr>
                      <a:picLocks noChangeAspect="1" noChangeArrowheads="1"/>
                    </pic:cNvPicPr>
                  </pic:nvPicPr>
                  <pic:blipFill>
                    <a:blip r:embed="rId36"/>
                    <a:srcRect/>
                    <a:stretch>
                      <a:fillRect/>
                    </a:stretch>
                  </pic:blipFill>
                  <pic:spPr>
                    <a:xfrm>
                      <a:off x="0" y="0"/>
                      <a:ext cx="1676400" cy="971550"/>
                    </a:xfrm>
                    <a:prstGeom prst="rect">
                      <a:avLst/>
                    </a:prstGeom>
                  </pic:spPr>
                </pic:pic>
              </a:graphicData>
            </a:graphic>
          </wp:inline>
        </w:drawing>
      </w:r>
      <w:r>
        <w:rPr>
          <w:color w:val="000000" w:themeColor="text1"/>
          <w14:textFill>
            <w14:solidFill>
              <w14:schemeClr w14:val="tx1"/>
            </w14:solidFill>
          </w14:textFill>
        </w:rPr>
        <w:drawing>
          <wp:inline distT="0" distB="0" distL="0" distR="0">
            <wp:extent cx="1676400" cy="1257300"/>
            <wp:effectExtent l="0" t="0" r="0" b="0"/>
            <wp:docPr id="8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0"/>
                    <pic:cNvPicPr>
                      <a:picLocks noChangeAspect="1" noChangeArrowheads="1"/>
                    </pic:cNvPicPr>
                  </pic:nvPicPr>
                  <pic:blipFill>
                    <a:blip r:embed="rId37"/>
                    <a:srcRect/>
                    <a:stretch>
                      <a:fillRect/>
                    </a:stretch>
                  </pic:blipFill>
                  <pic:spPr>
                    <a:xfrm>
                      <a:off x="0" y="0"/>
                      <a:ext cx="1676400" cy="1257300"/>
                    </a:xfrm>
                    <a:prstGeom prst="rect">
                      <a:avLst/>
                    </a:prstGeom>
                  </pic:spPr>
                </pic:pic>
              </a:graphicData>
            </a:graphic>
          </wp:inline>
        </w:drawing>
      </w:r>
    </w:p>
    <w:p w14:paraId="6C394D17">
      <w:pPr>
        <w:pStyle w:val="8"/>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rFonts w:hint="eastAsia"/>
        </w:rPr>
        <w:t xml:space="preserve">图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rPr>
          <w:rFonts w:hint="eastAsia"/>
        </w:rPr>
        <w:instrText xml:space="preserve"> SEQ 图 \* ARABIC \s 1 </w:instrText>
      </w:r>
      <w:r>
        <w:fldChar w:fldCharType="separate"/>
      </w:r>
      <w:r>
        <w:t>2</w:t>
      </w:r>
      <w:r>
        <w:fldChar w:fldCharType="end"/>
      </w:r>
      <w:r>
        <w:rPr>
          <w:rFonts w:hint="eastAsia" w:ascii="黑体" w:hAnsi="黑体" w:eastAsia="黑体" w:cs="黑体"/>
          <w:color w:val="000000" w:themeColor="text1"/>
          <w:sz w:val="21"/>
          <w:szCs w:val="21"/>
          <w14:textFill>
            <w14:solidFill>
              <w14:schemeClr w14:val="tx1"/>
            </w14:solidFill>
          </w14:textFill>
        </w:rPr>
        <w:t>团队合影与日常工作场景</w:t>
      </w:r>
    </w:p>
    <w:p w14:paraId="60DB6171">
      <w:pPr>
        <w:pStyle w:val="3"/>
        <w:bidi w:val="0"/>
      </w:pPr>
      <w:bookmarkStart w:id="231" w:name="_Toc15919"/>
      <w:bookmarkStart w:id="232" w:name="_Toc1182"/>
      <w:r>
        <w:rPr>
          <w:rFonts w:hint="eastAsia"/>
        </w:rPr>
        <w:t>6.7外部合作资源</w:t>
      </w:r>
      <w:bookmarkEnd w:id="231"/>
      <w:bookmarkEnd w:id="232"/>
    </w:p>
    <w:p w14:paraId="18A4AFBF">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9</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外部合作资源</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2"/>
        <w:gridCol w:w="4128"/>
        <w:gridCol w:w="2580"/>
      </w:tblGrid>
      <w:tr w14:paraId="7CA6D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F21ACB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资源方</w:t>
            </w:r>
          </w:p>
        </w:tc>
        <w:tc>
          <w:tcPr>
            <w:tcW w:w="412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B9799D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提供的支持</w:t>
            </w:r>
          </w:p>
        </w:tc>
        <w:tc>
          <w:tcPr>
            <w:tcW w:w="258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ADB114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当前状态</w:t>
            </w:r>
          </w:p>
        </w:tc>
      </w:tr>
      <w:tr w14:paraId="07632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4B7E76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北京体育大学颐清园养老社区</w:t>
            </w:r>
          </w:p>
        </w:tc>
        <w:tc>
          <w:tcPr>
            <w:tcW w:w="412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F38E0D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实践场地、老年人接触通道、活动证明材料，首个验证点位的意向合作方</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7A9B4A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已建立合作关系并完成首轮实践</w:t>
            </w:r>
          </w:p>
        </w:tc>
      </w:tr>
      <w:tr w14:paraId="3DED5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DB910E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北京体育大学体育工程实验室</w:t>
            </w:r>
          </w:p>
        </w:tc>
        <w:tc>
          <w:tcPr>
            <w:tcW w:w="412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0FA802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高精度光学动作捕捉系统，为步态数据采集与标注提供金标准平台</w:t>
            </w:r>
          </w:p>
        </w:tc>
        <w:tc>
          <w:tcPr>
            <w:tcW w:w="25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65821D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已使用</w:t>
            </w:r>
          </w:p>
        </w:tc>
      </w:tr>
      <w:tr w14:paraId="52BF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5B45A5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学校创客孵化空间</w:t>
            </w:r>
          </w:p>
        </w:tc>
        <w:tc>
          <w:tcPr>
            <w:tcW w:w="412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7843C0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提供项目实践与办公场地；王正老师提供创业辅导3次；协助对接柔性传感材料方向的外部专家资源</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3B0E35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已入驻</w:t>
            </w:r>
          </w:p>
        </w:tc>
      </w:tr>
      <w:tr w14:paraId="657B3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5829BE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气囊模组供应商</w:t>
            </w:r>
          </w:p>
        </w:tc>
        <w:tc>
          <w:tcPr>
            <w:tcW w:w="412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BCD400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TPU气囊材料与结构方案，已提供批量定制与小规模采购两档报价</w:t>
            </w:r>
          </w:p>
        </w:tc>
        <w:tc>
          <w:tcPr>
            <w:tcW w:w="25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E05D11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已接触，取得初步报价</w:t>
            </w:r>
          </w:p>
        </w:tc>
      </w:tr>
      <w:tr w14:paraId="2879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C01F62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柔性传感织物供应商</w:t>
            </w:r>
          </w:p>
        </w:tc>
        <w:tc>
          <w:tcPr>
            <w:tcW w:w="412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55C894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传感织物材料方案与规格参数</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60933C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洽谈中，报价待定</w:t>
            </w:r>
          </w:p>
        </w:tc>
      </w:tr>
      <w:tr w14:paraId="065EB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B9CBCE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中国科学院大学学生团队</w:t>
            </w:r>
          </w:p>
        </w:tc>
        <w:tc>
          <w:tcPr>
            <w:tcW w:w="412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087016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柔性传感材料与硬件方案的技术协同</w:t>
            </w:r>
          </w:p>
        </w:tc>
        <w:tc>
          <w:tcPr>
            <w:tcW w:w="25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C19AC1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协同中，无机构层面协议</w:t>
            </w:r>
          </w:p>
        </w:tc>
      </w:tr>
      <w:tr w14:paraId="2009A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48A6AF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中央财经大学</w:t>
            </w:r>
          </w:p>
        </w:tc>
        <w:tc>
          <w:tcPr>
            <w:tcW w:w="412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83A3FD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财务模型与税负测算的专业支持</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4C6D05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成员以个人身份参与</w:t>
            </w:r>
          </w:p>
        </w:tc>
      </w:tr>
    </w:tbl>
    <w:p w14:paraId="6CBA3661">
      <w:pPr>
        <w:keepNext w:val="0"/>
        <w:keepLines w:val="0"/>
        <w:pageBreakBefore w:val="0"/>
        <w:kinsoku/>
        <w:wordWrap/>
        <w:overflowPunct/>
        <w:topLinePunct w:val="0"/>
        <w:autoSpaceDE/>
        <w:autoSpaceDN/>
        <w:bidi w:val="0"/>
        <w:adjustRightInd/>
        <w:snapToGrid/>
        <w:spacing w:line="300" w:lineRule="auto"/>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br w:type="page"/>
      </w:r>
    </w:p>
    <w:p w14:paraId="35D78D3D">
      <w:pPr>
        <w:pStyle w:val="2"/>
        <w:bidi w:val="0"/>
      </w:pPr>
      <w:bookmarkStart w:id="233" w:name="_Toc28428"/>
      <w:bookmarkStart w:id="234" w:name="_Toc18842"/>
      <w:r>
        <w:rPr>
          <w:rFonts w:hint="eastAsia"/>
        </w:rPr>
        <w:t>发展规划与财务分析</w:t>
      </w:r>
      <w:bookmarkEnd w:id="233"/>
      <w:bookmarkEnd w:id="234"/>
    </w:p>
    <w:p w14:paraId="16637A22">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章把前几章的判断落成时间表与数字。需要先说明本章的写法：项目当前处于概念验证阶段，没有营业收入，因此本章提供的不是财务报表，而是一套可核对的测算——每一个结果数字都能追溯到一条明确列示的假设，读者可以替换任何一个假设重新计算。</w:t>
      </w:r>
    </w:p>
    <w:p w14:paraId="5E0CBAE3">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这是本项目对财务部分的基本态度：假设可核对，比数字好看重要得多。一份第三年营收数千万却给不出假设依据的预测表，在评审现场是负资产。</w:t>
      </w:r>
    </w:p>
    <w:p w14:paraId="3F032A57">
      <w:pPr>
        <w:pStyle w:val="3"/>
        <w:bidi w:val="0"/>
      </w:pPr>
      <w:bookmarkStart w:id="235" w:name="_Toc16842"/>
      <w:bookmarkStart w:id="236" w:name="_Toc23690"/>
      <w:r>
        <w:rPr>
          <w:rFonts w:hint="eastAsia"/>
        </w:rPr>
        <w:t>7.1三年发展路线</w:t>
      </w:r>
      <w:bookmarkEnd w:id="235"/>
      <w:bookmarkEnd w:id="236"/>
    </w:p>
    <w:p w14:paraId="27BCC489">
      <w:pPr>
        <w:pStyle w:val="4"/>
        <w:keepNext w:val="0"/>
        <w:keepLines w:val="0"/>
        <w:kinsoku/>
        <w:wordWrap/>
        <w:overflowPunct/>
        <w:topLinePunct w:val="0"/>
        <w:autoSpaceDE/>
        <w:autoSpaceDN/>
        <w:bidi w:val="0"/>
        <w:adjustRightInd/>
        <w:snapToGrid/>
        <w:spacing w:line="300" w:lineRule="auto"/>
        <w:textAlignment w:val="auto"/>
      </w:pPr>
      <w:bookmarkStart w:id="237" w:name="_Toc9599"/>
      <w:bookmarkStart w:id="238" w:name="_Toc4348"/>
      <w:r>
        <w:rPr>
          <w:rFonts w:hint="eastAsia"/>
        </w:rPr>
        <w:t>7.1.1总体节奏</w:t>
      </w:r>
      <w:bookmarkEnd w:id="237"/>
      <w:bookmarkEnd w:id="238"/>
    </w:p>
    <w:p w14:paraId="2082D33F">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发展路径遵循打透一个点、街镇复制、区域推广三步，与第四章的市场进入策略一致。三年的核心任务依次为：验证模式能否跑通、验证模式能否复制、验证模式能否自负盈亏。</w:t>
      </w:r>
    </w:p>
    <w:p w14:paraId="57C921D8">
      <w:pPr>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191125" cy="2076450"/>
            <wp:effectExtent l="0" t="0" r="0" b="0"/>
            <wp:docPr id="9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1"/>
                    <pic:cNvPicPr>
                      <a:picLocks noChangeAspect="1" noChangeArrowheads="1"/>
                    </pic:cNvPicPr>
                  </pic:nvPicPr>
                  <pic:blipFill>
                    <a:blip r:embed="rId38"/>
                    <a:srcRect/>
                    <a:stretch>
                      <a:fillRect/>
                    </a:stretch>
                  </pic:blipFill>
                  <pic:spPr>
                    <a:xfrm>
                      <a:off x="0" y="0"/>
                      <a:ext cx="5191125" cy="2076450"/>
                    </a:xfrm>
                    <a:prstGeom prst="rect">
                      <a:avLst/>
                    </a:prstGeom>
                  </pic:spPr>
                </pic:pic>
              </a:graphicData>
            </a:graphic>
          </wp:inline>
        </w:drawing>
      </w:r>
    </w:p>
    <w:p w14:paraId="5928D156">
      <w:pPr>
        <w:pStyle w:val="8"/>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rFonts w:hint="eastAsia"/>
        </w:rPr>
        <w:t xml:space="preserve">图 </w:t>
      </w:r>
      <w:r>
        <w:fldChar w:fldCharType="begin"/>
      </w:r>
      <w:r>
        <w:instrText xml:space="preserve"> STYLEREF 1 \s \* ARABIC </w:instrText>
      </w:r>
      <w:r>
        <w:fldChar w:fldCharType="separate"/>
      </w:r>
      <w:r>
        <w:t>7</w:t>
      </w:r>
      <w:r>
        <w:fldChar w:fldCharType="end"/>
      </w:r>
      <w:r>
        <w:rPr>
          <w:rFonts w:hint="eastAsia"/>
          <w:lang w:eastAsia="zh-CN"/>
        </w:rPr>
        <w:t>-</w:t>
      </w:r>
      <w:r>
        <w:fldChar w:fldCharType="begin"/>
      </w:r>
      <w:r>
        <w:rPr>
          <w:rFonts w:hint="eastAsia"/>
        </w:rPr>
        <w:instrText xml:space="preserve"> SEQ 图 \* ARABIC \s 1 </w:instrText>
      </w:r>
      <w:r>
        <w:fldChar w:fldCharType="separate"/>
      </w:r>
      <w:r>
        <w:t>1</w:t>
      </w:r>
      <w:r>
        <w:fldChar w:fldCharType="end"/>
      </w:r>
      <w:r>
        <w:rPr>
          <w:rFonts w:hint="eastAsia" w:ascii="黑体" w:hAnsi="黑体" w:eastAsia="黑体" w:cs="黑体"/>
          <w:color w:val="000000" w:themeColor="text1"/>
          <w:sz w:val="21"/>
          <w:szCs w:val="21"/>
          <w14:textFill>
            <w14:solidFill>
              <w14:schemeClr w14:val="tx1"/>
            </w14:solidFill>
          </w14:textFill>
        </w:rPr>
        <w:t>安行护腰三年发展路线图</w:t>
      </w:r>
    </w:p>
    <w:p w14:paraId="31C978B3">
      <w:pPr>
        <w:pStyle w:val="4"/>
        <w:keepNext w:val="0"/>
        <w:keepLines w:val="0"/>
        <w:kinsoku/>
        <w:wordWrap/>
        <w:overflowPunct/>
        <w:topLinePunct w:val="0"/>
        <w:autoSpaceDE/>
        <w:autoSpaceDN/>
        <w:bidi w:val="0"/>
        <w:adjustRightInd/>
        <w:snapToGrid/>
        <w:spacing w:line="300" w:lineRule="auto"/>
        <w:textAlignment w:val="auto"/>
      </w:pPr>
      <w:bookmarkStart w:id="239" w:name="_Toc9942"/>
      <w:bookmarkStart w:id="240" w:name="_Toc3836"/>
      <w:r>
        <w:rPr>
          <w:rFonts w:hint="eastAsia"/>
        </w:rPr>
        <w:t>7.1.2分年度目标与标志性事件</w:t>
      </w:r>
      <w:bookmarkEnd w:id="239"/>
      <w:bookmarkEnd w:id="240"/>
    </w:p>
    <w:p w14:paraId="68E8DF2D">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三年分年度目标</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3"/>
        <w:gridCol w:w="891"/>
        <w:gridCol w:w="3253"/>
        <w:gridCol w:w="3083"/>
      </w:tblGrid>
      <w:tr w14:paraId="10EEA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7D6FEF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年度</w:t>
            </w:r>
          </w:p>
        </w:tc>
        <w:tc>
          <w:tcPr>
            <w:tcW w:w="8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CD3654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阶段主题</w:t>
            </w:r>
          </w:p>
        </w:tc>
        <w:tc>
          <w:tcPr>
            <w:tcW w:w="326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E09FD9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核心任务</w:t>
            </w:r>
          </w:p>
        </w:tc>
        <w:tc>
          <w:tcPr>
            <w:tcW w:w="309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36B85A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标志性事件</w:t>
            </w:r>
          </w:p>
        </w:tc>
      </w:tr>
      <w:tr w14:paraId="52B28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3E386E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第一年2026下—2027上</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82281D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验证</w:t>
            </w:r>
          </w:p>
        </w:tc>
        <w:tc>
          <w:tcPr>
            <w:tcW w:w="326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EC83D0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完成自有数据采集与模型训练；完成原理样机试制与三组验证实验；在颐清园养老社区完整跑通七环节服务闭环</w:t>
            </w:r>
          </w:p>
        </w:tc>
        <w:tc>
          <w:tcPr>
            <w:tcW w:w="309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541AAB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首个社区闭环跑通；发明专利与软件著作权申请受理；形成首份社区跌倒风险报告</w:t>
            </w:r>
          </w:p>
        </w:tc>
      </w:tr>
      <w:tr w14:paraId="0D46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8E67F7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第二年2027下—2028上</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BBB9E5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复制</w:t>
            </w:r>
          </w:p>
        </w:tc>
        <w:tc>
          <w:tcPr>
            <w:tcW w:w="326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5B948F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社区落地作业手册定型；扩展至海淀区5至10个社区点位；完成小批量试产与工艺定型；筹备工商注册</w:t>
            </w:r>
          </w:p>
        </w:tc>
        <w:tc>
          <w:tcPr>
            <w:tcW w:w="309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37091E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累计覆盖9个社区点位；作业手册完成第一轮迭代；企业实体设立</w:t>
            </w:r>
          </w:p>
        </w:tc>
      </w:tr>
      <w:tr w14:paraId="13FAD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A83D68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第三年2028下—2029上</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FDF33F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推广</w:t>
            </w:r>
          </w:p>
        </w:tc>
        <w:tc>
          <w:tcPr>
            <w:tcW w:w="326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7C6160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加速复制至累计47个点位；启动跨城区复制；下沉版模块面向县域市场；争取进入智慧健康养老产品推广目录</w:t>
            </w:r>
          </w:p>
        </w:tc>
        <w:tc>
          <w:tcPr>
            <w:tcW w:w="309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0E7E1B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累计47个点位，越过45个点位的盈亏平衡线，实现当年盈利；团队扩编至19人</w:t>
            </w:r>
          </w:p>
        </w:tc>
      </w:tr>
    </w:tbl>
    <w:p w14:paraId="09D2BD3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三年目标的点位数量与第九章的推广测算一致：第一年1个、第二年累计9个、第三年累计47个。海淀区现有社区级养老服务点位180个，第三年目标对应区内渗透率约26.1%。需要特别说明的是，</w:t>
      </w:r>
      <w:r>
        <w:rPr>
          <w:rFonts w:hint="eastAsia" w:ascii="宋体" w:hAnsi="宋体" w:eastAsia="宋体" w:cs="宋体"/>
          <w:b/>
          <w:bCs/>
          <w:color w:val="000000" w:themeColor="text1"/>
          <w:sz w:val="24"/>
          <w:szCs w:val="24"/>
          <w14:textFill>
            <w14:solidFill>
              <w14:schemeClr w14:val="tx1"/>
            </w14:solidFill>
          </w14:textFill>
        </w:rPr>
        <w:t>第三年的经营目标（47个点位）高于盈亏平衡点（45个点位）</w:t>
      </w:r>
      <w:r>
        <w:rPr>
          <w:rFonts w:hint="eastAsia" w:ascii="宋体" w:hAnsi="宋体" w:eastAsia="宋体" w:cs="宋体"/>
          <w:b w:val="0"/>
          <w:bCs w:val="0"/>
          <w:color w:val="000000" w:themeColor="text1"/>
          <w:sz w:val="24"/>
          <w:szCs w:val="24"/>
          <w14:textFill>
            <w14:solidFill>
              <w14:schemeClr w14:val="tx1"/>
            </w14:solidFill>
          </w14:textFill>
        </w:rPr>
        <w:t>，二者是两个不同的概念：前者是团队设定的业务目标，后者是测算得出的临界值。目标高于临界值约4%，是为经营波动预留的安全边际，而非把目标直接设在临界点上。</w:t>
      </w:r>
    </w:p>
    <w:p w14:paraId="3DB35F44">
      <w:pPr>
        <w:pStyle w:val="4"/>
        <w:keepNext w:val="0"/>
        <w:keepLines w:val="0"/>
        <w:kinsoku/>
        <w:wordWrap/>
        <w:overflowPunct/>
        <w:topLinePunct w:val="0"/>
        <w:autoSpaceDE/>
        <w:autoSpaceDN/>
        <w:bidi w:val="0"/>
        <w:adjustRightInd/>
        <w:snapToGrid/>
        <w:spacing w:line="300" w:lineRule="auto"/>
        <w:textAlignment w:val="auto"/>
      </w:pPr>
      <w:bookmarkStart w:id="241" w:name="_Toc26722"/>
      <w:bookmarkStart w:id="242" w:name="_Toc3558"/>
      <w:r>
        <w:rPr>
          <w:rFonts w:hint="eastAsia"/>
        </w:rPr>
        <w:t>7.1.3团队扩张节奏</w:t>
      </w:r>
      <w:bookmarkEnd w:id="241"/>
      <w:bookmarkEnd w:id="242"/>
    </w:p>
    <w:p w14:paraId="06A0FB6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团队规模随业务阶段扩张，各年度的岗位配置如下。</w:t>
      </w:r>
    </w:p>
    <w:p w14:paraId="7CA71EA6">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2</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三年团队扩张节奏</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74"/>
        <w:gridCol w:w="891"/>
        <w:gridCol w:w="891"/>
        <w:gridCol w:w="891"/>
        <w:gridCol w:w="1681"/>
        <w:gridCol w:w="2972"/>
      </w:tblGrid>
      <w:tr w14:paraId="52BE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97CF11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岗位类别</w:t>
            </w:r>
          </w:p>
        </w:tc>
        <w:tc>
          <w:tcPr>
            <w:tcW w:w="60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9DA4AB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第一年</w:t>
            </w:r>
          </w:p>
        </w:tc>
        <w:tc>
          <w:tcPr>
            <w:tcW w:w="60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7FD56B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第二年</w:t>
            </w:r>
          </w:p>
        </w:tc>
        <w:tc>
          <w:tcPr>
            <w:tcW w:w="60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4D3330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第三年</w:t>
            </w:r>
          </w:p>
        </w:tc>
        <w:tc>
          <w:tcPr>
            <w:tcW w:w="189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E28D07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增量来源</w:t>
            </w:r>
          </w:p>
        </w:tc>
        <w:tc>
          <w:tcPr>
            <w:tcW w:w="352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7F88C6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说明</w:t>
            </w:r>
          </w:p>
        </w:tc>
      </w:tr>
      <w:tr w14:paraId="7C155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B182A4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研发与算法</w:t>
            </w:r>
          </w:p>
        </w:tc>
        <w:tc>
          <w:tcPr>
            <w:tcW w:w="60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A2AC38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w:t>
            </w:r>
          </w:p>
        </w:tc>
        <w:tc>
          <w:tcPr>
            <w:tcW w:w="60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C39747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7</w:t>
            </w:r>
          </w:p>
        </w:tc>
        <w:tc>
          <w:tcPr>
            <w:tcW w:w="60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DF18B6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8</w:t>
            </w:r>
          </w:p>
        </w:tc>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1110F9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校内招募与社会招聘</w:t>
            </w:r>
          </w:p>
        </w:tc>
        <w:tc>
          <w:tcPr>
            <w:tcW w:w="352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1F3F72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第一年以在校成员为主，第二年起核心岗位转全职</w:t>
            </w:r>
          </w:p>
        </w:tc>
      </w:tr>
      <w:tr w14:paraId="5DA12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959A57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社区服务与交付</w:t>
            </w:r>
          </w:p>
        </w:tc>
        <w:tc>
          <w:tcPr>
            <w:tcW w:w="60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524817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w:t>
            </w:r>
          </w:p>
        </w:tc>
        <w:tc>
          <w:tcPr>
            <w:tcW w:w="60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6498CC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w:t>
            </w:r>
          </w:p>
        </w:tc>
        <w:tc>
          <w:tcPr>
            <w:tcW w:w="60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6B58AA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4</w:t>
            </w:r>
          </w:p>
        </w:tc>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3DCD50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运动康复、老年服务相关专业</w:t>
            </w:r>
          </w:p>
        </w:tc>
        <w:tc>
          <w:tcPr>
            <w:tcW w:w="352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3EEE1F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随点位数量增长，第三年4人支撑47个点位</w:t>
            </w:r>
          </w:p>
        </w:tc>
      </w:tr>
      <w:tr w14:paraId="42DFC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C04BD0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平台运维</w:t>
            </w:r>
          </w:p>
        </w:tc>
        <w:tc>
          <w:tcPr>
            <w:tcW w:w="60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A77E88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60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266350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w:t>
            </w:r>
          </w:p>
        </w:tc>
        <w:tc>
          <w:tcPr>
            <w:tcW w:w="60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BE6946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w:t>
            </w:r>
          </w:p>
        </w:tc>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7169F1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社会招聘</w:t>
            </w:r>
          </w:p>
        </w:tc>
        <w:tc>
          <w:tcPr>
            <w:tcW w:w="352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E87BE1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第二年起独立设岗，第一年由研发岗兼任</w:t>
            </w:r>
          </w:p>
        </w:tc>
      </w:tr>
      <w:tr w14:paraId="2DDE1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46A3F2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市场与合作拓展</w:t>
            </w:r>
          </w:p>
        </w:tc>
        <w:tc>
          <w:tcPr>
            <w:tcW w:w="60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70EC68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w:t>
            </w:r>
          </w:p>
        </w:tc>
        <w:tc>
          <w:tcPr>
            <w:tcW w:w="60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3BC4A8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w:t>
            </w:r>
          </w:p>
        </w:tc>
        <w:tc>
          <w:tcPr>
            <w:tcW w:w="60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A80FFE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w:t>
            </w:r>
          </w:p>
        </w:tc>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4B2FC0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社会招聘</w:t>
            </w:r>
          </w:p>
        </w:tc>
        <w:tc>
          <w:tcPr>
            <w:tcW w:w="352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D5A233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第三年为跨城区复制配置</w:t>
            </w:r>
          </w:p>
        </w:tc>
      </w:tr>
      <w:tr w14:paraId="78B4E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D952F3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管理与行政</w:t>
            </w:r>
          </w:p>
        </w:tc>
        <w:tc>
          <w:tcPr>
            <w:tcW w:w="60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7CACA5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w:t>
            </w:r>
          </w:p>
        </w:tc>
        <w:tc>
          <w:tcPr>
            <w:tcW w:w="60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1B0D10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w:t>
            </w:r>
          </w:p>
        </w:tc>
        <w:tc>
          <w:tcPr>
            <w:tcW w:w="60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63126E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w:t>
            </w:r>
          </w:p>
        </w:tc>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422163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社会招聘</w:t>
            </w:r>
          </w:p>
        </w:tc>
        <w:tc>
          <w:tcPr>
            <w:tcW w:w="352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7DD814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第一年由创始团队兼任</w:t>
            </w:r>
          </w:p>
        </w:tc>
      </w:tr>
      <w:tr w14:paraId="24F4E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1DDADA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合计</w:t>
            </w:r>
          </w:p>
        </w:tc>
        <w:tc>
          <w:tcPr>
            <w:tcW w:w="60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136BA5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12</w:t>
            </w:r>
          </w:p>
        </w:tc>
        <w:tc>
          <w:tcPr>
            <w:tcW w:w="60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33F98D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14</w:t>
            </w:r>
          </w:p>
        </w:tc>
        <w:tc>
          <w:tcPr>
            <w:tcW w:w="60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011588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19</w:t>
            </w:r>
          </w:p>
        </w:tc>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38D0FA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c>
          <w:tcPr>
            <w:tcW w:w="352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BAE6B7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r>
    </w:tbl>
    <w:p w14:paraId="01FFE821">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需要说明第一年的12人与后两年的性质差异。第一年团队为现有12名在校本科生（含中央财经大学、中国科学院大学的跨校协同成员），以课余投入为主，依托学校实验室平台开展研发，人力成本远低于市场水平。第二年起核心岗位逐步转为全职并按市场标准计薪，这是第二年固定成本大幅上升的主要原因。第三年的19人配置与第九章表9-2的岗位测算完全一致。</w:t>
      </w:r>
    </w:p>
    <w:p w14:paraId="6D85B800">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第三年社区服务与交付岗位为4人，按每社区每年约8人日的服务投入测算，47个点位对应约376人日，折合约1.7个全职当量，其余人力投入于新点位的进场拓展、培训与报告撰写，配置留有余量。</w:t>
      </w:r>
    </w:p>
    <w:p w14:paraId="32196E4A">
      <w:pPr>
        <w:pStyle w:val="3"/>
        <w:bidi w:val="0"/>
      </w:pPr>
      <w:bookmarkStart w:id="243" w:name="_Toc1542"/>
      <w:bookmarkStart w:id="244" w:name="_Toc12749"/>
      <w:r>
        <w:rPr>
          <w:rFonts w:hint="eastAsia"/>
        </w:rPr>
        <w:t>7.2财务测算</w:t>
      </w:r>
      <w:bookmarkEnd w:id="243"/>
      <w:bookmarkEnd w:id="244"/>
    </w:p>
    <w:p w14:paraId="6ED30C1F">
      <w:pPr>
        <w:pStyle w:val="4"/>
        <w:keepNext w:val="0"/>
        <w:keepLines w:val="0"/>
        <w:kinsoku/>
        <w:wordWrap/>
        <w:overflowPunct/>
        <w:topLinePunct w:val="0"/>
        <w:autoSpaceDE/>
        <w:autoSpaceDN/>
        <w:bidi w:val="0"/>
        <w:adjustRightInd/>
        <w:snapToGrid/>
        <w:spacing w:line="300" w:lineRule="auto"/>
        <w:textAlignment w:val="auto"/>
      </w:pPr>
      <w:bookmarkStart w:id="245" w:name="_Toc20264"/>
      <w:bookmarkStart w:id="246" w:name="_Toc24615"/>
      <w:r>
        <w:rPr>
          <w:rFonts w:hint="eastAsia"/>
        </w:rPr>
        <w:t>7.2.1测算基础与假设</w:t>
      </w:r>
      <w:bookmarkEnd w:id="245"/>
      <w:bookmarkEnd w:id="246"/>
    </w:p>
    <w:p w14:paraId="2C8E38CC">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全部测算建立在以下假设之上。假设分为四类：来自第四章与第五章的既定参数、基于公开市场价格的估算、税负政策口径、以及规划性假设。</w:t>
      </w:r>
    </w:p>
    <w:p w14:paraId="3A397EAB">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核心测算假设</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90"/>
        <w:gridCol w:w="1462"/>
        <w:gridCol w:w="946"/>
        <w:gridCol w:w="4902"/>
      </w:tblGrid>
      <w:tr w14:paraId="654AF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29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478C48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假设项</w:t>
            </w:r>
          </w:p>
        </w:tc>
        <w:tc>
          <w:tcPr>
            <w:tcW w:w="146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60DBDAF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取值</w:t>
            </w:r>
          </w:p>
        </w:tc>
        <w:tc>
          <w:tcPr>
            <w:tcW w:w="94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EB64EF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性质</w:t>
            </w:r>
          </w:p>
        </w:tc>
        <w:tc>
          <w:tcPr>
            <w:tcW w:w="490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90F67B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来源与说明</w:t>
            </w:r>
          </w:p>
        </w:tc>
      </w:tr>
      <w:tr w14:paraId="4AF86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9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2F1D74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单社区服务人数</w:t>
            </w:r>
          </w:p>
        </w:tc>
        <w:tc>
          <w:tcPr>
            <w:tcW w:w="146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6F4BD8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50人</w:t>
            </w:r>
          </w:p>
        </w:tc>
        <w:tc>
          <w:tcPr>
            <w:tcW w:w="94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94BD37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规划假设</w:t>
            </w:r>
          </w:p>
        </w:tc>
        <w:tc>
          <w:tcPr>
            <w:tcW w:w="490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AB24A1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每个社区点位服务的中高风险老人数，与第二章SOM测算、第四章经济模型同源。将在首个社区完成风险评估后以实际结果修正</w:t>
            </w:r>
          </w:p>
        </w:tc>
      </w:tr>
      <w:tr w14:paraId="795BF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9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C32FB5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机构版设备单价</w:t>
            </w:r>
          </w:p>
        </w:tc>
        <w:tc>
          <w:tcPr>
            <w:tcW w:w="146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DBA7CC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799元（含税）</w:t>
            </w:r>
          </w:p>
        </w:tc>
        <w:tc>
          <w:tcPr>
            <w:tcW w:w="94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4D2A44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既定参数</w:t>
            </w:r>
          </w:p>
        </w:tc>
        <w:tc>
          <w:tcPr>
            <w:tcW w:w="490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8D2B88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见第五章表5-11</w:t>
            </w:r>
          </w:p>
        </w:tc>
      </w:tr>
      <w:tr w14:paraId="5BAC8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9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213B72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平台服务订阅</w:t>
            </w:r>
          </w:p>
        </w:tc>
        <w:tc>
          <w:tcPr>
            <w:tcW w:w="146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D6E3B0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30元/台/月（含税）</w:t>
            </w:r>
          </w:p>
        </w:tc>
        <w:tc>
          <w:tcPr>
            <w:tcW w:w="94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9145E4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既定参数</w:t>
            </w:r>
          </w:p>
        </w:tc>
        <w:tc>
          <w:tcPr>
            <w:tcW w:w="490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E5B967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机构端价格</w:t>
            </w:r>
          </w:p>
        </w:tc>
      </w:tr>
      <w:tr w14:paraId="1881B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9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0882F4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机构管理服务费</w:t>
            </w:r>
          </w:p>
        </w:tc>
        <w:tc>
          <w:tcPr>
            <w:tcW w:w="146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F297B3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12000元/社区/年（含税）</w:t>
            </w:r>
          </w:p>
        </w:tc>
        <w:tc>
          <w:tcPr>
            <w:tcW w:w="94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1087A5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既定参数</w:t>
            </w:r>
          </w:p>
        </w:tc>
        <w:tc>
          <w:tcPr>
            <w:tcW w:w="490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065F9E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含季度报告、改造建议、培训与档案留档</w:t>
            </w:r>
          </w:p>
        </w:tc>
      </w:tr>
      <w:tr w14:paraId="1FFFF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9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53E560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单台物料成本</w:t>
            </w:r>
          </w:p>
        </w:tc>
        <w:tc>
          <w:tcPr>
            <w:tcW w:w="146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6C124D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493元</w:t>
            </w:r>
          </w:p>
        </w:tc>
        <w:tc>
          <w:tcPr>
            <w:tcW w:w="94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7E14FC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市场价估算</w:t>
            </w:r>
          </w:p>
        </w:tc>
        <w:tc>
          <w:tcPr>
            <w:tcW w:w="490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498D1D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小批量试产阶段（年产约1000台），见第四章表4-5。采用储气式冷气体架构后，储气罐与电磁快速阀合计占比约三成；其中气囊模组已获供应商初步报价，其余项待询价</w:t>
            </w:r>
          </w:p>
        </w:tc>
      </w:tr>
      <w:tr w14:paraId="609F1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9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9191EF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平台运维成本</w:t>
            </w:r>
          </w:p>
        </w:tc>
        <w:tc>
          <w:tcPr>
            <w:tcW w:w="146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95B050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60元/台/年</w:t>
            </w:r>
          </w:p>
        </w:tc>
        <w:tc>
          <w:tcPr>
            <w:tcW w:w="94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187567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估算</w:t>
            </w:r>
          </w:p>
        </w:tc>
        <w:tc>
          <w:tcPr>
            <w:tcW w:w="490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F0F9AA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云服务与运维分摊</w:t>
            </w:r>
          </w:p>
        </w:tc>
      </w:tr>
      <w:tr w14:paraId="3563F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9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CA27A6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服务交付成本</w:t>
            </w:r>
          </w:p>
        </w:tc>
        <w:tc>
          <w:tcPr>
            <w:tcW w:w="146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35A22D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3200元/社区/年</w:t>
            </w:r>
          </w:p>
        </w:tc>
        <w:tc>
          <w:tcPr>
            <w:tcW w:w="94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0D857A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估算</w:t>
            </w:r>
          </w:p>
        </w:tc>
        <w:tc>
          <w:tcPr>
            <w:tcW w:w="490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C3242F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约8人日，按400元/人日计</w:t>
            </w:r>
          </w:p>
        </w:tc>
      </w:tr>
      <w:tr w14:paraId="0F14F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9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1DE1AF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第三年年固定成本</w:t>
            </w:r>
          </w:p>
        </w:tc>
        <w:tc>
          <w:tcPr>
            <w:tcW w:w="146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414C66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150万元</w:t>
            </w:r>
          </w:p>
        </w:tc>
        <w:tc>
          <w:tcPr>
            <w:tcW w:w="94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3DA3E3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规划假设</w:t>
            </w:r>
          </w:p>
        </w:tc>
        <w:tc>
          <w:tcPr>
            <w:tcW w:w="490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A110E6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19人团队，见表7-5</w:t>
            </w:r>
          </w:p>
        </w:tc>
      </w:tr>
      <w:tr w14:paraId="50776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9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A86674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增值税身份与税率</w:t>
            </w:r>
          </w:p>
        </w:tc>
        <w:tc>
          <w:tcPr>
            <w:tcW w:w="146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2A0E23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小规模纳税人，征收率3%</w:t>
            </w:r>
          </w:p>
        </w:tc>
        <w:tc>
          <w:tcPr>
            <w:tcW w:w="94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A8D51E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税负口径</w:t>
            </w:r>
          </w:p>
        </w:tc>
        <w:tc>
          <w:tcPr>
            <w:tcW w:w="490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983FD5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第三年不含税销售额约250万元，低于一般纳税人500万元登记门槛，可维持小规模纳税人身份</w:t>
            </w:r>
          </w:p>
        </w:tc>
      </w:tr>
      <w:tr w14:paraId="2EABA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9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94C97E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增值税起征点</w:t>
            </w:r>
          </w:p>
        </w:tc>
        <w:tc>
          <w:tcPr>
            <w:tcW w:w="146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F144B7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季度销售额30万元以下免征</w:t>
            </w:r>
          </w:p>
        </w:tc>
        <w:tc>
          <w:tcPr>
            <w:tcW w:w="94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6367D6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税负口径</w:t>
            </w:r>
          </w:p>
        </w:tc>
        <w:tc>
          <w:tcPr>
            <w:tcW w:w="490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5C8011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按现行政策，第一、二年均在免征线内</w:t>
            </w:r>
          </w:p>
        </w:tc>
      </w:tr>
      <w:tr w14:paraId="2A6BB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9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32D808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附加税费</w:t>
            </w:r>
          </w:p>
        </w:tc>
        <w:tc>
          <w:tcPr>
            <w:tcW w:w="146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B14118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增值税额的12%，减半征收</w:t>
            </w:r>
          </w:p>
        </w:tc>
        <w:tc>
          <w:tcPr>
            <w:tcW w:w="94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D62CCB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税负口径</w:t>
            </w:r>
          </w:p>
        </w:tc>
        <w:tc>
          <w:tcPr>
            <w:tcW w:w="490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8F7BF8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城建税7%、教育费附加3%、地方教育附加2%，小规模纳税人适用六税两费减半</w:t>
            </w:r>
          </w:p>
        </w:tc>
      </w:tr>
      <w:tr w14:paraId="7F7AF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9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977F3F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企业所得税</w:t>
            </w:r>
          </w:p>
        </w:tc>
        <w:tc>
          <w:tcPr>
            <w:tcW w:w="146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62C115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前期亏损结转弥补</w:t>
            </w:r>
          </w:p>
        </w:tc>
        <w:tc>
          <w:tcPr>
            <w:tcW w:w="94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1DFDEB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税负口径</w:t>
            </w:r>
          </w:p>
        </w:tc>
        <w:tc>
          <w:tcPr>
            <w:tcW w:w="490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79B31F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前两年累计亏损可向后结转5年弥补，第三年弥补后应纳税所得额为负</w:t>
            </w:r>
          </w:p>
        </w:tc>
      </w:tr>
    </w:tbl>
    <w:p w14:paraId="7436E81A">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关于定价口径的说明</w:t>
      </w:r>
    </w:p>
    <w:p w14:paraId="2856434B">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章及第四、五章所列799元、30元/月、12000元/年均为含税价。在利润预测中，第三年按3%征收率做价税分离，以不含税金额确认营业收入；增值税为价外税，不计入损益，真正计入损益的是税金及附加。第一、二年因销售额未达起征点而免征增值税，该两年的含税收入与不含税收入相等。</w:t>
      </w:r>
    </w:p>
    <w:p w14:paraId="51111259">
      <w:pPr>
        <w:pStyle w:val="4"/>
        <w:keepNext w:val="0"/>
        <w:keepLines w:val="0"/>
        <w:kinsoku/>
        <w:wordWrap/>
        <w:overflowPunct/>
        <w:topLinePunct w:val="0"/>
        <w:autoSpaceDE/>
        <w:autoSpaceDN/>
        <w:bidi w:val="0"/>
        <w:adjustRightInd/>
        <w:snapToGrid/>
        <w:spacing w:line="300" w:lineRule="auto"/>
        <w:textAlignment w:val="auto"/>
      </w:pPr>
      <w:bookmarkStart w:id="247" w:name="_Toc23281"/>
      <w:bookmarkStart w:id="248" w:name="_Toc27380"/>
      <w:r>
        <w:rPr>
          <w:rFonts w:hint="eastAsia"/>
        </w:rPr>
        <w:t>7.2.2单位经济模型</w:t>
      </w:r>
      <w:bookmarkEnd w:id="247"/>
      <w:bookmarkEnd w:id="248"/>
    </w:p>
    <w:p w14:paraId="787BA1EF">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以一个社区点位为单元，区分首年与稳态年两种状态。首年包含设备销售，稳态年仅有服务性收入。</w:t>
      </w:r>
    </w:p>
    <w:p w14:paraId="4D39987B">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单社区经济模型（50台规模，含税口径）</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4"/>
        <w:gridCol w:w="1548"/>
        <w:gridCol w:w="1548"/>
        <w:gridCol w:w="3440"/>
      </w:tblGrid>
      <w:tr w14:paraId="177AA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1B469B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项目</w:t>
            </w:r>
          </w:p>
        </w:tc>
        <w:tc>
          <w:tcPr>
            <w:tcW w:w="154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690DEBE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首年（元）</w:t>
            </w:r>
          </w:p>
        </w:tc>
        <w:tc>
          <w:tcPr>
            <w:tcW w:w="154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849730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稳态年（元）</w:t>
            </w:r>
          </w:p>
        </w:tc>
        <w:tc>
          <w:tcPr>
            <w:tcW w:w="344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4B69CA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计算方式</w:t>
            </w:r>
          </w:p>
        </w:tc>
      </w:tr>
      <w:tr w14:paraId="7C9D7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12B2FE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设备销售收入</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480F3F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39950</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70EE64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344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C54254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50台乘799元</w:t>
            </w:r>
          </w:p>
        </w:tc>
      </w:tr>
      <w:tr w14:paraId="348D3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182334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平台订阅收入</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62592D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18000</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C87843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18000</w:t>
            </w:r>
          </w:p>
        </w:tc>
        <w:tc>
          <w:tcPr>
            <w:tcW w:w="344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7BA2CE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50台乘30元乘12个月</w:t>
            </w:r>
          </w:p>
        </w:tc>
      </w:tr>
      <w:tr w14:paraId="76ABD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7657D3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机构服务收入</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A7E44B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12000</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579D29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12000</w:t>
            </w:r>
          </w:p>
        </w:tc>
        <w:tc>
          <w:tcPr>
            <w:tcW w:w="344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209CFB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按社区计</w:t>
            </w:r>
          </w:p>
        </w:tc>
      </w:tr>
      <w:tr w14:paraId="791D9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425E74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含税收入合计</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6749A6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69950</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547DEE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30000</w:t>
            </w:r>
          </w:p>
        </w:tc>
        <w:tc>
          <w:tcPr>
            <w:tcW w:w="344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A76A7C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r>
      <w:tr w14:paraId="1075B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BEA4AC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设备成本</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2941B0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24650</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5CFEDB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344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23D686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50台乘493元</w:t>
            </w:r>
          </w:p>
        </w:tc>
      </w:tr>
      <w:tr w14:paraId="7DDEA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B6C975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平台运维成本</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01E073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3000</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15139B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3000</w:t>
            </w:r>
          </w:p>
        </w:tc>
        <w:tc>
          <w:tcPr>
            <w:tcW w:w="344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C0B347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50台乘60元</w:t>
            </w:r>
          </w:p>
        </w:tc>
      </w:tr>
      <w:tr w14:paraId="6DFD0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2F4C48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服务交付成本</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21BD64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3200</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FCD003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3200</w:t>
            </w:r>
          </w:p>
        </w:tc>
        <w:tc>
          <w:tcPr>
            <w:tcW w:w="344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7D5FDE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约8人日乘400元</w:t>
            </w:r>
          </w:p>
        </w:tc>
      </w:tr>
      <w:tr w14:paraId="3D2FE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F60902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直接成本合计</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6C0F54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30850</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C2C49D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6200</w:t>
            </w:r>
          </w:p>
        </w:tc>
        <w:tc>
          <w:tcPr>
            <w:tcW w:w="344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A82C59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r>
      <w:tr w14:paraId="3FA16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E5E1A5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毛利（不计税）</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63904C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39100</w:t>
            </w:r>
          </w:p>
        </w:tc>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FF2ADF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23800</w:t>
            </w:r>
          </w:p>
        </w:tc>
        <w:tc>
          <w:tcPr>
            <w:tcW w:w="344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F1508F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r>
      <w:tr w14:paraId="2664A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A2FEAE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毛利率（不计税）</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3A4893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55.9%</w:t>
            </w:r>
          </w:p>
        </w:tc>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FAD4D2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79.3%</w:t>
            </w:r>
          </w:p>
        </w:tc>
        <w:tc>
          <w:tcPr>
            <w:tcW w:w="344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6873A7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r>
    </w:tbl>
    <w:p w14:paraId="01B0DD33">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模型呈现的结构特征是本项目商业性质的关键：首年收入以设备为主，毛利率约56%；稳态年收入全部来自服务，毛利率升至79%，且边际成本很低。这意味着盈利能力随社区点位数量增长，而非随设备销量增长——本项目在商业上更接近服务商而非硬件厂商。</w:t>
      </w:r>
    </w:p>
    <w:p w14:paraId="6E29F541">
      <w:pPr>
        <w:pStyle w:val="4"/>
        <w:keepNext w:val="0"/>
        <w:keepLines w:val="0"/>
        <w:kinsoku/>
        <w:wordWrap/>
        <w:overflowPunct/>
        <w:topLinePunct w:val="0"/>
        <w:autoSpaceDE/>
        <w:autoSpaceDN/>
        <w:bidi w:val="0"/>
        <w:adjustRightInd/>
        <w:snapToGrid/>
        <w:spacing w:line="300" w:lineRule="auto"/>
        <w:textAlignment w:val="auto"/>
      </w:pPr>
      <w:bookmarkStart w:id="249" w:name="_Toc23031"/>
      <w:bookmarkStart w:id="250" w:name="_Toc7409"/>
      <w:r>
        <w:rPr>
          <w:rFonts w:hint="eastAsia"/>
        </w:rPr>
        <w:t>7.2.3年固定成本测算</w:t>
      </w:r>
      <w:bookmarkEnd w:id="249"/>
      <w:bookmarkEnd w:id="250"/>
    </w:p>
    <w:p w14:paraId="4AD9F21B">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三年年固定成本测算</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18"/>
        <w:gridCol w:w="891"/>
        <w:gridCol w:w="995"/>
        <w:gridCol w:w="995"/>
        <w:gridCol w:w="3801"/>
      </w:tblGrid>
      <w:tr w14:paraId="53EB0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45F580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成本项</w:t>
            </w:r>
          </w:p>
        </w:tc>
        <w:tc>
          <w:tcPr>
            <w:tcW w:w="77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99B61C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第一年</w:t>
            </w:r>
          </w:p>
        </w:tc>
        <w:tc>
          <w:tcPr>
            <w:tcW w:w="77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DCC118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第二年</w:t>
            </w:r>
          </w:p>
        </w:tc>
        <w:tc>
          <w:tcPr>
            <w:tcW w:w="77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6DBAC5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第三年</w:t>
            </w:r>
          </w:p>
        </w:tc>
        <w:tc>
          <w:tcPr>
            <w:tcW w:w="421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6174BB9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说明</w:t>
            </w:r>
          </w:p>
        </w:tc>
      </w:tr>
      <w:tr w14:paraId="33288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3A564A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人员成本（万元）</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4CD5BE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12</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7C34B9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62</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20397A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96</w:t>
            </w:r>
          </w:p>
        </w:tc>
        <w:tc>
          <w:tcPr>
            <w:tcW w:w="421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B491A3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第一年为在校成员的补贴与劳务；第二、三年按全职岗位市场标准计</w:t>
            </w:r>
          </w:p>
        </w:tc>
      </w:tr>
      <w:tr w14:paraId="0D203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25894B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研发与实验（万元）</w:t>
            </w:r>
          </w:p>
        </w:tc>
        <w:tc>
          <w:tcPr>
            <w:tcW w:w="77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221BAC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16</w:t>
            </w:r>
          </w:p>
        </w:tc>
        <w:tc>
          <w:tcPr>
            <w:tcW w:w="77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E37527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18</w:t>
            </w:r>
          </w:p>
        </w:tc>
        <w:tc>
          <w:tcPr>
            <w:tcW w:w="77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BB423A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18</w:t>
            </w:r>
          </w:p>
        </w:tc>
        <w:tc>
          <w:tcPr>
            <w:tcW w:w="421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9938E4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材料、器件、试制、测试与数据采集</w:t>
            </w:r>
          </w:p>
        </w:tc>
      </w:tr>
      <w:tr w14:paraId="2289A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394C49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市场与社区拓展（万元）</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8EE998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9558A5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12</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3F8DBE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18</w:t>
            </w:r>
          </w:p>
        </w:tc>
        <w:tc>
          <w:tcPr>
            <w:tcW w:w="421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1EFF00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进场物料、活动组织、差旅</w:t>
            </w:r>
          </w:p>
        </w:tc>
      </w:tr>
      <w:tr w14:paraId="4484F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088A04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行政与其他（万元）</w:t>
            </w:r>
          </w:p>
        </w:tc>
        <w:tc>
          <w:tcPr>
            <w:tcW w:w="77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48CB65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w:t>
            </w:r>
          </w:p>
        </w:tc>
        <w:tc>
          <w:tcPr>
            <w:tcW w:w="77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1E0838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8</w:t>
            </w:r>
          </w:p>
        </w:tc>
        <w:tc>
          <w:tcPr>
            <w:tcW w:w="77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8F727A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18</w:t>
            </w:r>
          </w:p>
        </w:tc>
        <w:tc>
          <w:tcPr>
            <w:tcW w:w="421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DA832F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办公、注册、审计、知识产权维持</w:t>
            </w:r>
          </w:p>
        </w:tc>
      </w:tr>
      <w:tr w14:paraId="01639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C2C01E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合计（万元）</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036439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40</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04663B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100</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A6CC44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150</w:t>
            </w:r>
          </w:p>
        </w:tc>
        <w:tc>
          <w:tcPr>
            <w:tcW w:w="421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F65FD8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r>
    </w:tbl>
    <w:p w14:paraId="692A3F5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第一年成本显著低于后两年，原因是团队依托学校实验室平台开展研发，且成员以课余投入为主，不承担市场化薪酬。这一优势在第二年起随全职化而消失，测算中已如实体现。</w:t>
      </w:r>
    </w:p>
    <w:p w14:paraId="3F7F6240">
      <w:pPr>
        <w:pStyle w:val="4"/>
        <w:keepNext w:val="0"/>
        <w:keepLines w:val="0"/>
        <w:kinsoku/>
        <w:wordWrap/>
        <w:overflowPunct/>
        <w:topLinePunct w:val="0"/>
        <w:autoSpaceDE/>
        <w:autoSpaceDN/>
        <w:bidi w:val="0"/>
        <w:adjustRightInd/>
        <w:snapToGrid/>
        <w:spacing w:line="300" w:lineRule="auto"/>
        <w:textAlignment w:val="auto"/>
      </w:pPr>
      <w:bookmarkStart w:id="251" w:name="_Toc30206"/>
      <w:bookmarkStart w:id="252" w:name="_Toc19446"/>
      <w:r>
        <w:rPr>
          <w:rFonts w:hint="eastAsia"/>
        </w:rPr>
        <w:t>7.2.4税负测算</w:t>
      </w:r>
      <w:bookmarkEnd w:id="251"/>
      <w:bookmarkEnd w:id="252"/>
    </w:p>
    <w:p w14:paraId="52EA031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多数早期项目的财务预测中没有税，这会使利润数字系统性偏高。本节单独测算本项目三年内的实际税负，口径与假设均列示于下。</w:t>
      </w:r>
    </w:p>
    <w:p w14:paraId="2032BD02">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三个税种的判断</w:t>
      </w:r>
    </w:p>
    <w:p w14:paraId="22884385">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增值税。本项目第三年不含税销售额约250万元，低于一般纳税人500万元的强制登记门槛，可维持小规模纳税人身份，按3%征收率简易计征。按现行政策，小规模纳税人季度销售额30万元以下免征增值税——第一年年收入7.0万元、第二年59.0万元（季度均值约14.7万元）均在免征线内，故前两年增值税为零；第三年含税收入292.8万元，季度均值约73.2万元，超过起征点，开始缴纳。</w:t>
      </w:r>
    </w:p>
    <w:p w14:paraId="65ADB8AB">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城市维护建设税及教育费附加。以实际缴纳的增值税额为计税依据，合计比率12%（城建税7%、教育费附加3%、地方教育附加2%），小规模纳税人适用六税两费减半征收，实际按6%计。此项计入税金及附加，是三个税种中唯一直接影响损益的。</w:t>
      </w:r>
    </w:p>
    <w:p w14:paraId="518DA712">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企业所得税。本项目第一、二年累计亏损102.4万元。按税法规定，企业纳税年度发生的亏损可向以后年度结转，最长不超过5年。第三年利润总额约11.0万元，用以弥补前期亏损后应纳税所得额仍为负，因此第三年企业所得税为零。预计需至第四或第五年累计利润覆盖前期亏损后，方开始产生企业所得税。</w:t>
      </w:r>
    </w:p>
    <w:p w14:paraId="44D3EF7D">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三年税负测算</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8"/>
        <w:gridCol w:w="891"/>
        <w:gridCol w:w="891"/>
        <w:gridCol w:w="1100"/>
        <w:gridCol w:w="3650"/>
      </w:tblGrid>
      <w:tr w14:paraId="64D29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23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542096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税种</w:t>
            </w:r>
          </w:p>
        </w:tc>
        <w:tc>
          <w:tcPr>
            <w:tcW w:w="77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1DCBFA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第一年</w:t>
            </w:r>
          </w:p>
        </w:tc>
        <w:tc>
          <w:tcPr>
            <w:tcW w:w="77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CD38B4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第二年</w:t>
            </w:r>
          </w:p>
        </w:tc>
        <w:tc>
          <w:tcPr>
            <w:tcW w:w="77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5C9E35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第三年</w:t>
            </w:r>
          </w:p>
        </w:tc>
        <w:tc>
          <w:tcPr>
            <w:tcW w:w="404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52804A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计税依据与说明</w:t>
            </w:r>
          </w:p>
        </w:tc>
      </w:tr>
      <w:tr w14:paraId="2E0A0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3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A0B51F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增值税（万元）</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7625F0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0D0FBA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E34399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8.5</w:t>
            </w:r>
          </w:p>
        </w:tc>
        <w:tc>
          <w:tcPr>
            <w:tcW w:w="404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898614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第三年不含税收入284.3万元乘3%；前两年未达起征点免征</w:t>
            </w:r>
          </w:p>
        </w:tc>
      </w:tr>
      <w:tr w14:paraId="4914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3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363323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税金及附加（万元）</w:t>
            </w:r>
          </w:p>
        </w:tc>
        <w:tc>
          <w:tcPr>
            <w:tcW w:w="77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E1C385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77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11322E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77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AA0353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0.51</w:t>
            </w:r>
          </w:p>
        </w:tc>
        <w:tc>
          <w:tcPr>
            <w:tcW w:w="404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42AF7F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增值税额乘12%再减半</w:t>
            </w:r>
          </w:p>
        </w:tc>
      </w:tr>
      <w:tr w14:paraId="05CEE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3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6E2581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企业所得税（万元）</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D12E6D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DA3938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7AB4CE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404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36D959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弥补前两年累计亏损102.4万元后，应纳税所得额为负</w:t>
            </w:r>
          </w:p>
        </w:tc>
      </w:tr>
      <w:tr w14:paraId="565A9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3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1A892D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印花税（万元）</w:t>
            </w:r>
          </w:p>
        </w:tc>
        <w:tc>
          <w:tcPr>
            <w:tcW w:w="77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AF16F4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微</w:t>
            </w:r>
          </w:p>
        </w:tc>
        <w:tc>
          <w:tcPr>
            <w:tcW w:w="77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DD4362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微</w:t>
            </w:r>
          </w:p>
        </w:tc>
        <w:tc>
          <w:tcPr>
            <w:tcW w:w="77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F00C8E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约0.09</w:t>
            </w:r>
          </w:p>
        </w:tc>
        <w:tc>
          <w:tcPr>
            <w:tcW w:w="404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5F975A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购销合同按万分之三，金额较小，并入行政费用</w:t>
            </w:r>
          </w:p>
        </w:tc>
      </w:tr>
      <w:tr w14:paraId="2889C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3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99E814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计入损益的税负合计（万元）</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7CCF11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FF7358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7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64B1E2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约0.51</w:t>
            </w:r>
          </w:p>
        </w:tc>
        <w:tc>
          <w:tcPr>
            <w:tcW w:w="404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57E294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增值税为价外税，不计入损益</w:t>
            </w:r>
          </w:p>
        </w:tc>
      </w:tr>
    </w:tbl>
    <w:p w14:paraId="7DD80482">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一条必须写明的政策风险</w:t>
      </w:r>
    </w:p>
    <w:p w14:paraId="73700A9F">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上述测算中，小规模纳税人季度30万元以下免征增值税、六税两费减半征收两项优惠，按现行政策执行至2027年12月31日。本项目第三年对应2028年下半年至2029年上半年，届时政策是否延续尚不确定。本章按现行政策测算，若政策调整，第三年税负将相应上升，测算随之更新。需要说明的是，即便完全取消上述优惠，增值税及附加的增加额在十万元量级以内，不改变本章关于盈亏平衡所需点位数的基本结论。</w:t>
      </w:r>
    </w:p>
    <w:p w14:paraId="1B136116">
      <w:pPr>
        <w:pStyle w:val="4"/>
        <w:keepNext w:val="0"/>
        <w:keepLines w:val="0"/>
        <w:kinsoku/>
        <w:wordWrap/>
        <w:overflowPunct/>
        <w:topLinePunct w:val="0"/>
        <w:autoSpaceDE/>
        <w:autoSpaceDN/>
        <w:bidi w:val="0"/>
        <w:adjustRightInd/>
        <w:snapToGrid/>
        <w:spacing w:line="300" w:lineRule="auto"/>
        <w:textAlignment w:val="auto"/>
      </w:pPr>
      <w:bookmarkStart w:id="253" w:name="_Toc11066"/>
      <w:bookmarkStart w:id="254" w:name="_Toc26168"/>
      <w:r>
        <w:rPr>
          <w:rFonts w:hint="eastAsia"/>
        </w:rPr>
        <w:t>7.2.5三年收入与利润预测</w:t>
      </w:r>
      <w:bookmarkEnd w:id="253"/>
      <w:bookmarkEnd w:id="254"/>
    </w:p>
    <w:p w14:paraId="22786C82">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按各年度新增点位与存量点位分别计算。新增点位按首年模型计，存量点位按稳态年模型计。第三年因超过增值税起征点，需做价税分离。</w:t>
      </w:r>
    </w:p>
    <w:p w14:paraId="4A25806B">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三年收入与利润预测</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4"/>
        <w:gridCol w:w="1205"/>
        <w:gridCol w:w="1205"/>
        <w:gridCol w:w="1205"/>
        <w:gridCol w:w="3011"/>
      </w:tblGrid>
      <w:tr w14:paraId="3D3BE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15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21E122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项目</w:t>
            </w:r>
          </w:p>
        </w:tc>
        <w:tc>
          <w:tcPr>
            <w:tcW w:w="10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C1C24E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第一年</w:t>
            </w:r>
          </w:p>
        </w:tc>
        <w:tc>
          <w:tcPr>
            <w:tcW w:w="10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686F19A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第二年</w:t>
            </w:r>
          </w:p>
        </w:tc>
        <w:tc>
          <w:tcPr>
            <w:tcW w:w="10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D1D229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第三年</w:t>
            </w:r>
          </w:p>
        </w:tc>
        <w:tc>
          <w:tcPr>
            <w:tcW w:w="335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A00F75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计算方式</w:t>
            </w:r>
          </w:p>
        </w:tc>
      </w:tr>
      <w:tr w14:paraId="7B007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5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DB698A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新增点位（个）</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59DFA9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181EB7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8</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E7028A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38</w:t>
            </w:r>
          </w:p>
        </w:tc>
        <w:tc>
          <w:tcPr>
            <w:tcW w:w="335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FD10D0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r>
      <w:tr w14:paraId="53269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5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021CD7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存量点位（个）</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636F11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86BAAF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FA47D1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9</w:t>
            </w:r>
          </w:p>
        </w:tc>
        <w:tc>
          <w:tcPr>
            <w:tcW w:w="335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B89EE0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上年度累计</w:t>
            </w:r>
          </w:p>
        </w:tc>
      </w:tr>
      <w:tr w14:paraId="2B4FC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5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F7746E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累计点位（个）</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917125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6C2C2C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9</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D11D46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47</w:t>
            </w:r>
          </w:p>
        </w:tc>
        <w:tc>
          <w:tcPr>
            <w:tcW w:w="335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C5C691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r>
      <w:tr w14:paraId="750EE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5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F4BB22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新增点位含税收入（万元）</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8155E9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7.0</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3439E7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56.0</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420D41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265.8</w:t>
            </w:r>
          </w:p>
        </w:tc>
        <w:tc>
          <w:tcPr>
            <w:tcW w:w="335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BF2F63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新增数乘69950元</w:t>
            </w:r>
          </w:p>
        </w:tc>
      </w:tr>
      <w:tr w14:paraId="59BEC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5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EAB7C1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存量点位含税收入（万元）</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B74FC8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4F1DF8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3.0</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91403A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27.0</w:t>
            </w:r>
          </w:p>
        </w:tc>
        <w:tc>
          <w:tcPr>
            <w:tcW w:w="335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1F7BD0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存量数乘30000元</w:t>
            </w:r>
          </w:p>
        </w:tc>
      </w:tr>
      <w:tr w14:paraId="32240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5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47DFB8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含税收入合计（万元）</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0FADE4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7.0</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9A1463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59.0</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E38B05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292.8</w:t>
            </w:r>
          </w:p>
        </w:tc>
        <w:tc>
          <w:tcPr>
            <w:tcW w:w="335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03D533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r>
      <w:tr w14:paraId="0891D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5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9434C2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应纳增值税（万元）</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6E3715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A0D1D2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B9136A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8.5</w:t>
            </w:r>
          </w:p>
        </w:tc>
        <w:tc>
          <w:tcPr>
            <w:tcW w:w="335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3691A5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第三年含税收入除以1.03再乘3%</w:t>
            </w:r>
          </w:p>
        </w:tc>
      </w:tr>
      <w:tr w14:paraId="7DC4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5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A1A762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营业收入（不含税，万元）</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452484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7.0</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BF9178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59.0</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5B9860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284.3</w:t>
            </w:r>
          </w:p>
        </w:tc>
        <w:tc>
          <w:tcPr>
            <w:tcW w:w="335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407DDD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前两年免征，含税等于不含税</w:t>
            </w:r>
          </w:p>
        </w:tc>
      </w:tr>
      <w:tr w14:paraId="2BF4D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5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026EBD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直接成本（万元）</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1EFB42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3.1</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BF684A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25.3</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F0DEE6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122.8</w:t>
            </w:r>
          </w:p>
        </w:tc>
        <w:tc>
          <w:tcPr>
            <w:tcW w:w="335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FF4329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按单位模型直接成本计</w:t>
            </w:r>
          </w:p>
        </w:tc>
      </w:tr>
      <w:tr w14:paraId="791E3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5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851551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毛利（万元）</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8218CA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3.9</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04E4D5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33.7</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DB7168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161.5</w:t>
            </w:r>
          </w:p>
        </w:tc>
        <w:tc>
          <w:tcPr>
            <w:tcW w:w="335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096F8D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r>
      <w:tr w14:paraId="49959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5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B35413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毛利率</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240D7D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55.9%</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ACD9CE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57.1%</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F1CB0C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56.8%</w:t>
            </w:r>
          </w:p>
        </w:tc>
        <w:tc>
          <w:tcPr>
            <w:tcW w:w="335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02AE9F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r>
      <w:tr w14:paraId="002AE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5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60B25E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税金及附加（万元）</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F63D5D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FFCB24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5F27D3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0.51</w:t>
            </w:r>
          </w:p>
        </w:tc>
        <w:tc>
          <w:tcPr>
            <w:tcW w:w="335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3F79AB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见表7-6</w:t>
            </w:r>
          </w:p>
        </w:tc>
      </w:tr>
      <w:tr w14:paraId="45C5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5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88751D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固定成本（万元）</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E0D8A1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40.0</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74370F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100.0</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31F917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150.0</w:t>
            </w:r>
          </w:p>
        </w:tc>
        <w:tc>
          <w:tcPr>
            <w:tcW w:w="335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C0F3EC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见表7-5</w:t>
            </w:r>
          </w:p>
        </w:tc>
      </w:tr>
      <w:tr w14:paraId="6A549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5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29FE05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利润总额（万元）</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0AEC9D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-36.1</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D04957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-66.3</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A0839C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11.0</w:t>
            </w:r>
          </w:p>
        </w:tc>
        <w:tc>
          <w:tcPr>
            <w:tcW w:w="335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7E365D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r>
      <w:tr w14:paraId="2F588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5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7A9972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企业所得税（万元）</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BE4F96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0954AE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039BB2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0</w:t>
            </w:r>
          </w:p>
        </w:tc>
        <w:tc>
          <w:tcPr>
            <w:tcW w:w="335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A841B6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弥补前期亏损后为负</w:t>
            </w:r>
          </w:p>
        </w:tc>
      </w:tr>
      <w:tr w14:paraId="25FE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5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E2ECF1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净利润（万元）</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0A7DC1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-36.1</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9DA10F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-66.3</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03EC97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11.0</w:t>
            </w:r>
          </w:p>
        </w:tc>
        <w:tc>
          <w:tcPr>
            <w:tcW w:w="335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8247E1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r>
    </w:tbl>
    <w:p w14:paraId="583D77E6">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测算结果如实呈现：前两年均为亏损，第三年实现小幅盈利。第一年亏损36.1万元；第二年因团队全职化导致固定成本翻倍、而点位数量尚未跟上，亏损扩大至66.3万元；第三年随点位规模达到47个，越过45个点位的盈亏平衡线，当年净利润约11.0万元。三年累计净亏损约91.5万元。</w:t>
      </w:r>
    </w:p>
    <w:p w14:paraId="78394DD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这条曲线不好看，但它是本项目商业模型的真实形状。服务型业务的特征就是前期投入集中、收入随点位线性积累，不存在一夜起量的可能。把第三年画成盈利数百万，只会在评审现场引出无法回答的追问。</w:t>
      </w:r>
    </w:p>
    <w:p w14:paraId="798318AB">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关于第三年盈利水平的说明</w:t>
      </w:r>
    </w:p>
    <w:p w14:paraId="44935B5D">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第三年净利润11.0万元，相对于284万元的营业收入，净利率约3.9%。这个数字很薄，原因是固定成本中的人员成本（96万元）在这一规模下仍占比很高。本项目真正的盈利能力要到点位数量进一步摊薄固定成本之后才会体现——这正是服务型业务的规模效应所在，也是第三年之后继续扩张的商业理由。</w:t>
      </w:r>
    </w:p>
    <w:p w14:paraId="67F4C041">
      <w:pPr>
        <w:pStyle w:val="4"/>
        <w:keepNext w:val="0"/>
        <w:keepLines w:val="0"/>
        <w:kinsoku/>
        <w:wordWrap/>
        <w:overflowPunct/>
        <w:topLinePunct w:val="0"/>
        <w:autoSpaceDE/>
        <w:autoSpaceDN/>
        <w:bidi w:val="0"/>
        <w:adjustRightInd/>
        <w:snapToGrid/>
        <w:spacing w:line="300" w:lineRule="auto"/>
        <w:textAlignment w:val="auto"/>
      </w:pPr>
      <w:bookmarkStart w:id="255" w:name="_Toc25102"/>
      <w:bookmarkStart w:id="256" w:name="_Toc20071"/>
      <w:r>
        <w:rPr>
          <w:rFonts w:hint="eastAsia"/>
        </w:rPr>
        <w:t>7.2.6盈亏平衡分析</w:t>
      </w:r>
      <w:bookmarkEnd w:id="255"/>
      <w:bookmarkEnd w:id="256"/>
    </w:p>
    <w:p w14:paraId="1379EF86">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盈亏平衡的计算需扣除税负后进行。先给出单个点位扣税后的年度净贡献。</w:t>
      </w:r>
    </w:p>
    <w:p w14:paraId="310D2DFD">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8</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单点位扣税后年度净贡献（单位：元）</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1"/>
        <w:gridCol w:w="1205"/>
        <w:gridCol w:w="1205"/>
        <w:gridCol w:w="1205"/>
        <w:gridCol w:w="1205"/>
        <w:gridCol w:w="1100"/>
        <w:gridCol w:w="995"/>
        <w:gridCol w:w="1205"/>
      </w:tblGrid>
      <w:tr w14:paraId="3A7DA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0350DF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点位类型</w:t>
            </w:r>
          </w:p>
        </w:tc>
        <w:tc>
          <w:tcPr>
            <w:tcW w:w="10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140E56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含税收入</w:t>
            </w:r>
          </w:p>
        </w:tc>
        <w:tc>
          <w:tcPr>
            <w:tcW w:w="111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0E3880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不含税收入</w:t>
            </w:r>
          </w:p>
        </w:tc>
        <w:tc>
          <w:tcPr>
            <w:tcW w:w="10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71DA0F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直接成本</w:t>
            </w:r>
          </w:p>
        </w:tc>
        <w:tc>
          <w:tcPr>
            <w:tcW w:w="10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627A4C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毛利</w:t>
            </w:r>
          </w:p>
        </w:tc>
        <w:tc>
          <w:tcPr>
            <w:tcW w:w="94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8C4697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增值税</w:t>
            </w:r>
          </w:p>
        </w:tc>
        <w:tc>
          <w:tcPr>
            <w:tcW w:w="111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A6C2A2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税金及附加</w:t>
            </w:r>
          </w:p>
        </w:tc>
        <w:tc>
          <w:tcPr>
            <w:tcW w:w="111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4DB3CE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年度净贡献</w:t>
            </w:r>
          </w:p>
        </w:tc>
      </w:tr>
      <w:tr w14:paraId="157CC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40A32A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首年点位</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FE4ADF5">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69950</w:t>
            </w:r>
          </w:p>
        </w:tc>
        <w:tc>
          <w:tcPr>
            <w:tcW w:w="11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AF597B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67913</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3B319E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30850</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FCB7FC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37063</w:t>
            </w:r>
          </w:p>
        </w:tc>
        <w:tc>
          <w:tcPr>
            <w:tcW w:w="94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769C80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2037</w:t>
            </w:r>
          </w:p>
        </w:tc>
        <w:tc>
          <w:tcPr>
            <w:tcW w:w="11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663F24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122</w:t>
            </w:r>
          </w:p>
        </w:tc>
        <w:tc>
          <w:tcPr>
            <w:tcW w:w="11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35D99A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36940</w:t>
            </w:r>
          </w:p>
        </w:tc>
      </w:tr>
      <w:tr w14:paraId="17423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0033A7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稳态点位</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C13A2D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30000</w:t>
            </w:r>
          </w:p>
        </w:tc>
        <w:tc>
          <w:tcPr>
            <w:tcW w:w="11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7C0BBA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29126</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AB6F30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6200</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4C1F2C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22926</w:t>
            </w:r>
          </w:p>
        </w:tc>
        <w:tc>
          <w:tcPr>
            <w:tcW w:w="94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D3F577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874</w:t>
            </w:r>
          </w:p>
        </w:tc>
        <w:tc>
          <w:tcPr>
            <w:tcW w:w="11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E74A08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52</w:t>
            </w:r>
          </w:p>
        </w:tc>
        <w:tc>
          <w:tcPr>
            <w:tcW w:w="11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08D77C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22874</w:t>
            </w:r>
          </w:p>
        </w:tc>
      </w:tr>
    </w:tbl>
    <w:p w14:paraId="7D9B592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以第三年的实际点位结构求解：设存量点位9个、新增点位N个，令年度净贡献合计等于年固定成本150万元，即9乘22874元加N乘36940元等于1500000元，解得N约为35.0，取整为36。</w:t>
      </w:r>
    </w:p>
    <w:p w14:paraId="40425DD7">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9</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盈亏平衡点测算</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0"/>
        <w:gridCol w:w="1376"/>
        <w:gridCol w:w="1376"/>
        <w:gridCol w:w="3268"/>
      </w:tblGrid>
      <w:tr w14:paraId="668C4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58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C9CA330">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情形</w:t>
            </w:r>
          </w:p>
        </w:tc>
        <w:tc>
          <w:tcPr>
            <w:tcW w:w="137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E67219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所需点位数</w:t>
            </w:r>
          </w:p>
        </w:tc>
        <w:tc>
          <w:tcPr>
            <w:tcW w:w="137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A128FE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海淀区内渗透率</w:t>
            </w:r>
          </w:p>
        </w:tc>
        <w:tc>
          <w:tcPr>
            <w:tcW w:w="326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28D6FF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计算方式</w:t>
            </w:r>
          </w:p>
        </w:tc>
      </w:tr>
      <w:tr w14:paraId="426C7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C1DC43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全部为新增点位</w:t>
            </w:r>
          </w:p>
        </w:tc>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C0E555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约41个</w:t>
            </w:r>
          </w:p>
        </w:tc>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99319B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22.8%</w:t>
            </w:r>
          </w:p>
        </w:tc>
        <w:tc>
          <w:tcPr>
            <w:tcW w:w="326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20FC15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150万元除以单点位首年净贡献36940元</w:t>
            </w:r>
          </w:p>
        </w:tc>
      </w:tr>
      <w:tr w14:paraId="4B50B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9A8D09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全部为存量点位</w:t>
            </w:r>
          </w:p>
        </w:tc>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A9EDA1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约66个</w:t>
            </w:r>
          </w:p>
        </w:tc>
        <w:tc>
          <w:tcPr>
            <w:tcW w:w="13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1146E4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36.7%</w:t>
            </w:r>
          </w:p>
        </w:tc>
        <w:tc>
          <w:tcPr>
            <w:tcW w:w="326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F4629B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150万元除以单点位稳态年净贡献22874元</w:t>
            </w:r>
          </w:p>
        </w:tc>
      </w:tr>
      <w:tr w14:paraId="6E80B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BF289D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第三年实际结构（9存量+36新增）</w:t>
            </w:r>
          </w:p>
        </w:tc>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83AE6C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累计45个</w:t>
            </w:r>
          </w:p>
        </w:tc>
        <w:tc>
          <w:tcPr>
            <w:tcW w:w="13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5A22FA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25.0%</w:t>
            </w:r>
          </w:p>
        </w:tc>
        <w:tc>
          <w:tcPr>
            <w:tcW w:w="326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733EFC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9乘22874元加36乘36940元，约等于150万元</w:t>
            </w:r>
          </w:p>
        </w:tc>
      </w:tr>
    </w:tbl>
    <w:p w14:paraId="0680DF22">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以第三年实际结构计，</w:t>
      </w:r>
      <w:r>
        <w:rPr>
          <w:rFonts w:hint="eastAsia" w:ascii="宋体" w:hAnsi="宋体" w:eastAsia="宋体" w:cs="宋体"/>
          <w:b/>
          <w:bCs/>
          <w:color w:val="000000" w:themeColor="text1"/>
          <w:sz w:val="24"/>
          <w:szCs w:val="24"/>
          <w14:textFill>
            <w14:solidFill>
              <w14:schemeClr w14:val="tx1"/>
            </w14:solidFill>
          </w14:textFill>
        </w:rPr>
        <w:t>累计45个点位即可实现当年盈亏平衡</w:t>
      </w:r>
      <w:r>
        <w:rPr>
          <w:rFonts w:hint="eastAsia" w:ascii="宋体" w:hAnsi="宋体" w:eastAsia="宋体" w:cs="宋体"/>
          <w:b w:val="0"/>
          <w:bCs w:val="0"/>
          <w:color w:val="000000" w:themeColor="text1"/>
          <w:sz w:val="24"/>
          <w:szCs w:val="24"/>
          <w14:textFill>
            <w14:solidFill>
              <w14:schemeClr w14:val="tx1"/>
            </w14:solidFill>
          </w14:textFill>
        </w:rPr>
        <w:t>。海淀区现有社区级养老服务点位180个，对应区内渗透率约25.0%。这一目标不需要跨区扩张即可达成，且第三年规划中的跨城区复制与县域下沉均为增量。</w:t>
      </w:r>
    </w:p>
    <w:p w14:paraId="0967F1CF">
      <w:pPr>
        <w:keepNext w:val="0"/>
        <w:keepLines w:val="0"/>
        <w:pageBreakBefore w:val="0"/>
        <w:kinsoku/>
        <w:wordWrap/>
        <w:overflowPunct/>
        <w:topLinePunct w:val="0"/>
        <w:autoSpaceDE/>
        <w:autoSpaceDN/>
        <w:bidi w:val="0"/>
        <w:adjustRightInd/>
        <w:snapToGrid/>
        <w:spacing w:before="40" w:after="14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说明：盈亏平衡点的两次上移各有来源。第一次由38个升至40个，来自税负口径的补充；第二次由40个升至45个，来自单台物料成本由380元修正为493元——该修正源于充气方案从泵送改为储气式后，储气罐与电磁快速阀替代了原方案中的微型气泵。两次调整均为口径与方案的修正，而非为结果反推参数。</w:t>
      </w:r>
    </w:p>
    <w:p w14:paraId="1AA1F101">
      <w:pPr>
        <w:pStyle w:val="4"/>
        <w:keepNext w:val="0"/>
        <w:keepLines w:val="0"/>
        <w:kinsoku/>
        <w:wordWrap/>
        <w:overflowPunct/>
        <w:topLinePunct w:val="0"/>
        <w:autoSpaceDE/>
        <w:autoSpaceDN/>
        <w:bidi w:val="0"/>
        <w:adjustRightInd/>
        <w:snapToGrid/>
        <w:spacing w:line="300" w:lineRule="auto"/>
        <w:textAlignment w:val="auto"/>
      </w:pPr>
      <w:bookmarkStart w:id="257" w:name="_Toc13031"/>
      <w:bookmarkStart w:id="258" w:name="_Toc6632"/>
      <w:r>
        <w:rPr>
          <w:rFonts w:hint="eastAsia"/>
        </w:rPr>
        <w:t>7.2.7敏感性分析</w:t>
      </w:r>
      <w:bookmarkEnd w:id="257"/>
      <w:bookmarkEnd w:id="258"/>
    </w:p>
    <w:p w14:paraId="6FF90E84">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关键假设的变动对盈亏平衡点的影响如下。为便于比较，本表统一按全部为新增点位的情形计算，并均已扣除税负。</w:t>
      </w:r>
    </w:p>
    <w:p w14:paraId="3B532EA3">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10</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盈亏平衡点敏感性分析</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52"/>
        <w:gridCol w:w="1892"/>
        <w:gridCol w:w="1892"/>
        <w:gridCol w:w="2064"/>
      </w:tblGrid>
      <w:tr w14:paraId="2D327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75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3B5F24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变动项</w:t>
            </w:r>
          </w:p>
        </w:tc>
        <w:tc>
          <w:tcPr>
            <w:tcW w:w="189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A7DB73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单点位首年净贡献</w:t>
            </w:r>
          </w:p>
        </w:tc>
        <w:tc>
          <w:tcPr>
            <w:tcW w:w="189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E24708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所需点位数</w:t>
            </w:r>
          </w:p>
        </w:tc>
        <w:tc>
          <w:tcPr>
            <w:tcW w:w="206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FB1633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海淀区内渗透率</w:t>
            </w:r>
          </w:p>
        </w:tc>
      </w:tr>
      <w:tr w14:paraId="24E5E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3D2AF8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单社区服务人数40人</w:t>
            </w:r>
          </w:p>
        </w:tc>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E325FC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31238元</w:t>
            </w:r>
          </w:p>
        </w:tc>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A11981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约49个</w:t>
            </w:r>
          </w:p>
        </w:tc>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5EC754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27.2%</w:t>
            </w:r>
          </w:p>
        </w:tc>
      </w:tr>
      <w:tr w14:paraId="13347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5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D7E296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单社区服务人数50人（基准）</w:t>
            </w:r>
          </w:p>
        </w:tc>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9F0399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36940元</w:t>
            </w:r>
          </w:p>
        </w:tc>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5F01D3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约41个</w:t>
            </w:r>
          </w:p>
        </w:tc>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C32F01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22.8%</w:t>
            </w:r>
          </w:p>
        </w:tc>
      </w:tr>
      <w:tr w14:paraId="37A7D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65D27C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单社区服务人数60人</w:t>
            </w:r>
          </w:p>
        </w:tc>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3AFA3B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42643元</w:t>
            </w:r>
          </w:p>
        </w:tc>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746CAC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约36个</w:t>
            </w:r>
          </w:p>
        </w:tc>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53F1F0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20.0%</w:t>
            </w:r>
          </w:p>
        </w:tc>
      </w:tr>
      <w:tr w14:paraId="75A42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5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97F62D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机构设备单价699元</w:t>
            </w:r>
          </w:p>
        </w:tc>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7F79BA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32095元</w:t>
            </w:r>
          </w:p>
        </w:tc>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48C5DE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约47个</w:t>
            </w:r>
          </w:p>
        </w:tc>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913208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26.1%</w:t>
            </w:r>
          </w:p>
        </w:tc>
      </w:tr>
      <w:tr w14:paraId="39B39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3F8FAAA">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机构设备单价899元</w:t>
            </w:r>
          </w:p>
        </w:tc>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BB6F586">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41786元</w:t>
            </w:r>
          </w:p>
        </w:tc>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4539DC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约36个</w:t>
            </w:r>
          </w:p>
        </w:tc>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9837BEF">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20.0%</w:t>
            </w:r>
          </w:p>
        </w:tc>
      </w:tr>
      <w:tr w14:paraId="4C27E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5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3FC684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机构服务费8000元/年</w:t>
            </w:r>
          </w:p>
        </w:tc>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348DD2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33064元</w:t>
            </w:r>
          </w:p>
        </w:tc>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A176C2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约46个</w:t>
            </w:r>
          </w:p>
        </w:tc>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440512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25.6%</w:t>
            </w:r>
          </w:p>
        </w:tc>
      </w:tr>
      <w:tr w14:paraId="33329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32F789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机构服务费16000元/年</w:t>
            </w:r>
          </w:p>
        </w:tc>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68A9C57">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40817元</w:t>
            </w:r>
          </w:p>
        </w:tc>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7F9CE1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约37个</w:t>
            </w:r>
          </w:p>
        </w:tc>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410CD91">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20.6%</w:t>
            </w:r>
          </w:p>
        </w:tc>
      </w:tr>
    </w:tbl>
    <w:p w14:paraId="2EC7EEE0">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敏感性分析给出的结论是：在全部合理参数区间内，盈亏平衡所需的点位数落在36至49个之间，对应海淀区内渗透率20.0%至27.2%。也就是说，本项目的商业模型不依赖某一个乐观假设成立——即便三项关键参数同时取不利值，目标仍在单个城区的可达范围内。</w:t>
      </w:r>
    </w:p>
    <w:p w14:paraId="3400A11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其中最需要关注的是单社区服务人数这一参数，因为它对结果的影响最大且当前尚无实测依据。团队将在颐清园首个社区完成防跌安全评估后，以实际风险分级结果修正该参数，届时全部测算将同步更新。</w:t>
      </w:r>
    </w:p>
    <w:p w14:paraId="067528FD">
      <w:pPr>
        <w:pStyle w:val="3"/>
        <w:bidi w:val="0"/>
      </w:pPr>
      <w:bookmarkStart w:id="259" w:name="_Toc13712"/>
      <w:bookmarkStart w:id="260" w:name="_Toc28776"/>
      <w:r>
        <w:rPr>
          <w:rFonts w:hint="eastAsia"/>
        </w:rPr>
        <w:t>7.3资金需求与使用计划</w:t>
      </w:r>
      <w:bookmarkEnd w:id="259"/>
      <w:bookmarkEnd w:id="260"/>
    </w:p>
    <w:p w14:paraId="17E768AF">
      <w:pPr>
        <w:pStyle w:val="4"/>
        <w:keepNext w:val="0"/>
        <w:keepLines w:val="0"/>
        <w:kinsoku/>
        <w:wordWrap/>
        <w:overflowPunct/>
        <w:topLinePunct w:val="0"/>
        <w:autoSpaceDE/>
        <w:autoSpaceDN/>
        <w:bidi w:val="0"/>
        <w:adjustRightInd/>
        <w:snapToGrid/>
        <w:spacing w:line="300" w:lineRule="auto"/>
        <w:textAlignment w:val="auto"/>
      </w:pPr>
      <w:bookmarkStart w:id="261" w:name="_Toc12882"/>
      <w:bookmarkStart w:id="262" w:name="_Toc3687"/>
      <w:r>
        <w:rPr>
          <w:rFonts w:hint="eastAsia"/>
        </w:rPr>
        <w:t>7.3.1资金需求测算</w:t>
      </w:r>
      <w:bookmarkEnd w:id="261"/>
      <w:bookmarkEnd w:id="262"/>
    </w:p>
    <w:p w14:paraId="520C6D39">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11</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资金需求测算</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2"/>
        <w:gridCol w:w="1204"/>
        <w:gridCol w:w="5504"/>
      </w:tblGrid>
      <w:tr w14:paraId="74B6B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6EDEDA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需求项</w:t>
            </w:r>
          </w:p>
        </w:tc>
        <w:tc>
          <w:tcPr>
            <w:tcW w:w="120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7907878">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金额（万元）</w:t>
            </w:r>
          </w:p>
        </w:tc>
        <w:tc>
          <w:tcPr>
            <w:tcW w:w="550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69EF7332">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说明</w:t>
            </w:r>
          </w:p>
        </w:tc>
      </w:tr>
      <w:tr w14:paraId="0D74C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959EC0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三年累计净亏损</w:t>
            </w:r>
          </w:p>
        </w:tc>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878437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b w:val="0"/>
                <w:bCs w:val="0"/>
                <w:color w:val="000000" w:themeColor="text1"/>
                <w:sz w:val="21"/>
                <w:szCs w:val="21"/>
                <w14:textFill>
                  <w14:solidFill>
                    <w14:schemeClr w14:val="tx1"/>
                  </w14:solidFill>
                </w14:textFill>
              </w:rPr>
              <w:t>91.5</w:t>
            </w:r>
          </w:p>
        </w:tc>
        <w:tc>
          <w:tcPr>
            <w:tcW w:w="55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7496CF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见表7-7，第一年36.1、第二年66.3、第三年盈利11.0</w:t>
            </w:r>
          </w:p>
        </w:tc>
      </w:tr>
      <w:tr w14:paraId="3DF96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DA331D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设备采购垫资</w:t>
            </w:r>
          </w:p>
        </w:tc>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0E454F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b w:val="0"/>
                <w:bCs w:val="0"/>
                <w:color w:val="000000" w:themeColor="text1"/>
                <w:sz w:val="21"/>
                <w:szCs w:val="21"/>
                <w14:textFill>
                  <w14:solidFill>
                    <w14:schemeClr w14:val="tx1"/>
                  </w14:solidFill>
                </w14:textFill>
              </w:rPr>
              <w:t>93.7</w:t>
            </w:r>
          </w:p>
        </w:tc>
        <w:tc>
          <w:tcPr>
            <w:tcW w:w="55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207627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第三年新增38个点位对应1900台设备的物料垫资，机构采购通常存在账期</w:t>
            </w:r>
          </w:p>
        </w:tc>
      </w:tr>
      <w:tr w14:paraId="0AD5B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75E2FB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营运资金缓冲</w:t>
            </w:r>
          </w:p>
        </w:tc>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A09ECF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b w:val="0"/>
                <w:bCs w:val="0"/>
                <w:color w:val="000000" w:themeColor="text1"/>
                <w:sz w:val="21"/>
                <w:szCs w:val="21"/>
                <w14:textFill>
                  <w14:solidFill>
                    <w14:schemeClr w14:val="tx1"/>
                  </w14:solidFill>
                </w14:textFill>
              </w:rPr>
              <w:t>37.5</w:t>
            </w:r>
          </w:p>
        </w:tc>
        <w:tc>
          <w:tcPr>
            <w:tcW w:w="55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58D19A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相当于第三年三个月的固定成本，即150万元除以12再乘3</w:t>
            </w:r>
          </w:p>
        </w:tc>
      </w:tr>
      <w:tr w14:paraId="4AF26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AC7C2E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合计</w:t>
            </w:r>
          </w:p>
        </w:tc>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E98611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约225</w:t>
            </w:r>
          </w:p>
        </w:tc>
        <w:tc>
          <w:tcPr>
            <w:tcW w:w="55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B5E6E3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b w:val="0"/>
                <w:bCs w:val="0"/>
                <w:color w:val="000000" w:themeColor="text1"/>
                <w:sz w:val="21"/>
                <w:szCs w:val="21"/>
                <w14:textFill>
                  <w14:solidFill>
                    <w14:schemeClr w14:val="tx1"/>
                  </w14:solidFill>
                </w14:textFill>
              </w:rPr>
              <w:t>—</w:t>
            </w:r>
          </w:p>
        </w:tc>
      </w:tr>
    </w:tbl>
    <w:p w14:paraId="4562EC91">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综合考虑，本项目三年内的资金需求约为225万元。其中第一年需求约40万元，主要用于数据采集、样机试制与知识产权布局；第二年约95万元，对应团队全职化与多点位复制；第三年约90万元，主要为设备垫资与营运资金——储气式架构使单台物料成本上升，设备垫资相应加大，这是本方案在成本结构上的代价。</w:t>
      </w:r>
    </w:p>
    <w:p w14:paraId="3538E94A">
      <w:pPr>
        <w:pStyle w:val="4"/>
        <w:keepNext w:val="0"/>
        <w:keepLines w:val="0"/>
        <w:kinsoku/>
        <w:wordWrap/>
        <w:overflowPunct/>
        <w:topLinePunct w:val="0"/>
        <w:autoSpaceDE/>
        <w:autoSpaceDN/>
        <w:bidi w:val="0"/>
        <w:adjustRightInd/>
        <w:snapToGrid/>
        <w:spacing w:line="300" w:lineRule="auto"/>
        <w:textAlignment w:val="auto"/>
      </w:pPr>
      <w:bookmarkStart w:id="263" w:name="_Toc24609"/>
      <w:bookmarkStart w:id="264" w:name="_Toc2817"/>
      <w:r>
        <w:rPr>
          <w:rFonts w:hint="eastAsia"/>
        </w:rPr>
        <w:t>7.3.2资金使用计划</w:t>
      </w:r>
      <w:bookmarkEnd w:id="263"/>
      <w:bookmarkEnd w:id="264"/>
    </w:p>
    <w:p w14:paraId="0F331C7F">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12</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资金使用计划</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22"/>
        <w:gridCol w:w="1189"/>
        <w:gridCol w:w="1205"/>
        <w:gridCol w:w="4384"/>
      </w:tblGrid>
      <w:tr w14:paraId="40400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163A53A">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用途</w:t>
            </w:r>
          </w:p>
        </w:tc>
        <w:tc>
          <w:tcPr>
            <w:tcW w:w="120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EA3C5D4">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金额（万元）</w:t>
            </w:r>
          </w:p>
        </w:tc>
        <w:tc>
          <w:tcPr>
            <w:tcW w:w="8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08CDD83">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占比</w:t>
            </w:r>
          </w:p>
        </w:tc>
        <w:tc>
          <w:tcPr>
            <w:tcW w:w="464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CD873A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具体内容</w:t>
            </w:r>
          </w:p>
        </w:tc>
      </w:tr>
      <w:tr w14:paraId="71416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0FF2F4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研发与实验</w:t>
            </w:r>
          </w:p>
        </w:tc>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71AFC5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61</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8699B8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27.1%</w:t>
            </w:r>
          </w:p>
        </w:tc>
        <w:tc>
          <w:tcPr>
            <w:tcW w:w="464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04B309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传感模块与算法开发、三组验证实验、数据采集与标注</w:t>
            </w:r>
          </w:p>
        </w:tc>
      </w:tr>
      <w:tr w14:paraId="3527C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AD7E9A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样机试制与小批量</w:t>
            </w:r>
          </w:p>
        </w:tc>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AD657CF">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57</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E0A444B">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25.3%</w:t>
            </w:r>
          </w:p>
        </w:tc>
        <w:tc>
          <w:tcPr>
            <w:tcW w:w="464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5F7474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原理样机、模具与工装、小批量试产、设备垫资</w:t>
            </w:r>
          </w:p>
        </w:tc>
      </w:tr>
      <w:tr w14:paraId="7AA6C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25F4CF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社区试点与市场拓展</w:t>
            </w:r>
          </w:p>
        </w:tc>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C7AA59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42</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06B47A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18.7%</w:t>
            </w:r>
          </w:p>
        </w:tc>
        <w:tc>
          <w:tcPr>
            <w:tcW w:w="464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E1014C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进场物料、宣讲与体验活动、跨城区拓展</w:t>
            </w:r>
          </w:p>
        </w:tc>
      </w:tr>
      <w:tr w14:paraId="264C5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B4A0DC4">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团队薪酬补充</w:t>
            </w:r>
          </w:p>
        </w:tc>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4CB064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40</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DD4AED7">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17.8%</w:t>
            </w:r>
          </w:p>
        </w:tc>
        <w:tc>
          <w:tcPr>
            <w:tcW w:w="464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6ECBD8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核心岗位全职化的薪酬缺口部分</w:t>
            </w:r>
          </w:p>
        </w:tc>
      </w:tr>
      <w:tr w14:paraId="55272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BE3132D">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知识产权与认证</w:t>
            </w:r>
          </w:p>
        </w:tc>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CC0821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25</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75F6E3E">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11.1%</w:t>
            </w:r>
          </w:p>
        </w:tc>
        <w:tc>
          <w:tcPr>
            <w:tcW w:w="464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1EF644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专利与软著申请维持、第三方检测、产品目录申报</w:t>
            </w:r>
          </w:p>
        </w:tc>
      </w:tr>
      <w:tr w14:paraId="367B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9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AB13002">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合计</w:t>
            </w:r>
          </w:p>
        </w:tc>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67D94D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225</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E950123">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100%</w:t>
            </w:r>
          </w:p>
        </w:tc>
        <w:tc>
          <w:tcPr>
            <w:tcW w:w="464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A74DEA9">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r>
    </w:tbl>
    <w:p w14:paraId="621CDDCF">
      <w:pPr>
        <w:pStyle w:val="4"/>
        <w:keepNext w:val="0"/>
        <w:keepLines w:val="0"/>
        <w:kinsoku/>
        <w:wordWrap/>
        <w:overflowPunct/>
        <w:topLinePunct w:val="0"/>
        <w:autoSpaceDE/>
        <w:autoSpaceDN/>
        <w:bidi w:val="0"/>
        <w:adjustRightInd/>
        <w:snapToGrid/>
        <w:spacing w:line="300" w:lineRule="auto"/>
        <w:textAlignment w:val="auto"/>
      </w:pPr>
      <w:bookmarkStart w:id="265" w:name="_Toc6689"/>
      <w:bookmarkStart w:id="266" w:name="_Toc6560"/>
      <w:r>
        <w:rPr>
          <w:rFonts w:hint="eastAsia"/>
        </w:rPr>
        <w:t>7.3.3已有投入与非现金支持</w:t>
      </w:r>
      <w:bookmarkEnd w:id="265"/>
      <w:bookmarkEnd w:id="266"/>
    </w:p>
    <w:p w14:paraId="2D2053E5">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除现金投入外，本项目已获得以下支持，这些支持显著降低了项目在验证阶段的资金压力。</w:t>
      </w:r>
    </w:p>
    <w:p w14:paraId="44AEA5AD">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—科研平台使用。北京体育大学体育工程实验室及其高精度光学动捕系统，为步态数据采集与标注提供了金标准平台。若在市场上租用同等级动捕设施，成本相当可观。</w:t>
      </w:r>
    </w:p>
    <w:p w14:paraId="58CA5DE5">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—双导师指导。两位指导教师分别在软硬件系统与运动康复方向提供专业指导，并对接养老社区资源。</w:t>
      </w:r>
    </w:p>
    <w:p w14:paraId="0AFF9668">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—社区结对资源。已与颐清园养老社区建立合作关系并完成首轮社区实践，首个验证点位的进场成本大幅降低。</w:t>
      </w:r>
    </w:p>
    <w:p w14:paraId="22A4AC42">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—学校培育平台。创新创业竞赛培育、暑期社会实践立项与安全保障体系，为项目提供了从校内到社区的完整实践通道。</w:t>
      </w:r>
    </w:p>
    <w:p w14:paraId="6182E183">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—跨校协同资源。中央财经大学成员参与财务模型构建与税负测算，中国科学院大学学生团队在材料与硬件方向提供技术协同，均不产生现金成本。</w:t>
      </w:r>
    </w:p>
    <w:p w14:paraId="02512A38">
      <w:pPr>
        <w:pStyle w:val="3"/>
        <w:bidi w:val="0"/>
      </w:pPr>
      <w:bookmarkStart w:id="267" w:name="_Toc21188"/>
      <w:bookmarkStart w:id="268" w:name="_Toc2033"/>
      <w:r>
        <w:rPr>
          <w:rFonts w:hint="eastAsia"/>
        </w:rPr>
        <w:t>7.4股权结构与融资规划</w:t>
      </w:r>
      <w:bookmarkEnd w:id="267"/>
      <w:bookmarkEnd w:id="268"/>
    </w:p>
    <w:p w14:paraId="44BC82E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项目尚未完成工商登记注册，以下为拟定方案，将在第二年企业实体设立时落实。</w:t>
      </w:r>
    </w:p>
    <w:p w14:paraId="022700C3">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13</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拟定股权结构</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0"/>
        <w:gridCol w:w="1204"/>
        <w:gridCol w:w="5676"/>
      </w:tblGrid>
      <w:tr w14:paraId="58637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64B9D9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持股主体</w:t>
            </w:r>
          </w:p>
        </w:tc>
        <w:tc>
          <w:tcPr>
            <w:tcW w:w="120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D4EC4ED">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拟定比例</w:t>
            </w:r>
          </w:p>
        </w:tc>
        <w:tc>
          <w:tcPr>
            <w:tcW w:w="567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AA68259">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说明</w:t>
            </w:r>
          </w:p>
        </w:tc>
      </w:tr>
      <w:tr w14:paraId="4462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889D92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创始团队</w:t>
            </w:r>
          </w:p>
        </w:tc>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11B32A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75%</w:t>
            </w:r>
          </w:p>
        </w:tc>
        <w:tc>
          <w:tcPr>
            <w:tcW w:w="56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84F230C">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核心成员共同持有，其中发起人持股比例最高，确保决策效率</w:t>
            </w:r>
          </w:p>
        </w:tc>
      </w:tr>
      <w:tr w14:paraId="5B587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31F9531">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员工期权池</w:t>
            </w:r>
          </w:p>
        </w:tc>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8380BA5">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15%</w:t>
            </w:r>
          </w:p>
        </w:tc>
        <w:tc>
          <w:tcPr>
            <w:tcW w:w="56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A29F3A6">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用于第二、三年核心岗位的引进与激励</w:t>
            </w:r>
          </w:p>
        </w:tc>
      </w:tr>
      <w:tr w14:paraId="3D680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20C718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本轮融资预留</w:t>
            </w:r>
          </w:p>
        </w:tc>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3CED1E8">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10%</w:t>
            </w:r>
          </w:p>
        </w:tc>
        <w:tc>
          <w:tcPr>
            <w:tcW w:w="56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761B3B0">
            <w:pPr>
              <w:keepNext/>
              <w:keepLines w:val="0"/>
              <w:pageBreakBefore w:val="0"/>
              <w:kinsoku/>
              <w:wordWrap/>
              <w:overflowPunct/>
              <w:topLinePunct w:val="0"/>
              <w:autoSpaceDE/>
              <w:autoSpaceDN/>
              <w:bidi w:val="0"/>
              <w:adjustRightInd/>
              <w:snapToGrid/>
              <w:spacing w:before="20" w:after="20" w:line="300" w:lineRule="auto"/>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对应外部资金引入</w:t>
            </w:r>
          </w:p>
        </w:tc>
      </w:tr>
    </w:tbl>
    <w:p w14:paraId="64A13644">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股权设计遵循两条原则：创始团队合计持股保持在三分之二以上，保证重大事项的决策效率；预留充足期权池，因为本项目在第二、三年需要引进产品、工业设计与市场运营方向的成熟人才，而这类人才在早期阶段主要依靠股权激励吸引。</w:t>
      </w:r>
    </w:p>
    <w:p w14:paraId="5891E2CE">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融资路径上，本项目优先争取创新创业竞赛奖金、学校创业扶持资金与政府创业补贴等非稀释性资金；其次考虑面向养老产业方向的早期投资机构。考虑到项目具有明确的公共服务属性，与街道、民政部门合作开展政府购买服务，亦是重要的资金来源渠道。</w:t>
      </w:r>
    </w:p>
    <w:p w14:paraId="65FD7FCE">
      <w:pPr>
        <w:pStyle w:val="3"/>
        <w:bidi w:val="0"/>
      </w:pPr>
      <w:bookmarkStart w:id="269" w:name="_Toc22629"/>
      <w:bookmarkStart w:id="270" w:name="_Toc484"/>
      <w:r>
        <w:rPr>
          <w:rFonts w:hint="eastAsia"/>
        </w:rPr>
        <w:t>7.5关键假设与不确定性说明</w:t>
      </w:r>
      <w:bookmarkEnd w:id="269"/>
      <w:bookmarkEnd w:id="270"/>
    </w:p>
    <w:p w14:paraId="2602C77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本章全部测算的可靠性取决于假设的准确性。以下四项假设当前尚无实测依据，是测算中不确定性最集中之处，此处予以明确列示。</w:t>
      </w:r>
    </w:p>
    <w:p w14:paraId="4B3673C2">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14</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关键假设与验证计划</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4"/>
        <w:gridCol w:w="2580"/>
        <w:gridCol w:w="3956"/>
      </w:tblGrid>
      <w:tr w14:paraId="2B71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4A70E4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假设</w:t>
            </w:r>
          </w:p>
        </w:tc>
        <w:tc>
          <w:tcPr>
            <w:tcW w:w="258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093947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当前状态</w:t>
            </w:r>
          </w:p>
        </w:tc>
        <w:tc>
          <w:tcPr>
            <w:tcW w:w="395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65055ED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验证计划</w:t>
            </w:r>
          </w:p>
        </w:tc>
      </w:tr>
      <w:tr w14:paraId="2CFF6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5BF24F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单社区服务50名中高风险老人</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AECF46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规划假设，无实测依据</w:t>
            </w:r>
          </w:p>
        </w:tc>
        <w:tc>
          <w:tcPr>
            <w:tcW w:w="395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C0D076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颐清园首个社区完成防跌安全评估后，以实际风险分级结果修正</w:t>
            </w:r>
          </w:p>
        </w:tc>
      </w:tr>
      <w:tr w14:paraId="037A4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0EBA3E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单台物料成本493元</w:t>
            </w:r>
          </w:p>
        </w:tc>
        <w:tc>
          <w:tcPr>
            <w:tcW w:w="25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2E6CBA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公开市场价估算。其中气囊模组已获初步报价；柔性传感织物、储气罐与电磁快速阀三项尚未取得正式报价，是本项假设中不确定性最集中之处</w:t>
            </w:r>
          </w:p>
        </w:tc>
        <w:tc>
          <w:tcPr>
            <w:tcW w:w="395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9D5A78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四项定制件已启动多家询价，以正式报价替换估算值</w:t>
            </w:r>
          </w:p>
        </w:tc>
      </w:tr>
      <w:tr w14:paraId="211B5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19BCB9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机构管理服务费12000元/社区/年</w:t>
            </w:r>
          </w:p>
        </w:tc>
        <w:tc>
          <w:tcPr>
            <w:tcW w:w="25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4D68EA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参照机构运营成本结构反推，无签约依据</w:t>
            </w:r>
          </w:p>
        </w:tc>
        <w:tc>
          <w:tcPr>
            <w:tcW w:w="395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3D9253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首个社区合作洽谈时确定实际可接受价格区间</w:t>
            </w:r>
          </w:p>
        </w:tc>
      </w:tr>
      <w:tr w14:paraId="651C3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28BD59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小规模纳税人税收优惠政策延续</w:t>
            </w:r>
          </w:p>
        </w:tc>
        <w:tc>
          <w:tcPr>
            <w:tcW w:w="25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B2CF06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按现行政策测算，该优惠执行至2027年底</w:t>
            </w:r>
          </w:p>
        </w:tc>
        <w:tc>
          <w:tcPr>
            <w:tcW w:w="395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878FBA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第三年临近时按届时有效政策重新测算</w:t>
            </w:r>
          </w:p>
        </w:tc>
      </w:tr>
    </w:tbl>
    <w:p w14:paraId="2A03744A">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对于这四项假设，团队的处理原则是：不因为缺少依据而回避，也不因为需要一个好看的结果而取乐观值。上表中的取值均取自可获得信息下的中性判断，并在敏感性分析中给出了不利情形的结果。全部参数将在试点开展后以实际数据替换，测算随之更新。</w:t>
      </w:r>
    </w:p>
    <w:p w14:paraId="31E2E50A">
      <w:pPr>
        <w:pStyle w:val="2"/>
        <w:bidi w:val="0"/>
      </w:pPr>
      <w:bookmarkStart w:id="271" w:name="_Toc20119"/>
      <w:bookmarkStart w:id="272" w:name="_Toc19209"/>
      <w:r>
        <w:rPr>
          <w:rFonts w:hint="eastAsia"/>
        </w:rPr>
        <w:t>风险控制</w:t>
      </w:r>
      <w:bookmarkEnd w:id="271"/>
      <w:bookmarkEnd w:id="272"/>
    </w:p>
    <w:p w14:paraId="01EDFC7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章列出项目面临的主要风险及其应对。与前几章不同，本章刻意把风险写得具体——包括那些如果不主动说明、评审方也未必会注意到的风险。原因很简单：一个防跌产品要装在老人身上，团队对风险的认识深度，本身就是产品可信度的一部分。</w:t>
      </w:r>
    </w:p>
    <w:p w14:paraId="656FF335">
      <w:pPr>
        <w:pStyle w:val="3"/>
        <w:bidi w:val="0"/>
      </w:pPr>
      <w:bookmarkStart w:id="273" w:name="_Toc31117"/>
      <w:bookmarkStart w:id="274" w:name="_Toc21943"/>
      <w:r>
        <w:rPr>
          <w:rFonts w:hint="eastAsia"/>
        </w:rPr>
        <w:t>8.1风险总览</w:t>
      </w:r>
      <w:bookmarkEnd w:id="273"/>
      <w:bookmarkEnd w:id="274"/>
    </w:p>
    <w:p w14:paraId="63C71CC6">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按性质将风险分为七类，其中合规风险与产品安全风险是本项目最需要严肃对待的两类，因为它们的后果不可逆。</w:t>
      </w:r>
    </w:p>
    <w:p w14:paraId="62331A80">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8</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风险总览与优先级</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8"/>
        <w:gridCol w:w="3956"/>
        <w:gridCol w:w="1032"/>
        <w:gridCol w:w="860"/>
        <w:gridCol w:w="1204"/>
      </w:tblGrid>
      <w:tr w14:paraId="5BD69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29D98E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风险类别</w:t>
            </w:r>
          </w:p>
        </w:tc>
        <w:tc>
          <w:tcPr>
            <w:tcW w:w="395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EDB887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主要风险点</w:t>
            </w:r>
          </w:p>
        </w:tc>
        <w:tc>
          <w:tcPr>
            <w:tcW w:w="10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06C4D0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可能性</w:t>
            </w:r>
          </w:p>
        </w:tc>
        <w:tc>
          <w:tcPr>
            <w:tcW w:w="8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7DCDD3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影响</w:t>
            </w:r>
          </w:p>
        </w:tc>
        <w:tc>
          <w:tcPr>
            <w:tcW w:w="120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6BD4D7A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优先级</w:t>
            </w:r>
          </w:p>
        </w:tc>
      </w:tr>
      <w:tr w14:paraId="1A5CA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C56DA3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技术风险</w:t>
            </w:r>
          </w:p>
        </w:tc>
        <w:tc>
          <w:tcPr>
            <w:tcW w:w="395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08D121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识别误报与漏报、气囊触发与气路可靠性、系统集成与功耗、自有数据不足</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33A3AA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高</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26D1F2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高</w:t>
            </w:r>
          </w:p>
        </w:tc>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D354C6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一级</w:t>
            </w:r>
          </w:p>
        </w:tc>
      </w:tr>
      <w:tr w14:paraId="41D41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09C08B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合规风险</w:t>
            </w:r>
          </w:p>
        </w:tc>
        <w:tc>
          <w:tcPr>
            <w:tcW w:w="395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A3E771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产品属性认定、宣传表述越界、医疗器械监管边界</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18949F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134E99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极高</w:t>
            </w:r>
          </w:p>
        </w:tc>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D34568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一级</w:t>
            </w:r>
          </w:p>
        </w:tc>
      </w:tr>
      <w:tr w14:paraId="71649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AA801C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产品安全风险</w:t>
            </w:r>
          </w:p>
        </w:tc>
        <w:tc>
          <w:tcPr>
            <w:tcW w:w="395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95A8F2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气囊误触发造成惊吓或二次伤害、防护范围有限、老年使用者的身体禁忌</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186A51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80AE85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极高</w:t>
            </w:r>
          </w:p>
        </w:tc>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8D5B64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一级</w:t>
            </w:r>
          </w:p>
        </w:tc>
      </w:tr>
      <w:tr w14:paraId="1DFB8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AFBFEA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市场与运营风险</w:t>
            </w:r>
          </w:p>
        </w:tc>
        <w:tc>
          <w:tcPr>
            <w:tcW w:w="395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96E9A5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佩戴依从性不足、机构采购周期与预算不确定、供应链依赖</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6C3141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511E84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w:t>
            </w:r>
          </w:p>
        </w:tc>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A78417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二级</w:t>
            </w:r>
          </w:p>
        </w:tc>
      </w:tr>
      <w:tr w14:paraId="1ECE6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A247ED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数据安全与伦理风险</w:t>
            </w:r>
          </w:p>
        </w:tc>
        <w:tc>
          <w:tcPr>
            <w:tcW w:w="395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B9B1D9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采集伦理、个人信息保护、公开数据集许可证</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D1C2FF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6C53FA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高</w:t>
            </w:r>
          </w:p>
        </w:tc>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232F14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二级</w:t>
            </w:r>
          </w:p>
        </w:tc>
      </w:tr>
      <w:tr w14:paraId="7D354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517075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财务与税务风险</w:t>
            </w:r>
          </w:p>
        </w:tc>
        <w:tc>
          <w:tcPr>
            <w:tcW w:w="395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20C651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资金链、物料成本高于测算、税收优惠政策到期</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6CC7A9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92FDAC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w:t>
            </w:r>
          </w:p>
        </w:tc>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9F35C3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二级</w:t>
            </w:r>
          </w:p>
        </w:tc>
      </w:tr>
      <w:tr w14:paraId="27D24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8844FE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团队风险</w:t>
            </w:r>
          </w:p>
        </w:tc>
        <w:tc>
          <w:tcPr>
            <w:tcW w:w="395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4CACC3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学生团队的成员流动</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329D1D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A039CE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w:t>
            </w:r>
          </w:p>
        </w:tc>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7FDEE3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二级</w:t>
            </w:r>
          </w:p>
        </w:tc>
      </w:tr>
    </w:tbl>
    <w:p w14:paraId="70EAC0EA">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竞争层面的威胁与防线已在第五章表5-3单独分析，本章不再重复。</w:t>
      </w:r>
    </w:p>
    <w:p w14:paraId="2AA7CBD9">
      <w:pPr>
        <w:pStyle w:val="3"/>
        <w:bidi w:val="0"/>
      </w:pPr>
      <w:bookmarkStart w:id="275" w:name="_Toc855"/>
      <w:bookmarkStart w:id="276" w:name="_Toc18016"/>
      <w:r>
        <w:rPr>
          <w:rFonts w:hint="eastAsia"/>
        </w:rPr>
        <w:t>8.2技术风险</w:t>
      </w:r>
      <w:bookmarkEnd w:id="275"/>
      <w:bookmarkEnd w:id="276"/>
    </w:p>
    <w:p w14:paraId="3EE5D753">
      <w:pPr>
        <w:pStyle w:val="4"/>
        <w:keepNext w:val="0"/>
        <w:keepLines w:val="0"/>
        <w:kinsoku/>
        <w:wordWrap/>
        <w:overflowPunct/>
        <w:topLinePunct w:val="0"/>
        <w:autoSpaceDE/>
        <w:autoSpaceDN/>
        <w:bidi w:val="0"/>
        <w:adjustRightInd/>
        <w:snapToGrid/>
        <w:spacing w:line="300" w:lineRule="auto"/>
        <w:textAlignment w:val="auto"/>
      </w:pPr>
      <w:bookmarkStart w:id="277" w:name="_Toc19557"/>
      <w:bookmarkStart w:id="278" w:name="_Toc22711"/>
      <w:r>
        <w:rPr>
          <w:rFonts w:hint="eastAsia"/>
        </w:rPr>
        <w:t>8.2.1误报与漏报</w:t>
      </w:r>
      <w:bookmarkEnd w:id="277"/>
      <w:bookmarkEnd w:id="278"/>
    </w:p>
    <w:p w14:paraId="45E31B8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这是本项目技术层面的首要风险。误报率过高将直接导致老人弃用设备，而设备一旦被弃用，其防护效能归零；漏报则意味着该保护的时候没有保护。两者不可兼得，需要在召回率与误报率之间取得平衡。</w:t>
      </w:r>
    </w:p>
    <w:p w14:paraId="30AD72EE">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应对措施。第一，在特征工程层面引入运动学特征而非仅依赖加速度幅值，从原理上提高日常动作与失衡状态的可分性，这是本项目相较同类方案的核心技术路径（见第三章3.7.1）。第二，训练时对坐下、快速弯腰、突然转身等高误报风险动作做定向增强。第三，设定误报率控制在5%以内的验证目标，在真实老年数据完成模型校正之前不进入规模推广。</w:t>
      </w:r>
    </w:p>
    <w:p w14:paraId="3914DF6E">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里需要说明一个取舍原则：在两类错误之间，本项目优先控制误报。理由是漏报的后果是防护未生效，与不佩戴设备的状态相同；而误报的后果是老人弃用设备，会导致此后所有跌倒都失去防护。前者是单次失效，后者是永久失效。</w:t>
      </w:r>
    </w:p>
    <w:p w14:paraId="5687E743">
      <w:pPr>
        <w:pStyle w:val="4"/>
        <w:keepNext w:val="0"/>
        <w:keepLines w:val="0"/>
        <w:kinsoku/>
        <w:wordWrap/>
        <w:overflowPunct/>
        <w:topLinePunct w:val="0"/>
        <w:autoSpaceDE/>
        <w:autoSpaceDN/>
        <w:bidi w:val="0"/>
        <w:adjustRightInd/>
        <w:snapToGrid/>
        <w:spacing w:line="300" w:lineRule="auto"/>
        <w:textAlignment w:val="auto"/>
      </w:pPr>
      <w:bookmarkStart w:id="279" w:name="_Toc2730"/>
      <w:bookmarkStart w:id="280" w:name="_Toc20851"/>
      <w:r>
        <w:rPr>
          <w:rFonts w:hint="eastAsia"/>
        </w:rPr>
        <w:t>8.2.2气囊触发时机与气路可靠性</w:t>
      </w:r>
      <w:bookmarkEnd w:id="279"/>
      <w:bookmarkEnd w:id="280"/>
    </w:p>
    <w:p w14:paraId="3011DD71">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触发过早会导致频繁误触发，触发过晚则气囊在着地后才展开、防护失效，而可用窗口以百毫秒计。</w:t>
      </w:r>
    </w:p>
    <w:p w14:paraId="641ACAE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采用储气式冷气体方案后，该环节的风险结构发生了变化。展开速度不再取决于泵的流量，而取决于电磁阀的响应时间与气路通径；与此同时，出现了一项泵送方案不存在的新风险——储气罐与管路的长期密封性。压力在佩戴周期内缓慢衰减而未被察觉，将导致触发时气量不足、防护效果打折，且这种失效是无声的。</w:t>
      </w:r>
    </w:p>
    <w:p w14:paraId="4E50C02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应对措施。以运动生物力学的平衡边界理论界定不可逆失衡判据，结合动捕金标准标注确定触发阈值；按气囊容积与目标展开时间反推阀门通径与储气压力，并对从信号识别到覆盖完成的全链路时序进行分段测量与预算分配；设置储气压力自检，压力低于阈值时向使用者与社区端提示，并在网页端佩戴率看板中同步呈现；将气路密封性与阀门动作寿命纳入样机老化测试项。可复用的气囊结构支持重复触发测试，这使老化验证的成本显著低于一次性方案。</w:t>
      </w:r>
    </w:p>
    <w:p w14:paraId="0A8E790E">
      <w:pPr>
        <w:pStyle w:val="4"/>
        <w:keepNext w:val="0"/>
        <w:keepLines w:val="0"/>
        <w:kinsoku/>
        <w:wordWrap/>
        <w:overflowPunct/>
        <w:topLinePunct w:val="0"/>
        <w:autoSpaceDE/>
        <w:autoSpaceDN/>
        <w:bidi w:val="0"/>
        <w:adjustRightInd/>
        <w:snapToGrid/>
        <w:spacing w:line="300" w:lineRule="auto"/>
        <w:textAlignment w:val="auto"/>
      </w:pPr>
      <w:bookmarkStart w:id="281" w:name="_Toc489"/>
      <w:bookmarkStart w:id="282" w:name="_Toc23938"/>
      <w:r>
        <w:rPr>
          <w:rFonts w:hint="eastAsia"/>
        </w:rPr>
        <w:t>8.2.3系统集成与功耗</w:t>
      </w:r>
      <w:bookmarkEnd w:id="281"/>
      <w:bookmarkEnd w:id="282"/>
    </w:p>
    <w:p w14:paraId="073D6CF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护腰对体积与重量约束严格，须在有限空间内集成传感、主控、储气罐、阀门、通信与电源。其中储气罐是体积与重量占比最大的单件，而调研显示传统护具最突出的痛点正是太厚、太热与活动不便，若为增加功能而使产品变厚变重，将直接破坏老人最关心的指标。</w:t>
      </w:r>
    </w:p>
    <w:p w14:paraId="07FBAACF">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应对措施。把轻薄舒适设为产品硬指标而非优化项，并将储气罐与阀门的体积重量列为结构设计的硬约束；在满足展开时序的前提下，通过提高储气压力换取罐体体积的压缩；分模块低功耗调度，常态下以低频惯性传感值守，检出可疑运动模式后再唤醒高频采样与推理链路，气囊驱动回路平时完全断电。</w:t>
      </w:r>
    </w:p>
    <w:p w14:paraId="550DE1F0">
      <w:pPr>
        <w:pStyle w:val="4"/>
        <w:keepNext w:val="0"/>
        <w:keepLines w:val="0"/>
        <w:kinsoku/>
        <w:wordWrap/>
        <w:overflowPunct/>
        <w:topLinePunct w:val="0"/>
        <w:autoSpaceDE/>
        <w:autoSpaceDN/>
        <w:bidi w:val="0"/>
        <w:adjustRightInd/>
        <w:snapToGrid/>
        <w:spacing w:line="300" w:lineRule="auto"/>
        <w:textAlignment w:val="auto"/>
      </w:pPr>
      <w:bookmarkStart w:id="283" w:name="_Toc28212"/>
      <w:bookmarkStart w:id="284" w:name="_Toc25270"/>
      <w:r>
        <w:rPr>
          <w:rFonts w:hint="eastAsia"/>
        </w:rPr>
        <w:t>8.2.4自有数据不足</w:t>
      </w:r>
      <w:bookmarkEnd w:id="283"/>
      <w:bookmarkEnd w:id="284"/>
    </w:p>
    <w:p w14:paraId="563C7C00">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当前算法基线验证主要依赖公开数据集，而公开数据集不含柔性传感通道，且缺乏临跌倒失衡样本。自有数据方面，社区真实老年步态已完成首批32份采集，但规模仍然有限；模拟失衡样本的采集尚在志愿者招募阶段。若后续采集进度不及预期，将直接影响模型的可用性。</w:t>
      </w:r>
    </w:p>
    <w:p w14:paraId="1CC3FF9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应对措施。采集分两条线推进以降低单点依赖：学生志愿者模拟数据用于训练，社区老年人真实数据用于校正与验证；同时以公开数据集中的真实老年惯性数据作为独立交叉验证集。志愿者招募已启动，学校在校生规模为样本量提供了保障；社区采集通道已随首轮实践打通，复采成本显著降低。</w:t>
      </w:r>
    </w:p>
    <w:p w14:paraId="7F08EB5B">
      <w:pPr>
        <w:pStyle w:val="3"/>
        <w:bidi w:val="0"/>
      </w:pPr>
      <w:bookmarkStart w:id="285" w:name="_Toc18907"/>
      <w:bookmarkStart w:id="286" w:name="_Toc25392"/>
      <w:r>
        <w:rPr>
          <w:rFonts w:hint="eastAsia"/>
        </w:rPr>
        <w:t>8.3合规风险与产品属性边界</w:t>
      </w:r>
      <w:bookmarkEnd w:id="285"/>
      <w:bookmarkEnd w:id="286"/>
    </w:p>
    <w:p w14:paraId="41AA3D30">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本节是全章的重点。老年健康相关产品极易在无意间越过医疗边界，而这条边界一旦越过，涉及的不再是宣传口径问题，而是产品准入资格问题。</w:t>
      </w:r>
    </w:p>
    <w:p w14:paraId="6865EB3E">
      <w:pPr>
        <w:pStyle w:val="4"/>
        <w:keepNext w:val="0"/>
        <w:keepLines w:val="0"/>
        <w:kinsoku/>
        <w:wordWrap/>
        <w:overflowPunct/>
        <w:topLinePunct w:val="0"/>
        <w:autoSpaceDE/>
        <w:autoSpaceDN/>
        <w:bidi w:val="0"/>
        <w:adjustRightInd/>
        <w:snapToGrid/>
        <w:spacing w:line="300" w:lineRule="auto"/>
        <w:textAlignment w:val="auto"/>
      </w:pPr>
      <w:bookmarkStart w:id="287" w:name="_Toc19663"/>
      <w:bookmarkStart w:id="288" w:name="_Toc24666"/>
      <w:r>
        <w:rPr>
          <w:rFonts w:hint="eastAsia"/>
        </w:rPr>
        <w:t>8.3.1产品属性认定</w:t>
      </w:r>
      <w:bookmarkEnd w:id="287"/>
      <w:bookmarkEnd w:id="288"/>
    </w:p>
    <w:p w14:paraId="6EA45134">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标准声明。本产品按个人防护用品、普通消费品定位，核心价值为物理防护与应急响应，不作任何医疗诊断、治疗或疾病预测声明，现阶段不申报医疗器械注册。未来若拓展至医疗机构采购场景，将另行开展器械分类界定与注册路径评估。</w:t>
      </w:r>
    </w:p>
    <w:p w14:paraId="7CD3636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这一认定不是回避监管，而是与产品实际功能相匹配的定性：气囊提供的是物理缓冲，报警提供的是信息传递，平台输出的是照护资源配置建议，三者均不构成对疾病的诊断、治疗或预防。</w:t>
      </w:r>
    </w:p>
    <w:p w14:paraId="4C39BAE4">
      <w:pPr>
        <w:pStyle w:val="4"/>
        <w:keepNext w:val="0"/>
        <w:keepLines w:val="0"/>
        <w:kinsoku/>
        <w:wordWrap/>
        <w:overflowPunct/>
        <w:topLinePunct w:val="0"/>
        <w:autoSpaceDE/>
        <w:autoSpaceDN/>
        <w:bidi w:val="0"/>
        <w:adjustRightInd/>
        <w:snapToGrid/>
        <w:spacing w:line="300" w:lineRule="auto"/>
        <w:textAlignment w:val="auto"/>
      </w:pPr>
      <w:bookmarkStart w:id="289" w:name="_Toc5054"/>
      <w:bookmarkStart w:id="290" w:name="_Toc9220"/>
      <w:r>
        <w:rPr>
          <w:rFonts w:hint="eastAsia"/>
        </w:rPr>
        <w:t>8.3.2能做与不能做</w:t>
      </w:r>
      <w:bookmarkEnd w:id="289"/>
      <w:bookmarkEnd w:id="290"/>
    </w:p>
    <w:p w14:paraId="0F5E6E1A">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8</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2</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产品功能与表述边界</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00"/>
        <w:gridCol w:w="4300"/>
      </w:tblGrid>
      <w:tr w14:paraId="1654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430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EC1866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边界之内：可以做、可以说</w:t>
            </w:r>
          </w:p>
        </w:tc>
        <w:tc>
          <w:tcPr>
            <w:tcW w:w="430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873244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边界之外：绝对不做、不说</w:t>
            </w:r>
          </w:p>
        </w:tc>
      </w:tr>
      <w:tr w14:paraId="4E6BB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30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E44C32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跌倒发生时提供物理缓冲防护</w:t>
            </w:r>
          </w:p>
        </w:tc>
        <w:tc>
          <w:tcPr>
            <w:tcW w:w="430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78B6A4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宣称可预防骨折、保证不受伤</w:t>
            </w:r>
          </w:p>
        </w:tc>
      </w:tr>
      <w:tr w14:paraId="2D1A2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30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B4669E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跌倒后触发报警并通知社区与家属</w:t>
            </w:r>
          </w:p>
        </w:tc>
        <w:tc>
          <w:tcPr>
            <w:tcW w:w="430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99B132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宣称可替代医疗监护设备</w:t>
            </w:r>
          </w:p>
        </w:tc>
      </w:tr>
      <w:tr w14:paraId="6419B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30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295F3B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提供日常活动量、活动时段等数据参考</w:t>
            </w:r>
          </w:p>
        </w:tc>
        <w:tc>
          <w:tcPr>
            <w:tcW w:w="430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50C9E9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对个体作出疾病风险评级或诊断结论</w:t>
            </w:r>
          </w:p>
        </w:tc>
      </w:tr>
      <w:tr w14:paraId="343EC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30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47156E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在群体层面输出社区照护资源配置建议</w:t>
            </w:r>
          </w:p>
        </w:tc>
        <w:tc>
          <w:tcPr>
            <w:tcW w:w="430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32EB2A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判断某位老人是否患有中风、阿尔茨海默病等疾病</w:t>
            </w:r>
          </w:p>
        </w:tc>
      </w:tr>
      <w:tr w14:paraId="2D0AD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30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C8A011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提示环境风险点位，建议适老化改造</w:t>
            </w:r>
          </w:p>
        </w:tc>
        <w:tc>
          <w:tcPr>
            <w:tcW w:w="430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18677A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提供任何形式的康复治疗、理疗或电刺激干预</w:t>
            </w:r>
          </w:p>
        </w:tc>
      </w:tr>
      <w:tr w14:paraId="51580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30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631D3E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以护腰形态提供日常腰部物理支撑</w:t>
            </w:r>
          </w:p>
        </w:tc>
        <w:tc>
          <w:tcPr>
            <w:tcW w:w="430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270F21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宣称对腰椎间盘突出等疾病具有治疗作用</w:t>
            </w:r>
          </w:p>
        </w:tc>
      </w:tr>
    </w:tbl>
    <w:p w14:paraId="6008A6D2">
      <w:pPr>
        <w:pStyle w:val="4"/>
        <w:keepNext w:val="0"/>
        <w:keepLines w:val="0"/>
        <w:kinsoku/>
        <w:wordWrap/>
        <w:overflowPunct/>
        <w:topLinePunct w:val="0"/>
        <w:autoSpaceDE/>
        <w:autoSpaceDN/>
        <w:bidi w:val="0"/>
        <w:adjustRightInd/>
        <w:snapToGrid/>
        <w:spacing w:line="300" w:lineRule="auto"/>
        <w:textAlignment w:val="auto"/>
      </w:pPr>
      <w:bookmarkStart w:id="291" w:name="_Toc9409"/>
      <w:bookmarkStart w:id="292" w:name="_Toc9121"/>
      <w:r>
        <w:rPr>
          <w:rFonts w:hint="eastAsia"/>
        </w:rPr>
        <w:t>8.3.3用词红线</w:t>
      </w:r>
      <w:bookmarkEnd w:id="291"/>
      <w:bookmarkEnd w:id="292"/>
    </w:p>
    <w:p w14:paraId="4879C54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以下用词在全部对外材料、宣传物料与口头沟通中受限，团队已形成统一的替代表述。</w:t>
      </w:r>
    </w:p>
    <w:p w14:paraId="78DDD2D4">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8</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受限用词与替代表述</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0"/>
        <w:gridCol w:w="3784"/>
        <w:gridCol w:w="3096"/>
      </w:tblGrid>
      <w:tr w14:paraId="64639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73C974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受限用词</w:t>
            </w:r>
          </w:p>
        </w:tc>
        <w:tc>
          <w:tcPr>
            <w:tcW w:w="378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13912E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风险</w:t>
            </w:r>
          </w:p>
        </w:tc>
        <w:tc>
          <w:tcPr>
            <w:tcW w:w="309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3D1DBD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替代表述</w:t>
            </w:r>
          </w:p>
        </w:tc>
      </w:tr>
      <w:tr w14:paraId="6FC7D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4FD3F0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筛查</w:t>
            </w:r>
          </w:p>
        </w:tc>
        <w:tc>
          <w:tcPr>
            <w:tcW w:w="3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AE7685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该词在医学语境中对应Morse跌倒评估量表、Berg平衡量表等成熟工具，使用即进入健康风险评估范畴</w:t>
            </w:r>
          </w:p>
        </w:tc>
        <w:tc>
          <w:tcPr>
            <w:tcW w:w="309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912C9E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防跌安全评估、跌倒风险自评与提示</w:t>
            </w:r>
          </w:p>
        </w:tc>
      </w:tr>
      <w:tr w14:paraId="76A22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786652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诊断、治疗、理疗、康复训练</w:t>
            </w:r>
          </w:p>
        </w:tc>
        <w:tc>
          <w:tcPr>
            <w:tcW w:w="378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59FA90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直接指向医疗行为</w:t>
            </w:r>
          </w:p>
        </w:tc>
        <w:tc>
          <w:tcPr>
            <w:tcW w:w="309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5045E0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全部禁用，涉及功能已移除，材料中不应残留</w:t>
            </w:r>
          </w:p>
        </w:tc>
      </w:tr>
      <w:tr w14:paraId="3B0E5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F6A17F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预警（用于疾病）</w:t>
            </w:r>
          </w:p>
        </w:tc>
        <w:tc>
          <w:tcPr>
            <w:tcW w:w="3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E9B52C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疾病预测需临床证据支撑</w:t>
            </w:r>
          </w:p>
        </w:tc>
        <w:tc>
          <w:tcPr>
            <w:tcW w:w="309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1879EC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禁止用于疾病语境；用于跌倒动作本身时可用，如临跌倒预警</w:t>
            </w:r>
          </w:p>
        </w:tc>
      </w:tr>
      <w:tr w14:paraId="19364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CB12FA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医疗级、临床验证</w:t>
            </w:r>
          </w:p>
        </w:tc>
        <w:tc>
          <w:tcPr>
            <w:tcW w:w="378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6783B9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在无对应资质与试验的前提下构成虚假宣传</w:t>
            </w:r>
          </w:p>
        </w:tc>
        <w:tc>
          <w:tcPr>
            <w:tcW w:w="309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F59EBC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按个人防护用品定位，不作医疗声明</w:t>
            </w:r>
          </w:p>
        </w:tc>
      </w:tr>
      <w:tr w14:paraId="6EDA0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ED86B3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防止骨折、保证不受伤</w:t>
            </w:r>
          </w:p>
        </w:tc>
        <w:tc>
          <w:tcPr>
            <w:tcW w:w="3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4A898F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超出产品实际验证能力</w:t>
            </w:r>
          </w:p>
        </w:tc>
        <w:tc>
          <w:tcPr>
            <w:tcW w:w="309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90AC7F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降低跌倒冲击造成严重伤害的风险</w:t>
            </w:r>
          </w:p>
        </w:tc>
      </w:tr>
      <w:tr w14:paraId="25EA5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2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D14384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全身防护、全方位保护</w:t>
            </w:r>
          </w:p>
        </w:tc>
        <w:tc>
          <w:tcPr>
            <w:tcW w:w="378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8ABD40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超出产品实际防护范围，与一期仅覆盖腰髋的事实不符</w:t>
            </w:r>
          </w:p>
        </w:tc>
        <w:tc>
          <w:tcPr>
            <w:tcW w:w="309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0FBD97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腰髋部主动缓冲防护</w:t>
            </w:r>
          </w:p>
        </w:tc>
      </w:tr>
    </w:tbl>
    <w:p w14:paraId="51B896B2">
      <w:pPr>
        <w:pStyle w:val="4"/>
        <w:keepNext w:val="0"/>
        <w:keepLines w:val="0"/>
        <w:kinsoku/>
        <w:wordWrap/>
        <w:overflowPunct/>
        <w:topLinePunct w:val="0"/>
        <w:autoSpaceDE/>
        <w:autoSpaceDN/>
        <w:bidi w:val="0"/>
        <w:adjustRightInd/>
        <w:snapToGrid/>
        <w:spacing w:line="300" w:lineRule="auto"/>
        <w:textAlignment w:val="auto"/>
      </w:pPr>
      <w:bookmarkStart w:id="293" w:name="_Toc11447"/>
      <w:bookmarkStart w:id="294" w:name="_Toc12203"/>
      <w:r>
        <w:rPr>
          <w:rFonts w:hint="eastAsia"/>
        </w:rPr>
        <w:t>8.3.4主动移除的功能及理由</w:t>
      </w:r>
      <w:bookmarkEnd w:id="293"/>
      <w:bookmarkEnd w:id="294"/>
    </w:p>
    <w:p w14:paraId="72B93E1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以下功能曾出现在早期方案中，经论证后主动移除。此处列明理由，一方面便于团队后续材料撰写时不再写回，另一方面也说明本项目的边界不是被动划定的。</w:t>
      </w:r>
    </w:p>
    <w:p w14:paraId="1C6CAF60">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8</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主动移除的功能及理由</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4"/>
        <w:gridCol w:w="1032"/>
        <w:gridCol w:w="5504"/>
      </w:tblGrid>
      <w:tr w14:paraId="0BBC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092658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功能</w:t>
            </w:r>
          </w:p>
        </w:tc>
        <w:tc>
          <w:tcPr>
            <w:tcW w:w="10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C6F007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处理</w:t>
            </w:r>
          </w:p>
        </w:tc>
        <w:tc>
          <w:tcPr>
            <w:tcW w:w="550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1116FE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理由</w:t>
            </w:r>
          </w:p>
        </w:tc>
      </w:tr>
      <w:tr w14:paraId="5E3F3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6E005B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电刺激理疗、热敷与振动干预</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6AC1E3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彻底移除</w:t>
            </w:r>
          </w:p>
        </w:tc>
        <w:tc>
          <w:tcPr>
            <w:tcW w:w="55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CB4CCB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属医疗干预行为，触碰医疗器械与医疗合规红线，并会引出临床疗效验证要求</w:t>
            </w:r>
          </w:p>
        </w:tc>
      </w:tr>
      <w:tr w14:paraId="678F2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45C22A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中风、认知障碍等疾病风险预警</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FB0539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彻底移除</w:t>
            </w:r>
          </w:p>
        </w:tc>
        <w:tc>
          <w:tcPr>
            <w:tcW w:w="55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572B77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属疾病预测，需临床数据、因果链与敏感性特异性论证，本项目不具备条件，亦不在产品定位之内</w:t>
            </w:r>
          </w:p>
        </w:tc>
      </w:tr>
      <w:tr w14:paraId="112B1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24CFD6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面向个人的步态趋势健康提示</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DE831E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改造保留</w:t>
            </w:r>
          </w:p>
        </w:tc>
        <w:tc>
          <w:tcPr>
            <w:tcW w:w="55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340B21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原表述向个人推送健康偏差提示，处于医疗边界模糊地带。改造为群体层面的社区照护资源配置建议，不对任何个体作健康判断</w:t>
            </w:r>
          </w:p>
        </w:tc>
      </w:tr>
      <w:tr w14:paraId="15D6A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448835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大模型语音交互</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61DF0B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降级</w:t>
            </w:r>
          </w:p>
        </w:tc>
        <w:tc>
          <w:tcPr>
            <w:tcW w:w="55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5DE948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跌倒场景下受噪声、方言、疼痛影响，识别可靠性差，不作为救援依据。仅在二期路线图中作为提升交互温度的辅助工具出现</w:t>
            </w:r>
          </w:p>
        </w:tc>
      </w:tr>
    </w:tbl>
    <w:p w14:paraId="1B991F1C">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张表反映的是一个判断：在一个面向老年人的健康相关产品上，功能的减法比加法更需要专业能力。移除电刺激与疾病预警这两项，正是团队中运动康复与运动医学专业成员对创业冲动的一次纠偏（见第九章9.5.3）。</w:t>
      </w:r>
    </w:p>
    <w:p w14:paraId="193D891D">
      <w:pPr>
        <w:pStyle w:val="4"/>
        <w:keepNext w:val="0"/>
        <w:keepLines w:val="0"/>
        <w:kinsoku/>
        <w:wordWrap/>
        <w:overflowPunct/>
        <w:topLinePunct w:val="0"/>
        <w:autoSpaceDE/>
        <w:autoSpaceDN/>
        <w:bidi w:val="0"/>
        <w:adjustRightInd/>
        <w:snapToGrid/>
        <w:spacing w:line="300" w:lineRule="auto"/>
        <w:textAlignment w:val="auto"/>
      </w:pPr>
      <w:bookmarkStart w:id="295" w:name="_Toc24200"/>
      <w:bookmarkStart w:id="296" w:name="_Toc27359"/>
      <w:r>
        <w:rPr>
          <w:rFonts w:hint="eastAsia"/>
        </w:rPr>
        <w:t>8.3.5未来器械路径的预留</w:t>
      </w:r>
      <w:bookmarkEnd w:id="295"/>
      <w:bookmarkEnd w:id="296"/>
    </w:p>
    <w:p w14:paraId="2A928024">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不排除未来进入医疗机构采购场景的可能。届时产品属性认定可能发生变化，需要开展器械分类界定并评估注册路径。团队对此的处理是：现阶段不作医疗声明、不采集医疗数据、不与医疗机构信息系统对接，保持产品与医疗场景的清晰隔离；同时在技术文档中保留完整的设计与验证记录，为未来可能的注册申报保留材料基础。</w:t>
      </w:r>
    </w:p>
    <w:p w14:paraId="367956BB">
      <w:pPr>
        <w:pStyle w:val="3"/>
        <w:bidi w:val="0"/>
      </w:pPr>
      <w:bookmarkStart w:id="297" w:name="_Toc23421"/>
      <w:bookmarkStart w:id="298" w:name="_Toc15338"/>
      <w:r>
        <w:rPr>
          <w:rFonts w:hint="eastAsia"/>
        </w:rPr>
        <w:t>8.4产品安全与责任风险</w:t>
      </w:r>
      <w:bookmarkEnd w:id="297"/>
      <w:bookmarkEnd w:id="298"/>
    </w:p>
    <w:p w14:paraId="0D2C2055">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本节讨论的是一类容易被忽略的风险：产品本身可能造成伤害，以及产品可能在使用者期待的场合未能发挥作用。气囊是一个在人体上执行的机械动作装置，这使本项目与纯监测类产品有本质区别。</w:t>
      </w:r>
    </w:p>
    <w:p w14:paraId="69858348">
      <w:pPr>
        <w:pStyle w:val="4"/>
        <w:keepNext w:val="0"/>
        <w:keepLines w:val="0"/>
        <w:kinsoku/>
        <w:wordWrap/>
        <w:overflowPunct/>
        <w:topLinePunct w:val="0"/>
        <w:autoSpaceDE/>
        <w:autoSpaceDN/>
        <w:bidi w:val="0"/>
        <w:adjustRightInd/>
        <w:snapToGrid/>
        <w:spacing w:line="300" w:lineRule="auto"/>
        <w:textAlignment w:val="auto"/>
      </w:pPr>
      <w:bookmarkStart w:id="299" w:name="_Toc7024"/>
      <w:bookmarkStart w:id="300" w:name="_Toc8807"/>
      <w:r>
        <w:rPr>
          <w:rFonts w:hint="eastAsia"/>
        </w:rPr>
        <w:t>8.4.1误触发的物理安全</w:t>
      </w:r>
      <w:bookmarkEnd w:id="299"/>
      <w:bookmarkEnd w:id="300"/>
    </w:p>
    <w:p w14:paraId="6191439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气囊在老人身上意外充气，可能造成惊吓、失去平衡，甚至诱发本不会发生的跌倒。对于心血管疾病患者，突然的惊吓本身即构成健康风险。</w:t>
      </w:r>
    </w:p>
    <w:p w14:paraId="1DA55F25">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应对措施。第一，触发判据要求模型输出连续多帧保持触发标签，防止单帧噪声误触发。第二，限定气囊的充气压力与展开体积，以完成缓冲覆盖为限，不追求更大的展开尺寸。第三，气囊展开方向设计为向外侧包裹，避免对躯干产生挤压。第四，配发前进行使用者健康状况问询，对严重心血管疾病患者给出使用提示。第五，在社区培训环节安排一次受控的展开演示，使老人预先知道气囊展开时的感受，降低真实触发时的惊吓程度。</w:t>
      </w:r>
    </w:p>
    <w:p w14:paraId="1B39875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第五项措施看似简单，实际重要。老人对未知的机械动作会本能恐惧，而对已经体验过的动作则不会。让老人在安全环境下先经历一次，是把惊吓风险转化为信任的低成本手段。</w:t>
      </w:r>
    </w:p>
    <w:p w14:paraId="084DD017">
      <w:pPr>
        <w:pStyle w:val="4"/>
        <w:keepNext w:val="0"/>
        <w:keepLines w:val="0"/>
        <w:kinsoku/>
        <w:wordWrap/>
        <w:overflowPunct/>
        <w:topLinePunct w:val="0"/>
        <w:autoSpaceDE/>
        <w:autoSpaceDN/>
        <w:bidi w:val="0"/>
        <w:adjustRightInd/>
        <w:snapToGrid/>
        <w:spacing w:line="300" w:lineRule="auto"/>
        <w:textAlignment w:val="auto"/>
      </w:pPr>
      <w:bookmarkStart w:id="301" w:name="_Toc25928"/>
      <w:bookmarkStart w:id="302" w:name="_Toc17675"/>
      <w:r>
        <w:rPr>
          <w:rFonts w:hint="eastAsia"/>
        </w:rPr>
        <w:t>8.4.2防护范围有限带来的期待落差</w:t>
      </w:r>
      <w:bookmarkEnd w:id="301"/>
      <w:bookmarkEnd w:id="302"/>
    </w:p>
    <w:p w14:paraId="3FF33D2E">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一期产品的防护范围为双侧髋部大转子与腰骶部，这意味着跌倒时头部、上肢等部位仍可能受伤。该范围的确定依据见第三章3.1.3，但即便依据充分，使用者仍可能形成产品能防住所有伤害的理解，并在实际发生其他部位损伤时产生落差乃至责任争议。</w:t>
      </w:r>
    </w:p>
    <w:p w14:paraId="691027F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应对措施。第一，表述层面统一口径为腰髋部主动缓冲防护，全部材料中禁用全身防护、全方位保护一类表述（见表8-3）。第二，配发环节在用户手册与告知书中明确列出防护覆盖部位与未覆盖部位，并在社区培训中由专业成员口头说明。第三，配套的防跌安全宣讲不局限于设备本身，同时提供环境改造建议与防跌动作指导，把降低跌倒发生概率与降低伤害后果作为两件事同时推进——设备只能处理后者。第四，在技术路线上按分代规划推进防护范围的扩展（见第三章表3-2），但在能力未验证前不对外承诺时间表。</w:t>
      </w:r>
    </w:p>
    <w:p w14:paraId="4CE6525B">
      <w:pPr>
        <w:pStyle w:val="4"/>
        <w:keepNext w:val="0"/>
        <w:keepLines w:val="0"/>
        <w:kinsoku/>
        <w:wordWrap/>
        <w:overflowPunct/>
        <w:topLinePunct w:val="0"/>
        <w:autoSpaceDE/>
        <w:autoSpaceDN/>
        <w:bidi w:val="0"/>
        <w:adjustRightInd/>
        <w:snapToGrid/>
        <w:spacing w:line="300" w:lineRule="auto"/>
        <w:textAlignment w:val="auto"/>
      </w:pPr>
      <w:bookmarkStart w:id="303" w:name="_Toc8248"/>
      <w:bookmarkStart w:id="304" w:name="_Toc29162"/>
      <w:r>
        <w:rPr>
          <w:rFonts w:hint="eastAsia"/>
        </w:rPr>
        <w:t>8.4.3使用禁忌与配发筛查</w:t>
      </w:r>
      <w:bookmarkEnd w:id="303"/>
      <w:bookmarkEnd w:id="304"/>
    </w:p>
    <w:p w14:paraId="7C154BAF">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产品并非适用于全部老年人。以下情形在配发环节需予以排查并给出使用建议：严重心血管疾病、腰部近期手术或急性损伤、认知障碍导致无法理解设备用途、皮肤对织物材质过敏、体型超出产品适配范围。相关排查纳入社区落地作业手册的部署环节。</w:t>
      </w:r>
    </w:p>
    <w:p w14:paraId="1D9F3374">
      <w:pPr>
        <w:pStyle w:val="4"/>
        <w:keepNext w:val="0"/>
        <w:keepLines w:val="0"/>
        <w:kinsoku/>
        <w:wordWrap/>
        <w:overflowPunct/>
        <w:topLinePunct w:val="0"/>
        <w:autoSpaceDE/>
        <w:autoSpaceDN/>
        <w:bidi w:val="0"/>
        <w:adjustRightInd/>
        <w:snapToGrid/>
        <w:spacing w:line="300" w:lineRule="auto"/>
        <w:textAlignment w:val="auto"/>
      </w:pPr>
      <w:bookmarkStart w:id="305" w:name="_Toc31775"/>
      <w:bookmarkStart w:id="306" w:name="_Toc28917"/>
      <w:r>
        <w:rPr>
          <w:rFonts w:hint="eastAsia"/>
        </w:rPr>
        <w:t>8.4.4责任界定与保险</w:t>
      </w:r>
      <w:bookmarkEnd w:id="305"/>
      <w:bookmarkEnd w:id="306"/>
    </w:p>
    <w:p w14:paraId="40420B22">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rFonts w:hint="eastAsia" w:eastAsia="宋体"/>
          <w:color w:val="000000" w:themeColor="text1"/>
          <w:lang w:eastAsia="zh-CN"/>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防跌产品无法保证在所有跌倒情形下均有效。若使用者佩戴产品仍发生严重伤害，可能产生责任争议。团队的处理如下</w:t>
      </w:r>
      <w:r>
        <w:rPr>
          <w:rFonts w:hint="eastAsia" w:ascii="宋体" w:hAnsi="宋体" w:cs="宋体"/>
          <w:b w:val="0"/>
          <w:bCs w:val="0"/>
          <w:color w:val="000000" w:themeColor="text1"/>
          <w:sz w:val="24"/>
          <w:szCs w:val="24"/>
          <w:lang w:eastAsia="zh-CN"/>
          <w14:textFill>
            <w14:solidFill>
              <w14:schemeClr w14:val="tx1"/>
            </w14:solidFill>
          </w14:textFill>
        </w:rPr>
        <w:t>：</w:t>
      </w:r>
    </w:p>
    <w:p w14:paraId="19E6AEC2">
      <w:pPr>
        <w:keepNext w:val="0"/>
        <w:keepLines w:val="0"/>
        <w:pageBreakBefore w:val="0"/>
        <w:kinsoku/>
        <w:wordWrap/>
        <w:overflowPunct/>
        <w:topLinePunct w:val="0"/>
        <w:autoSpaceDE/>
        <w:autoSpaceDN/>
        <w:bidi w:val="0"/>
        <w:adjustRightInd/>
        <w:snapToGrid/>
        <w:spacing w:before="40" w:after="10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①</w:t>
      </w:r>
      <w:r>
        <w:rPr>
          <w:rFonts w:hint="eastAsia" w:ascii="宋体" w:hAnsi="宋体" w:eastAsia="宋体" w:cs="宋体"/>
          <w:color w:val="000000" w:themeColor="text1"/>
          <w:sz w:val="24"/>
          <w:szCs w:val="24"/>
          <w14:textFill>
            <w14:solidFill>
              <w14:schemeClr w14:val="tx1"/>
            </w14:solidFill>
          </w14:textFill>
        </w:rPr>
        <w:t>表述层面。在用户手册、配发告知书与培训环节中明确说明产品的作用边界，包括覆盖哪些部位、在何种情形下可能不起作用，不作任何绝对性承诺。</w:t>
      </w:r>
    </w:p>
    <w:p w14:paraId="77F9B2AE">
      <w:pPr>
        <w:keepNext w:val="0"/>
        <w:keepLines w:val="0"/>
        <w:pageBreakBefore w:val="0"/>
        <w:kinsoku/>
        <w:wordWrap/>
        <w:overflowPunct/>
        <w:topLinePunct w:val="0"/>
        <w:autoSpaceDE/>
        <w:autoSpaceDN/>
        <w:bidi w:val="0"/>
        <w:adjustRightInd/>
        <w:snapToGrid/>
        <w:spacing w:before="40" w:after="10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②</w:t>
      </w:r>
      <w:r>
        <w:rPr>
          <w:rFonts w:hint="eastAsia" w:ascii="宋体" w:hAnsi="宋体" w:eastAsia="宋体" w:cs="宋体"/>
          <w:color w:val="000000" w:themeColor="text1"/>
          <w:sz w:val="24"/>
          <w:szCs w:val="24"/>
          <w14:textFill>
            <w14:solidFill>
              <w14:schemeClr w14:val="tx1"/>
            </w14:solidFill>
          </w14:textFill>
        </w:rPr>
        <w:t>记录层面。设备事件日志与社区服务档案完整留存，为可能的争议提供事实依据。</w:t>
      </w:r>
    </w:p>
    <w:p w14:paraId="65053F75">
      <w:pPr>
        <w:keepNext w:val="0"/>
        <w:keepLines w:val="0"/>
        <w:pageBreakBefore w:val="0"/>
        <w:kinsoku/>
        <w:wordWrap/>
        <w:overflowPunct/>
        <w:topLinePunct w:val="0"/>
        <w:autoSpaceDE/>
        <w:autoSpaceDN/>
        <w:bidi w:val="0"/>
        <w:adjustRightInd/>
        <w:snapToGrid/>
        <w:spacing w:before="40" w:after="10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③</w:t>
      </w:r>
      <w:r>
        <w:rPr>
          <w:rFonts w:hint="eastAsia" w:ascii="宋体" w:hAnsi="宋体" w:eastAsia="宋体" w:cs="宋体"/>
          <w:color w:val="000000" w:themeColor="text1"/>
          <w:sz w:val="24"/>
          <w:szCs w:val="24"/>
          <w14:textFill>
            <w14:solidFill>
              <w14:schemeClr w14:val="tx1"/>
            </w14:solidFill>
          </w14:textFill>
        </w:rPr>
        <w:t>保障层面。在进入规模推广前投保产品责任险；与合作机构在服务协议中明确各方责任边界。</w:t>
      </w:r>
    </w:p>
    <w:p w14:paraId="1D079EAB">
      <w:pPr>
        <w:keepNext w:val="0"/>
        <w:keepLines w:val="0"/>
        <w:pageBreakBefore w:val="0"/>
        <w:kinsoku/>
        <w:wordWrap/>
        <w:overflowPunct/>
        <w:topLinePunct w:val="0"/>
        <w:autoSpaceDE/>
        <w:autoSpaceDN/>
        <w:bidi w:val="0"/>
        <w:adjustRightInd/>
        <w:snapToGrid/>
        <w:spacing w:before="40" w:after="10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④</w:t>
      </w:r>
      <w:r>
        <w:rPr>
          <w:rFonts w:hint="eastAsia" w:ascii="宋体" w:hAnsi="宋体" w:eastAsia="宋体" w:cs="宋体"/>
          <w:color w:val="000000" w:themeColor="text1"/>
          <w:sz w:val="24"/>
          <w:szCs w:val="24"/>
          <w14:textFill>
            <w14:solidFill>
              <w14:schemeClr w14:val="tx1"/>
            </w14:solidFill>
          </w14:textFill>
        </w:rPr>
        <w:t>验证层面。以第三方检测报告作为产品性能的客观依据，不以团队自测数据作为对外承诺的唯一凭证。</w:t>
      </w:r>
    </w:p>
    <w:p w14:paraId="35B94F65">
      <w:pPr>
        <w:pStyle w:val="3"/>
        <w:bidi w:val="0"/>
      </w:pPr>
      <w:bookmarkStart w:id="307" w:name="_Toc32122"/>
      <w:bookmarkStart w:id="308" w:name="_Toc22850"/>
      <w:r>
        <w:rPr>
          <w:rFonts w:hint="eastAsia"/>
        </w:rPr>
        <w:t>8.5市场与运营风险</w:t>
      </w:r>
      <w:bookmarkEnd w:id="307"/>
      <w:bookmarkEnd w:id="308"/>
    </w:p>
    <w:p w14:paraId="22C20B37">
      <w:pPr>
        <w:pStyle w:val="4"/>
        <w:keepNext w:val="0"/>
        <w:keepLines w:val="0"/>
        <w:kinsoku/>
        <w:wordWrap/>
        <w:overflowPunct/>
        <w:topLinePunct w:val="0"/>
        <w:autoSpaceDE/>
        <w:autoSpaceDN/>
        <w:bidi w:val="0"/>
        <w:adjustRightInd/>
        <w:snapToGrid/>
        <w:spacing w:line="300" w:lineRule="auto"/>
        <w:textAlignment w:val="auto"/>
      </w:pPr>
      <w:bookmarkStart w:id="309" w:name="_Toc25129"/>
      <w:bookmarkStart w:id="310" w:name="_Toc13115"/>
      <w:r>
        <w:rPr>
          <w:rFonts w:hint="eastAsia"/>
        </w:rPr>
        <w:t>8.5.1佩戴依从性不足</w:t>
      </w:r>
      <w:bookmarkEnd w:id="309"/>
      <w:bookmarkEnd w:id="310"/>
    </w:p>
    <w:p w14:paraId="42CD0F1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这是防跌穿戴产品最普遍的失效方式，也是传统护髋产品有效却推广不开的根本原因。调研显示，传统防护产品的痛点排名依次为太厚太热54.0%、勒得不舒服44.5%、功能单一40.9%、活动不方便33.6%、穿脱麻烦32.8%。</w:t>
      </w:r>
    </w:p>
    <w:p w14:paraId="1DE7932E">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应对措施。三个层面同时着手。产品层面以护腰形态提供日常佩戴动机，并把轻薄舒适设为硬指标；服务层面在社区落地作业手册中设置佩戴率监测与定期回访，依托网页端看板识别依从性下降的对象；制度层面引入社区激励机制，将规律佩戴数据对接社区助餐折扣与服务积分等既有福利资源（见第四章4.3.3）。</w:t>
      </w:r>
    </w:p>
    <w:p w14:paraId="0659324F">
      <w:pPr>
        <w:pStyle w:val="4"/>
        <w:keepNext w:val="0"/>
        <w:keepLines w:val="0"/>
        <w:kinsoku/>
        <w:wordWrap/>
        <w:overflowPunct/>
        <w:topLinePunct w:val="0"/>
        <w:autoSpaceDE/>
        <w:autoSpaceDN/>
        <w:bidi w:val="0"/>
        <w:adjustRightInd/>
        <w:snapToGrid/>
        <w:spacing w:line="300" w:lineRule="auto"/>
        <w:textAlignment w:val="auto"/>
      </w:pPr>
      <w:bookmarkStart w:id="311" w:name="_Toc17764"/>
      <w:bookmarkStart w:id="312" w:name="_Toc24523"/>
      <w:r>
        <w:rPr>
          <w:rFonts w:hint="eastAsia"/>
        </w:rPr>
        <w:t>8.5.2机构采购周期与预算不确定</w:t>
      </w:r>
      <w:bookmarkEnd w:id="311"/>
      <w:bookmarkEnd w:id="312"/>
    </w:p>
    <w:p w14:paraId="3CD8DF0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社区养老服务机构的设备采购预算受财政安排影响，采购决策链条较长，存在周期不确定与预算落空的风险。本项目一期收入高度依赖机构端，该风险直接影响现金流。</w:t>
      </w:r>
    </w:p>
    <w:p w14:paraId="19EF29C0">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应对措施。第一，收入结构中平台订阅与机构服务费的占比逐年提升，稳态年收入全部来自服务性收入，降低对一次性设备采购的依赖（见第七章表7-4）。第二，同步推进政府购买服务与家庭端两条备选路径，家庭端已设置基础款与下沉版以匹配个人支付意愿。第三，先在单个社区跑出可量化的成效数据，再以此为凭据推进街道层面的推广，缩短后续点位的决策周期。</w:t>
      </w:r>
    </w:p>
    <w:p w14:paraId="76AD5E93">
      <w:pPr>
        <w:pStyle w:val="4"/>
        <w:keepNext w:val="0"/>
        <w:keepLines w:val="0"/>
        <w:kinsoku/>
        <w:wordWrap/>
        <w:overflowPunct/>
        <w:topLinePunct w:val="0"/>
        <w:autoSpaceDE/>
        <w:autoSpaceDN/>
        <w:bidi w:val="0"/>
        <w:adjustRightInd/>
        <w:snapToGrid/>
        <w:spacing w:line="300" w:lineRule="auto"/>
        <w:textAlignment w:val="auto"/>
      </w:pPr>
      <w:bookmarkStart w:id="313" w:name="_Toc25754"/>
      <w:bookmarkStart w:id="314" w:name="_Toc29195"/>
      <w:r>
        <w:rPr>
          <w:rFonts w:hint="eastAsia"/>
        </w:rPr>
        <w:t>8.5.3供应链风险</w:t>
      </w:r>
      <w:bookmarkEnd w:id="313"/>
      <w:bookmarkEnd w:id="314"/>
    </w:p>
    <w:p w14:paraId="25180912">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的定制件包括柔性传感织物、气囊本体、储气罐与电磁快速阀四项，均需外部采购，存在供应商单一、交期不稳与质量波动的风险。其中柔性传感织物尚未取得报价，是成本与供应两个维度上不确定性最高的一项。</w:t>
      </w:r>
    </w:p>
    <w:p w14:paraId="5F85BED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应对措施。将定制件控制在四项，其余采用通用元器件；对每项定制件各储备两家以上备选供应商；在小批量试产阶段完成来料检验标准与验收流程的建立。储气罐与电磁阀属工业气动领域的成熟品类，国内供应商基数大，替代选择充足；气囊模组已获得供应商初步报价，正在推进第二家备选；柔性传感织物的询价正在推进，在报价明确前，相关成本测算按估算值列示并标注待验证。</w:t>
      </w:r>
    </w:p>
    <w:p w14:paraId="0A156E0D">
      <w:pPr>
        <w:pStyle w:val="3"/>
        <w:bidi w:val="0"/>
      </w:pPr>
      <w:bookmarkStart w:id="315" w:name="_Toc9235"/>
      <w:bookmarkStart w:id="316" w:name="_Toc12102"/>
      <w:r>
        <w:rPr>
          <w:rFonts w:hint="eastAsia"/>
        </w:rPr>
        <w:t>8.6数据安全与伦理风险</w:t>
      </w:r>
      <w:bookmarkEnd w:id="315"/>
      <w:bookmarkEnd w:id="316"/>
    </w:p>
    <w:p w14:paraId="5176D0EF">
      <w:pPr>
        <w:pStyle w:val="4"/>
        <w:keepNext w:val="0"/>
        <w:keepLines w:val="0"/>
        <w:kinsoku/>
        <w:wordWrap/>
        <w:overflowPunct/>
        <w:topLinePunct w:val="0"/>
        <w:autoSpaceDE/>
        <w:autoSpaceDN/>
        <w:bidi w:val="0"/>
        <w:adjustRightInd/>
        <w:snapToGrid/>
        <w:spacing w:line="300" w:lineRule="auto"/>
        <w:textAlignment w:val="auto"/>
      </w:pPr>
      <w:bookmarkStart w:id="317" w:name="_Toc6994"/>
      <w:bookmarkStart w:id="318" w:name="_Toc29641"/>
      <w:r>
        <w:rPr>
          <w:rFonts w:hint="eastAsia"/>
        </w:rPr>
        <w:t>8.6.1数据采集伦理</w:t>
      </w:r>
      <w:bookmarkEnd w:id="317"/>
      <w:bookmarkEnd w:id="318"/>
    </w:p>
    <w:p w14:paraId="7C140FF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本项目涉及人体运动数据采集，且受试者中包含老年人这一相对脆弱群体，伦理风险须予以严格控制。</w:t>
      </w:r>
    </w:p>
    <w:p w14:paraId="0FF597AE">
      <w:pPr>
        <w:keepNext w:val="0"/>
        <w:keepLines w:val="0"/>
        <w:pageBreakBefore w:val="0"/>
        <w:kinsoku/>
        <w:wordWrap/>
        <w:overflowPunct/>
        <w:topLinePunct w:val="0"/>
        <w:autoSpaceDE/>
        <w:autoSpaceDN/>
        <w:bidi w:val="0"/>
        <w:adjustRightInd/>
        <w:snapToGrid/>
        <w:spacing w:before="40" w:after="10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①</w:t>
      </w:r>
      <w:r>
        <w:rPr>
          <w:rFonts w:hint="eastAsia" w:ascii="宋体" w:hAnsi="宋体" w:eastAsia="宋体" w:cs="宋体"/>
          <w:color w:val="000000" w:themeColor="text1"/>
          <w:sz w:val="24"/>
          <w:szCs w:val="24"/>
          <w14:textFill>
            <w14:solidFill>
              <w14:schemeClr w14:val="tx1"/>
            </w14:solidFill>
          </w14:textFill>
        </w:rPr>
        <w:t>知情同意。全部采集在充分告知并取得书面知情同意的前提下进行，告知内容包括采集目的、数据用途、保存期限与退出方式。</w:t>
      </w:r>
    </w:p>
    <w:p w14:paraId="33BBFBAE">
      <w:pPr>
        <w:keepNext w:val="0"/>
        <w:keepLines w:val="0"/>
        <w:pageBreakBefore w:val="0"/>
        <w:kinsoku/>
        <w:wordWrap/>
        <w:overflowPunct/>
        <w:topLinePunct w:val="0"/>
        <w:autoSpaceDE/>
        <w:autoSpaceDN/>
        <w:bidi w:val="0"/>
        <w:adjustRightInd/>
        <w:snapToGrid/>
        <w:spacing w:before="40" w:after="10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②</w:t>
      </w:r>
      <w:r>
        <w:rPr>
          <w:rFonts w:hint="eastAsia" w:ascii="宋体" w:hAnsi="宋体" w:eastAsia="宋体" w:cs="宋体"/>
          <w:color w:val="000000" w:themeColor="text1"/>
          <w:sz w:val="24"/>
          <w:szCs w:val="24"/>
          <w14:textFill>
            <w14:solidFill>
              <w14:schemeClr w14:val="tx1"/>
            </w14:solidFill>
          </w14:textFill>
        </w:rPr>
        <w:t>受试者安全。跌倒动作的模拟采集全部由青年志愿者在保护垫等安全条件下完成，老年受试者仅参与正常行走与日常动作采集，不进行任何失衡或跌倒模拟。这是不可逾越的底线。</w:t>
      </w:r>
    </w:p>
    <w:p w14:paraId="04C0E689">
      <w:pPr>
        <w:keepNext w:val="0"/>
        <w:keepLines w:val="0"/>
        <w:pageBreakBefore w:val="0"/>
        <w:kinsoku/>
        <w:wordWrap/>
        <w:overflowPunct/>
        <w:topLinePunct w:val="0"/>
        <w:autoSpaceDE/>
        <w:autoSpaceDN/>
        <w:bidi w:val="0"/>
        <w:adjustRightInd/>
        <w:snapToGrid/>
        <w:spacing w:before="40" w:after="10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③</w:t>
      </w:r>
      <w:r>
        <w:rPr>
          <w:rFonts w:hint="eastAsia" w:ascii="宋体" w:hAnsi="宋体" w:eastAsia="宋体" w:cs="宋体"/>
          <w:color w:val="000000" w:themeColor="text1"/>
          <w:sz w:val="24"/>
          <w:szCs w:val="24"/>
          <w14:textFill>
            <w14:solidFill>
              <w14:schemeClr w14:val="tx1"/>
            </w14:solidFill>
          </w14:textFill>
        </w:rPr>
        <w:t>现场保障。采集全程有团队成员在旁保护，场地提前排查湿滑与障碍物；指导教师随队；参与人员投保人身意外险。2026年暑期社区采集全程零安全事故。</w:t>
      </w:r>
    </w:p>
    <w:p w14:paraId="2D3527FC">
      <w:pPr>
        <w:pStyle w:val="4"/>
        <w:keepNext w:val="0"/>
        <w:keepLines w:val="0"/>
        <w:kinsoku/>
        <w:wordWrap/>
        <w:overflowPunct/>
        <w:topLinePunct w:val="0"/>
        <w:autoSpaceDE/>
        <w:autoSpaceDN/>
        <w:bidi w:val="0"/>
        <w:adjustRightInd/>
        <w:snapToGrid/>
        <w:spacing w:line="300" w:lineRule="auto"/>
        <w:textAlignment w:val="auto"/>
      </w:pPr>
      <w:bookmarkStart w:id="319" w:name="_Toc27127"/>
      <w:bookmarkStart w:id="320" w:name="_Toc29720"/>
      <w:r>
        <w:rPr>
          <w:rFonts w:hint="eastAsia"/>
        </w:rPr>
        <w:t>8.6.2个人信息保护</w:t>
      </w:r>
      <w:bookmarkEnd w:id="319"/>
      <w:bookmarkEnd w:id="320"/>
    </w:p>
    <w:p w14:paraId="4B229D0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产品运行过程中会持续采集使用者的运动数据与位置信息，属于个人信息范畴，其中位置信息具有较高敏感性。调研中亦有11.1%的老人明确表示担心隐私而不愿使用监测功能。</w:t>
      </w:r>
    </w:p>
    <w:p w14:paraId="1E02BDD0">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应对措施。第一，采用端侧推理架构，运动数据的识别判断在设备本地完成，不向云端上传连续运动数据，这既是实时性要求，也是隐私保护的结构性设计。第二，仅在跌倒事件确认后上报位置信息，日常不进行位置追踪。第三，用于社区画像的数据经匿名化处理，网页端输出结果为群体层面的分布，不指向个体。第四，遵循最小必要原则采集数据，明确保存期限与删除机制。</w:t>
      </w:r>
    </w:p>
    <w:p w14:paraId="5C22988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端侧推理在这里同时解决了两个问题。它既满足了百毫秒级的实时性要求，又使连续运动数据不必离开设备。技术选择与隐私保护在此处是一致的，而非相互妥协。</w:t>
      </w:r>
    </w:p>
    <w:p w14:paraId="00C7A4D6">
      <w:pPr>
        <w:pStyle w:val="4"/>
        <w:keepNext w:val="0"/>
        <w:keepLines w:val="0"/>
        <w:kinsoku/>
        <w:wordWrap/>
        <w:overflowPunct/>
        <w:topLinePunct w:val="0"/>
        <w:autoSpaceDE/>
        <w:autoSpaceDN/>
        <w:bidi w:val="0"/>
        <w:adjustRightInd/>
        <w:snapToGrid/>
        <w:spacing w:line="300" w:lineRule="auto"/>
        <w:textAlignment w:val="auto"/>
      </w:pPr>
      <w:bookmarkStart w:id="321" w:name="_Toc26734"/>
      <w:bookmarkStart w:id="322" w:name="_Toc29465"/>
      <w:r>
        <w:rPr>
          <w:rFonts w:hint="eastAsia"/>
        </w:rPr>
        <w:t>8.6.3公开数据集的许可证合规</w:t>
      </w:r>
      <w:bookmarkEnd w:id="321"/>
      <w:bookmarkEnd w:id="322"/>
    </w:p>
    <w:p w14:paraId="6F784A60">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算法开发使用了多个国际公开数据集，其许可证条款对商业使用存在不同限制。团队已逐项开展审查，并据此调整了数据使用范围：排除了一项禁止商业使用的数据集，以及一项官方标注为教学用途、样本量仅15人的数据集，其余五项确认可用于包括商业用途在内的使用并按要求署名（详见第三章3.6.3）。</w:t>
      </w:r>
    </w:p>
    <w:p w14:paraId="5CE406BC">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这一审查在学生项目中常被忽略，但对规划商业化的项目而言，数据许可证是必须前置排除的法律风险。</w:t>
      </w:r>
    </w:p>
    <w:p w14:paraId="01D8C581">
      <w:pPr>
        <w:pStyle w:val="3"/>
        <w:bidi w:val="0"/>
      </w:pPr>
      <w:bookmarkStart w:id="323" w:name="_Toc22326"/>
      <w:bookmarkStart w:id="324" w:name="_Toc24362"/>
      <w:r>
        <w:rPr>
          <w:rFonts w:hint="eastAsia"/>
        </w:rPr>
        <w:t>8.7财务与税务风险</w:t>
      </w:r>
      <w:bookmarkEnd w:id="323"/>
      <w:bookmarkEnd w:id="324"/>
    </w:p>
    <w:p w14:paraId="5D08F4C5">
      <w:pPr>
        <w:pStyle w:val="4"/>
        <w:keepNext w:val="0"/>
        <w:keepLines w:val="0"/>
        <w:kinsoku/>
        <w:wordWrap/>
        <w:overflowPunct/>
        <w:topLinePunct w:val="0"/>
        <w:autoSpaceDE/>
        <w:autoSpaceDN/>
        <w:bidi w:val="0"/>
        <w:adjustRightInd/>
        <w:snapToGrid/>
        <w:spacing w:line="300" w:lineRule="auto"/>
        <w:textAlignment w:val="auto"/>
      </w:pPr>
      <w:bookmarkStart w:id="325" w:name="_Toc27567"/>
      <w:bookmarkStart w:id="326" w:name="_Toc25804"/>
      <w:r>
        <w:rPr>
          <w:rFonts w:hint="eastAsia"/>
        </w:rPr>
        <w:t>8.7.1资金链风险</w:t>
      </w:r>
      <w:bookmarkEnd w:id="325"/>
      <w:bookmarkEnd w:id="326"/>
    </w:p>
    <w:p w14:paraId="7DA73922">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按第七章测算，项目前两年累计亏损约102.4万元，三年资金需求约225万元。若融资进度不及预期，将影响样机试制与社区复制的节奏。</w:t>
      </w:r>
    </w:p>
    <w:p w14:paraId="36DD2EFE">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应对措施。优先争取创新创业竞赛奖金、学校创业扶持资金与政府创业补贴等非稀释性资金；第一年依托学校实验室平台开展研发，将现金支出压缩至约40万元；将样机试制与社区复制设为可分阶段推进的任务，在资金不足时优先保证数据集与算法这两项核心资产的积累。</w:t>
      </w:r>
    </w:p>
    <w:p w14:paraId="782A71BF">
      <w:pPr>
        <w:pStyle w:val="4"/>
        <w:keepNext w:val="0"/>
        <w:keepLines w:val="0"/>
        <w:kinsoku/>
        <w:wordWrap/>
        <w:overflowPunct/>
        <w:topLinePunct w:val="0"/>
        <w:autoSpaceDE/>
        <w:autoSpaceDN/>
        <w:bidi w:val="0"/>
        <w:adjustRightInd/>
        <w:snapToGrid/>
        <w:spacing w:line="300" w:lineRule="auto"/>
        <w:textAlignment w:val="auto"/>
      </w:pPr>
      <w:bookmarkStart w:id="327" w:name="_Toc28708"/>
      <w:bookmarkStart w:id="328" w:name="_Toc9455"/>
      <w:r>
        <w:rPr>
          <w:rFonts w:hint="eastAsia"/>
        </w:rPr>
        <w:t>8.7.2物料成本高于测算的风险</w:t>
      </w:r>
      <w:bookmarkEnd w:id="327"/>
      <w:bookmarkEnd w:id="328"/>
    </w:p>
    <w:p w14:paraId="53E73C9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第七章的财务模型以单台物料成本作为关键输入，而该数值目前为公开市场价估算，其中柔性传感织物一项尚未取得任何报价。若实际询价结果显著高于估算，单位经济模型的毛利率与盈亏平衡点将同步变化。</w:t>
      </w:r>
    </w:p>
    <w:p w14:paraId="4E9F41BA">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应对措施。第一，已启动四项定制件的多家询价，以正式报价替换估算值，并在第七章表7-14中将该项单列为待验证假设。第二，第七章敏感性分析已覆盖设备单价与服务费的变动区间，成本上行可通过定价结构调整部分吸收。第三，样机阶段的单件采购价与规模化量产价存在数量级差异，财务模型采用的是规模化口径，该口径的成立以第二年完成小批量试产与工艺定型为前提，这一条件已列入第七章表7-1的年度目标。</w:t>
      </w:r>
    </w:p>
    <w:p w14:paraId="2BB09FA8">
      <w:pPr>
        <w:pStyle w:val="4"/>
        <w:keepNext w:val="0"/>
        <w:keepLines w:val="0"/>
        <w:kinsoku/>
        <w:wordWrap/>
        <w:overflowPunct/>
        <w:topLinePunct w:val="0"/>
        <w:autoSpaceDE/>
        <w:autoSpaceDN/>
        <w:bidi w:val="0"/>
        <w:adjustRightInd/>
        <w:snapToGrid/>
        <w:spacing w:line="300" w:lineRule="auto"/>
        <w:textAlignment w:val="auto"/>
      </w:pPr>
      <w:bookmarkStart w:id="329" w:name="_Toc26014"/>
      <w:bookmarkStart w:id="330" w:name="_Toc1474"/>
      <w:r>
        <w:rPr>
          <w:rFonts w:hint="eastAsia"/>
        </w:rPr>
        <w:t>8.7.3税收优惠政策到期</w:t>
      </w:r>
      <w:bookmarkEnd w:id="329"/>
      <w:bookmarkEnd w:id="330"/>
    </w:p>
    <w:p w14:paraId="591D56AA">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第七章税负测算中，小规模纳税人季度销售额30万元以下免征增值税、六税两费减半征收两项优惠，按现行政策执行至2027年12月31日，而本项目第三年对应2028年下半年至2029年上半年，届时政策是否延续尚不确定。此外，若业务规模超出预期，年应税销售额触及500万元的一般纳税人登记门槛，税负结构将发生变化。</w:t>
      </w:r>
    </w:p>
    <w:p w14:paraId="7702BCF2">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应对措施。测算按现行政策进行并明确标注政策依据与有效期；即便完全取消上述优惠，增值税及附加的增加额在十万元量级以内，不改变盈亏平衡所需点位数的基本结论；在企业实体设立时同步开展税务身份规划，由团队中财务方向成员持续跟踪政策变动并更新测算。</w:t>
      </w:r>
    </w:p>
    <w:p w14:paraId="28ADE199">
      <w:pPr>
        <w:pStyle w:val="3"/>
        <w:bidi w:val="0"/>
      </w:pPr>
      <w:bookmarkStart w:id="331" w:name="_Toc19360"/>
      <w:bookmarkStart w:id="332" w:name="_Toc11203"/>
      <w:r>
        <w:rPr>
          <w:rFonts w:hint="eastAsia"/>
        </w:rPr>
        <w:t>8.8团队风险</w:t>
      </w:r>
      <w:bookmarkEnd w:id="331"/>
      <w:bookmarkEnd w:id="332"/>
    </w:p>
    <w:p w14:paraId="1800990C">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是学生创业项目的固有风险，本项目不回避。团队成员均为在校本科生，面临毕业、升学、就业等分流，成员流动的可能性客观存在；团队横跨三所高校，也使协同依赖线上方式，存在沟通效率与投入强度的不确定性。</w:t>
      </w:r>
    </w:p>
    <w:p w14:paraId="07CBC4CF">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应对措施。第一，知识资产化，把关键工作沉淀为可交接的文档与规范，包括社区落地作业手册、数据采集与标注规范、算法训练与部署流水线，降低对特定个人的依赖。第二，梯队建设，团队成员分布于2022至2025各年级，形成自然接续。第三，模块负责制与周例会机制使每项工作有唯一责任人与固定同步节奏，跨校协同以明确交付物与时间节点推进（见第六章表6-7）。第四，第二年起核心岗位全职化并设置员工期权池，以股权激励绑定关键人员。第五，双导师提供长期的连续性支撑。</w:t>
      </w:r>
    </w:p>
    <w:p w14:paraId="3252048E">
      <w:pPr>
        <w:pStyle w:val="2"/>
        <w:bidi w:val="0"/>
      </w:pPr>
      <w:bookmarkStart w:id="333" w:name="_Toc7110"/>
      <w:bookmarkStart w:id="334" w:name="_Toc4520"/>
      <w:r>
        <w:rPr>
          <w:rFonts w:hint="eastAsia"/>
        </w:rPr>
        <w:t>社会价值与教育实效</w:t>
      </w:r>
      <w:bookmarkEnd w:id="333"/>
      <w:bookmarkEnd w:id="334"/>
    </w:p>
    <w:p w14:paraId="130DD01C">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本章回答两个问题：这个项目对社会有什么用，以及它对我们这些做项目的人有什么用。前者是项目的外部价值，后者是创新创业教育的内部成效，两者共同构成项目的完整意义。</w:t>
      </w:r>
    </w:p>
    <w:p w14:paraId="5B494D8C">
      <w:pPr>
        <w:pStyle w:val="3"/>
        <w:bidi w:val="0"/>
      </w:pPr>
      <w:bookmarkStart w:id="335" w:name="_Toc13143"/>
      <w:bookmarkStart w:id="336" w:name="_Toc21977"/>
      <w:r>
        <w:rPr>
          <w:rFonts w:hint="eastAsia"/>
        </w:rPr>
        <w:t>9.1民生福祉价值</w:t>
      </w:r>
      <w:bookmarkEnd w:id="335"/>
      <w:bookmarkEnd w:id="336"/>
    </w:p>
    <w:p w14:paraId="0D356F60">
      <w:pPr>
        <w:pStyle w:val="4"/>
        <w:keepNext w:val="0"/>
        <w:keepLines w:val="0"/>
        <w:kinsoku/>
        <w:wordWrap/>
        <w:overflowPunct/>
        <w:topLinePunct w:val="0"/>
        <w:autoSpaceDE/>
        <w:autoSpaceDN/>
        <w:bidi w:val="0"/>
        <w:adjustRightInd/>
        <w:snapToGrid/>
        <w:spacing w:line="300" w:lineRule="auto"/>
        <w:textAlignment w:val="auto"/>
      </w:pPr>
      <w:bookmarkStart w:id="337" w:name="_Toc2843"/>
      <w:bookmarkStart w:id="338" w:name="_Toc19657"/>
      <w:r>
        <w:rPr>
          <w:rFonts w:hint="eastAsia"/>
        </w:rPr>
        <w:t>9.1.1降低老年跌倒的伤害后果</w:t>
      </w:r>
      <w:bookmarkEnd w:id="337"/>
      <w:bookmarkEnd w:id="338"/>
    </w:p>
    <w:p w14:paraId="756158D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的直接社会价值指向一个明确的公共卫生问题。我国60岁及以上人口3.23亿，社区老年人年跌倒发生率14.7%，跌倒后受伤比例高达79.5%，每年因跌倒导致的髋部骨折新发病例超过100万例，其1年死亡率达20%至30%，存活者中约50%致残、约35%无法恢复独立行走。</w:t>
      </w:r>
    </w:p>
    <w:p w14:paraId="5E522AB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些数字背后是一个残酷的事实：跌倒的伤害在触地的瞬间就已经完成，此后所有的报警、定位与救援，改变的只是获得救治的速度，无法改变骨折已经形成这一结果。本项目把干预时点前移到触地之前，其社会价值不在于让更多老人被更快地送医，而在于让更多老人根本不必走上骨折这条路。</w:t>
      </w:r>
    </w:p>
    <w:p w14:paraId="59FF2C43">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从家庭层面看，一次髋部骨折的直接医疗与康复费用在5万至15万元区间，25%的患者需要长期家庭护理。这意味着一次跌倒往往不只是老人一个人的事，而是整个家庭在经济与照护劳动上的双重承压。避免一次严重跌倒，就是避免一个家庭陷入长期照护困境。</w:t>
      </w:r>
    </w:p>
    <w:p w14:paraId="0CF2DBBB">
      <w:pPr>
        <w:pStyle w:val="4"/>
        <w:keepNext w:val="0"/>
        <w:keepLines w:val="0"/>
        <w:kinsoku/>
        <w:wordWrap/>
        <w:overflowPunct/>
        <w:topLinePunct w:val="0"/>
        <w:autoSpaceDE/>
        <w:autoSpaceDN/>
        <w:bidi w:val="0"/>
        <w:adjustRightInd/>
        <w:snapToGrid/>
        <w:spacing w:line="300" w:lineRule="auto"/>
        <w:textAlignment w:val="auto"/>
      </w:pPr>
      <w:bookmarkStart w:id="339" w:name="_Toc23346"/>
      <w:bookmarkStart w:id="340" w:name="_Toc22473"/>
      <w:r>
        <w:rPr>
          <w:rFonts w:hint="eastAsia"/>
        </w:rPr>
        <w:t>9.1.2提升独居老人的生活自主性</w:t>
      </w:r>
      <w:bookmarkEnd w:id="339"/>
      <w:bookmarkEnd w:id="340"/>
    </w:p>
    <w:p w14:paraId="4DC8569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跌倒的危害不止于身体伤害，还有一层常被忽略的后果——跌倒恐惧。老人在经历跌倒或险跌之后，往往主动减少外出与活动，而活动减少又会导致肌力与平衡能力进一步下降，形成恶性循环。我们在社区调研中发现，26.7%的受访老人明确表示担心以后不敢独自出门。</w:t>
      </w:r>
    </w:p>
    <w:p w14:paraId="3271B8F1">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因此，本项目提供的不仅是防护，还有信心。当老人知道自己身上有一件在关键时刻能起作用的装备，他更可能维持原有的活动水平与社会参与。对老年人而言，能够继续独自出门买菜、散步、见老朋友，本身就是生活质量的核心组成部分。</w:t>
      </w:r>
    </w:p>
    <w:p w14:paraId="34EE1084">
      <w:pPr>
        <w:pStyle w:val="4"/>
        <w:keepNext w:val="0"/>
        <w:keepLines w:val="0"/>
        <w:kinsoku/>
        <w:wordWrap/>
        <w:overflowPunct/>
        <w:topLinePunct w:val="0"/>
        <w:autoSpaceDE/>
        <w:autoSpaceDN/>
        <w:bidi w:val="0"/>
        <w:adjustRightInd/>
        <w:snapToGrid/>
        <w:spacing w:line="300" w:lineRule="auto"/>
        <w:textAlignment w:val="auto"/>
      </w:pPr>
      <w:bookmarkStart w:id="341" w:name="_Toc28197"/>
      <w:bookmarkStart w:id="342" w:name="_Toc5775"/>
      <w:r>
        <w:rPr>
          <w:rFonts w:hint="eastAsia"/>
        </w:rPr>
        <w:t>9.1.3减轻社会医疗与照护负担</w:t>
      </w:r>
      <w:bookmarkEnd w:id="341"/>
      <w:bookmarkEnd w:id="342"/>
    </w:p>
    <w:p w14:paraId="3E777DC2">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老年跌倒伤害构成了显著的医疗资源占用。国家伤害监测系统2019至2022年数据显示，60岁以上跌倒就诊病例中骨折占36.84%，全年龄跌倒就诊病例中13.23%需要住院，且住院比例随年龄上升。在深度老龄化背景下，这部分负担只会持续增长。</w:t>
      </w:r>
    </w:p>
    <w:p w14:paraId="24851E80">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本项目通过降低跌倒的伤害严重程度，在源头上减少重症病例的产生，属于典型的预防性干预。相较于事后的治疗与长期护理，预防性干预的社会成本效益比更为可观。</w:t>
      </w:r>
    </w:p>
    <w:p w14:paraId="006EB534">
      <w:pPr>
        <w:pStyle w:val="3"/>
        <w:bidi w:val="0"/>
      </w:pPr>
      <w:bookmarkStart w:id="343" w:name="_Toc20341"/>
      <w:bookmarkStart w:id="344" w:name="_Toc27960"/>
      <w:r>
        <w:rPr>
          <w:rFonts w:hint="eastAsia"/>
        </w:rPr>
        <w:t>9.2服务基层社会治理</w:t>
      </w:r>
      <w:bookmarkEnd w:id="343"/>
      <w:bookmarkEnd w:id="344"/>
    </w:p>
    <w:p w14:paraId="4C46A3BA">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如果本项目仅仅是一件卖给老人的防护装备，其社会价值就止步于上一节。本项目真正区别于普通养老产品之处，在于它把个体防护数据转化为社区治理的公共资源。</w:t>
      </w:r>
    </w:p>
    <w:p w14:paraId="1DA55400">
      <w:pPr>
        <w:pStyle w:val="4"/>
        <w:keepNext w:val="0"/>
        <w:keepLines w:val="0"/>
        <w:kinsoku/>
        <w:wordWrap/>
        <w:overflowPunct/>
        <w:topLinePunct w:val="0"/>
        <w:autoSpaceDE/>
        <w:autoSpaceDN/>
        <w:bidi w:val="0"/>
        <w:adjustRightInd/>
        <w:snapToGrid/>
        <w:spacing w:line="300" w:lineRule="auto"/>
        <w:textAlignment w:val="auto"/>
      </w:pPr>
      <w:bookmarkStart w:id="345" w:name="_Toc7934"/>
      <w:bookmarkStart w:id="346" w:name="_Toc27645"/>
      <w:r>
        <w:rPr>
          <w:rFonts w:hint="eastAsia"/>
        </w:rPr>
        <w:t>9.2.1为适老化改造提供决策依据</w:t>
      </w:r>
      <w:bookmarkEnd w:id="345"/>
      <w:bookmarkEnd w:id="346"/>
    </w:p>
    <w:p w14:paraId="00B1D772">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我国现有的跌倒统计以流行病学层面的宏观发生率为主，能够回答某个年龄段的跌倒率是多少，却无法回答一个更实际的问题：在这个小区里，究竟哪段楼道、哪个门槛、哪条路面最危险。</w:t>
      </w:r>
    </w:p>
    <w:p w14:paraId="1AEDE547">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而适老化改造的财政资金恰恰需要这个颗粒度。一笔有限的改造预算，究竟应该装扶手还是改地面、应该先改哪个楼门，目前主要依靠经验判断与居民反映。本项目沉淀的跌倒与险跌事件数据，可以形成社区级的风险点位分布，把改造决策从凭印象变为凭数据。</w:t>
      </w:r>
    </w:p>
    <w:p w14:paraId="243619BA">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这项能力使产品的价值主体从个人扩展到社区，也使企业沉淀的数据转化为可供基层治理使用的公共资源。这是本项目认为自己不只是一件商品的根本理由。</w:t>
      </w:r>
    </w:p>
    <w:p w14:paraId="367EF539">
      <w:pPr>
        <w:pStyle w:val="4"/>
        <w:keepNext w:val="0"/>
        <w:keepLines w:val="0"/>
        <w:kinsoku/>
        <w:wordWrap/>
        <w:overflowPunct/>
        <w:topLinePunct w:val="0"/>
        <w:autoSpaceDE/>
        <w:autoSpaceDN/>
        <w:bidi w:val="0"/>
        <w:adjustRightInd/>
        <w:snapToGrid/>
        <w:spacing w:line="300" w:lineRule="auto"/>
        <w:textAlignment w:val="auto"/>
      </w:pPr>
      <w:bookmarkStart w:id="347" w:name="_Toc20521"/>
      <w:bookmarkStart w:id="348" w:name="_Toc29793"/>
      <w:r>
        <w:rPr>
          <w:rFonts w:hint="eastAsia"/>
        </w:rPr>
        <w:t>9.2.2嵌入社区养老服务体系</w:t>
      </w:r>
      <w:bookmarkEnd w:id="347"/>
      <w:bookmarkEnd w:id="348"/>
    </w:p>
    <w:p w14:paraId="3B718CC5">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本项目将跌倒事件的响应通道设计为社区网格与家属双通道，而非市面产品通行的单一子女通道。这一设计的现实依据是独居老人的子女往往不在本地，仅推送给子女无法保证有人及时到场。</w:t>
      </w:r>
    </w:p>
    <w:p w14:paraId="1EE357E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其治理层面的意义在于，产品不是绕开社区直接触达家庭的孤立设备，而是社区巡视探访体系的一个延伸工具。据海淀区民政部门公开数据，全区已累计开展巡视探访22.97万人次、覆盖老年人20952人。巡视探访解决的是定期有人上门看一眼，而本项目补上的正是两次探访之间的空档期——这段时间恰恰是意外发生而无人知晓的高风险窗口。</w:t>
      </w:r>
    </w:p>
    <w:p w14:paraId="0F5B1B36">
      <w:pPr>
        <w:pStyle w:val="4"/>
        <w:keepNext w:val="0"/>
        <w:keepLines w:val="0"/>
        <w:kinsoku/>
        <w:wordWrap/>
        <w:overflowPunct/>
        <w:topLinePunct w:val="0"/>
        <w:autoSpaceDE/>
        <w:autoSpaceDN/>
        <w:bidi w:val="0"/>
        <w:adjustRightInd/>
        <w:snapToGrid/>
        <w:spacing w:line="300" w:lineRule="auto"/>
        <w:textAlignment w:val="auto"/>
      </w:pPr>
      <w:bookmarkStart w:id="349" w:name="_Toc11973"/>
      <w:bookmarkStart w:id="350" w:name="_Toc26185"/>
      <w:r>
        <w:rPr>
          <w:rFonts w:hint="eastAsia"/>
        </w:rPr>
        <w:t>9.2.3提升照护资源的配置效率</w:t>
      </w:r>
      <w:bookmarkEnd w:id="349"/>
      <w:bookmarkEnd w:id="350"/>
    </w:p>
    <w:p w14:paraId="32AAFB9E">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社区养老服务力量始终是有限的。在服务对象数量远超服务人员承载能力的现实下，把有限的照护资源投向最需要的人，是基层养老工作的核心难题。</w:t>
      </w:r>
    </w:p>
    <w:p w14:paraId="37836CC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输出的社区风险分级结果，可支撑服务站区分出需每日探访、需助行辅具适配、仅需月度回访的不同人群，从而实现照护强度与风险等级的匹配。需要强调的是，这一分级是照护资源配置建议，不构成任何形式的医学诊断或疾病风险评级。</w:t>
      </w:r>
    </w:p>
    <w:p w14:paraId="34D936F7">
      <w:pPr>
        <w:pStyle w:val="3"/>
        <w:bidi w:val="0"/>
      </w:pPr>
      <w:bookmarkStart w:id="351" w:name="_Toc2116"/>
      <w:bookmarkStart w:id="352" w:name="_Toc25546"/>
      <w:r>
        <w:rPr>
          <w:rFonts w:hint="eastAsia"/>
        </w:rPr>
        <w:t>9.3可复制性与示范效应</w:t>
      </w:r>
      <w:bookmarkEnd w:id="351"/>
      <w:bookmarkEnd w:id="352"/>
    </w:p>
    <w:p w14:paraId="7CF0BBCC">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一个项目的社会价值大小，最终取决于它能覆盖多少人；而能覆盖多少人，取决于它能不能被复制。本节说明本项目为复制所做的设计。</w:t>
      </w:r>
    </w:p>
    <w:p w14:paraId="4B6CBE8C">
      <w:pPr>
        <w:pStyle w:val="4"/>
        <w:keepNext w:val="0"/>
        <w:keepLines w:val="0"/>
        <w:kinsoku/>
        <w:wordWrap/>
        <w:overflowPunct/>
        <w:topLinePunct w:val="0"/>
        <w:autoSpaceDE/>
        <w:autoSpaceDN/>
        <w:bidi w:val="0"/>
        <w:adjustRightInd/>
        <w:snapToGrid/>
        <w:spacing w:line="300" w:lineRule="auto"/>
        <w:textAlignment w:val="auto"/>
      </w:pPr>
      <w:bookmarkStart w:id="353" w:name="_Toc30912"/>
      <w:bookmarkStart w:id="354" w:name="_Toc21579"/>
      <w:r>
        <w:rPr>
          <w:rFonts w:hint="eastAsia"/>
        </w:rPr>
        <w:t>9.3.1三项降低复制门槛的设计</w:t>
      </w:r>
      <w:bookmarkEnd w:id="353"/>
      <w:bookmarkEnd w:id="354"/>
    </w:p>
    <w:p w14:paraId="5BC9742C">
      <w:pPr>
        <w:keepNext w:val="0"/>
        <w:keepLines w:val="0"/>
        <w:pageBreakBefore w:val="0"/>
        <w:kinsoku/>
        <w:wordWrap/>
        <w:overflowPunct/>
        <w:topLinePunct w:val="0"/>
        <w:autoSpaceDE/>
        <w:autoSpaceDN/>
        <w:bidi w:val="0"/>
        <w:adjustRightInd/>
        <w:snapToGrid/>
        <w:spacing w:before="40" w:after="10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①</w:t>
      </w:r>
      <w:r>
        <w:rPr>
          <w:rFonts w:hint="eastAsia" w:ascii="宋体" w:hAnsi="宋体" w:eastAsia="宋体" w:cs="宋体"/>
          <w:color w:val="000000" w:themeColor="text1"/>
          <w:sz w:val="24"/>
          <w:szCs w:val="24"/>
          <w14:textFill>
            <w14:solidFill>
              <w14:schemeClr w14:val="tx1"/>
            </w14:solidFill>
          </w14:textFill>
        </w:rPr>
        <w:t>标准化的社区落地作业手册。进场、评估、部署、运行、复盘五个阶段的动作全部固化为文档与表单，包括宣讲讲义、评估表单、培训脚本、报告模板与运维清单。新点位的落地不依赖团队某个成员的个人经验。</w:t>
      </w:r>
    </w:p>
    <w:p w14:paraId="7FEC6058">
      <w:pPr>
        <w:keepNext w:val="0"/>
        <w:keepLines w:val="0"/>
        <w:pageBreakBefore w:val="0"/>
        <w:kinsoku/>
        <w:wordWrap/>
        <w:overflowPunct/>
        <w:topLinePunct w:val="0"/>
        <w:autoSpaceDE/>
        <w:autoSpaceDN/>
        <w:bidi w:val="0"/>
        <w:adjustRightInd/>
        <w:snapToGrid/>
        <w:spacing w:before="40" w:after="10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②</w:t>
      </w:r>
      <w:r>
        <w:rPr>
          <w:rFonts w:hint="eastAsia" w:ascii="宋体" w:hAnsi="宋体" w:eastAsia="宋体" w:cs="宋体"/>
          <w:color w:val="000000" w:themeColor="text1"/>
          <w:sz w:val="24"/>
          <w:szCs w:val="24"/>
          <w14:textFill>
            <w14:solidFill>
              <w14:schemeClr w14:val="tx1"/>
            </w14:solidFill>
          </w14:textFill>
        </w:rPr>
        <w:t>依托既有社区服务组织执行。服务的日常执行方是社区驿站与网格员，本项目不需要在每个社区自建服务队伍，因而人力成本不随点位数量线性增长。</w:t>
      </w:r>
    </w:p>
    <w:p w14:paraId="0C9508BE">
      <w:pPr>
        <w:keepNext w:val="0"/>
        <w:keepLines w:val="0"/>
        <w:pageBreakBefore w:val="0"/>
        <w:kinsoku/>
        <w:wordWrap/>
        <w:overflowPunct/>
        <w:topLinePunct w:val="0"/>
        <w:autoSpaceDE/>
        <w:autoSpaceDN/>
        <w:bidi w:val="0"/>
        <w:adjustRightInd/>
        <w:snapToGrid/>
        <w:spacing w:before="40" w:after="10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③</w:t>
      </w:r>
      <w:r>
        <w:rPr>
          <w:rFonts w:hint="eastAsia" w:ascii="宋体" w:hAnsi="宋体" w:eastAsia="宋体" w:cs="宋体"/>
          <w:color w:val="000000" w:themeColor="text1"/>
          <w:sz w:val="24"/>
          <w:szCs w:val="24"/>
          <w14:textFill>
            <w14:solidFill>
              <w14:schemeClr w14:val="tx1"/>
            </w14:solidFill>
          </w14:textFill>
        </w:rPr>
        <w:t>激励资源取自社区自身。佩戴激励使用的助餐折扣与服务积分是社区既有资源，本项目提供数据与规则设计，不承担激励成本。</w:t>
      </w:r>
    </w:p>
    <w:p w14:paraId="06325D5F">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三者共同决定了本模式的边际扩张成本较低。这也是本项目认为自己具备示范效应的依据——它不是一个只能在资源禀赋特殊的社区跑通的方案，而是一套其他社区可以照着做的方法。</w:t>
      </w:r>
    </w:p>
    <w:p w14:paraId="07858CA6">
      <w:pPr>
        <w:pStyle w:val="4"/>
        <w:keepNext w:val="0"/>
        <w:keepLines w:val="0"/>
        <w:kinsoku/>
        <w:wordWrap/>
        <w:overflowPunct/>
        <w:topLinePunct w:val="0"/>
        <w:autoSpaceDE/>
        <w:autoSpaceDN/>
        <w:bidi w:val="0"/>
        <w:adjustRightInd/>
        <w:snapToGrid/>
        <w:spacing w:line="300" w:lineRule="auto"/>
        <w:textAlignment w:val="auto"/>
      </w:pPr>
      <w:bookmarkStart w:id="355" w:name="_Toc24490"/>
      <w:bookmarkStart w:id="356" w:name="_Toc22931"/>
      <w:r>
        <w:rPr>
          <w:rFonts w:hint="eastAsia"/>
        </w:rPr>
        <w:t>9.3.2社区落地标准作业清单</w:t>
      </w:r>
      <w:bookmarkEnd w:id="355"/>
      <w:bookmarkEnd w:id="356"/>
    </w:p>
    <w:p w14:paraId="3F26F444">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9</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社区落地标准作业清单</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0"/>
        <w:gridCol w:w="3784"/>
        <w:gridCol w:w="3956"/>
      </w:tblGrid>
      <w:tr w14:paraId="2C7C4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2DA180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阶段</w:t>
            </w:r>
          </w:p>
        </w:tc>
        <w:tc>
          <w:tcPr>
            <w:tcW w:w="378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1468EE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交付物</w:t>
            </w:r>
          </w:p>
        </w:tc>
        <w:tc>
          <w:tcPr>
            <w:tcW w:w="395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E9A727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可复制性设计要点</w:t>
            </w:r>
          </w:p>
        </w:tc>
      </w:tr>
      <w:tr w14:paraId="63978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AD97DC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进场</w:t>
            </w:r>
          </w:p>
        </w:tc>
        <w:tc>
          <w:tcPr>
            <w:tcW w:w="3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ED2D75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合作意向书、老人基础档案模板、宣讲讲义与展板</w:t>
            </w:r>
          </w:p>
        </w:tc>
        <w:tc>
          <w:tcPr>
            <w:tcW w:w="395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6459C2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宣讲内容标准化，任何一名经过培训的团队成员均可主讲</w:t>
            </w:r>
          </w:p>
        </w:tc>
      </w:tr>
      <w:tr w14:paraId="19206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02D7EB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评估</w:t>
            </w:r>
          </w:p>
        </w:tc>
        <w:tc>
          <w:tcPr>
            <w:tcW w:w="378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421FB5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防跌安全评估表单、风险分级规则、评估操作脚本</w:t>
            </w:r>
          </w:p>
        </w:tc>
        <w:tc>
          <w:tcPr>
            <w:tcW w:w="395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87BA33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分级规则以明确阈值表述，不依赖主观判断</w:t>
            </w:r>
          </w:p>
        </w:tc>
      </w:tr>
      <w:tr w14:paraId="17549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637ED2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部署</w:t>
            </w:r>
          </w:p>
        </w:tc>
        <w:tc>
          <w:tcPr>
            <w:tcW w:w="3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1F1FFD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设备台账、穿戴培训脚本、家属与网格员告知书</w:t>
            </w:r>
          </w:p>
        </w:tc>
        <w:tc>
          <w:tcPr>
            <w:tcW w:w="395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989BF5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培训脚本按图示步骤编排，适配社区工作人员代为执行</w:t>
            </w:r>
          </w:p>
        </w:tc>
      </w:tr>
      <w:tr w14:paraId="54EFF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DEC624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运行</w:t>
            </w:r>
          </w:p>
        </w:tc>
        <w:tc>
          <w:tcPr>
            <w:tcW w:w="378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8BC759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佩戴率监测表、事件响应流程卡、异常处理指引</w:t>
            </w:r>
          </w:p>
        </w:tc>
        <w:tc>
          <w:tcPr>
            <w:tcW w:w="395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2893DC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流程卡为单页图示，可张贴于驿站服务台</w:t>
            </w:r>
          </w:p>
        </w:tc>
      </w:tr>
      <w:tr w14:paraId="70A55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28A7C7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复盘</w:t>
            </w:r>
          </w:p>
        </w:tc>
        <w:tc>
          <w:tcPr>
            <w:tcW w:w="3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DD5B42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季度社区跌倒风险报告模板、适老化改造建议清单模板</w:t>
            </w:r>
          </w:p>
        </w:tc>
        <w:tc>
          <w:tcPr>
            <w:tcW w:w="395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C72B26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报告由系统自动生成初稿，人工仅需核校与补充说明</w:t>
            </w:r>
          </w:p>
        </w:tc>
      </w:tr>
    </w:tbl>
    <w:p w14:paraId="6DAD4AA7">
      <w:pPr>
        <w:pStyle w:val="4"/>
        <w:keepNext w:val="0"/>
        <w:keepLines w:val="0"/>
        <w:kinsoku/>
        <w:wordWrap/>
        <w:overflowPunct/>
        <w:topLinePunct w:val="0"/>
        <w:autoSpaceDE/>
        <w:autoSpaceDN/>
        <w:bidi w:val="0"/>
        <w:adjustRightInd/>
        <w:snapToGrid/>
        <w:spacing w:line="300" w:lineRule="auto"/>
        <w:textAlignment w:val="auto"/>
      </w:pPr>
      <w:bookmarkStart w:id="357" w:name="_Toc7963"/>
      <w:bookmarkStart w:id="358" w:name="_Toc25783"/>
      <w:r>
        <w:rPr>
          <w:rFonts w:hint="eastAsia"/>
        </w:rPr>
        <w:t>9.3.3推广路径与覆盖测算</w:t>
      </w:r>
      <w:bookmarkEnd w:id="357"/>
      <w:bookmarkEnd w:id="358"/>
    </w:p>
    <w:p w14:paraId="30AC73B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推广遵循打透一个点、街镇复制、区域推广的三步路径，第一年在颐清园养老社区完整跑通服务闭环，第二年扩展至5至10个海淀区点位，第三年覆盖47个点位并向其他城区延伸。</w:t>
      </w:r>
    </w:p>
    <w:p w14:paraId="30F27633">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海淀区现有社区养老服务驿站160家、区域养老服务中心20家，合计180个社区级点位。按每点位服务50名中高风险老人测算，全区完全覆盖对应约9000名老人。本项目第三年的47个点位目标，对应约2350名直接服务对象。</w:t>
      </w:r>
    </w:p>
    <w:p w14:paraId="592F4F34">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需要说明，上述数字为规划目标而非已实现结果，其中每点位50人为规划假设，将在首个社区完成风险评估后以实际分级结果修正。第三年的点位数量与第七章表7-1的业务规划完全一致。</w:t>
      </w:r>
    </w:p>
    <w:p w14:paraId="705529EA">
      <w:pPr>
        <w:pStyle w:val="3"/>
        <w:bidi w:val="0"/>
      </w:pPr>
      <w:bookmarkStart w:id="359" w:name="_Toc5004"/>
      <w:bookmarkStart w:id="360" w:name="_Toc11557"/>
      <w:r>
        <w:rPr>
          <w:rFonts w:hint="eastAsia"/>
        </w:rPr>
        <w:t>9.4带动就业</w:t>
      </w:r>
      <w:bookmarkEnd w:id="359"/>
      <w:bookmarkEnd w:id="360"/>
    </w:p>
    <w:p w14:paraId="5D701A3B">
      <w:pPr>
        <w:pStyle w:val="4"/>
        <w:keepNext w:val="0"/>
        <w:keepLines w:val="0"/>
        <w:kinsoku/>
        <w:wordWrap/>
        <w:overflowPunct/>
        <w:topLinePunct w:val="0"/>
        <w:autoSpaceDE/>
        <w:autoSpaceDN/>
        <w:bidi w:val="0"/>
        <w:adjustRightInd/>
        <w:snapToGrid/>
        <w:spacing w:line="300" w:lineRule="auto"/>
        <w:textAlignment w:val="auto"/>
      </w:pPr>
      <w:bookmarkStart w:id="361" w:name="_Toc22433"/>
      <w:bookmarkStart w:id="362" w:name="_Toc32319"/>
      <w:r>
        <w:rPr>
          <w:rFonts w:hint="eastAsia"/>
        </w:rPr>
        <w:t>9.4.1直接就业</w:t>
      </w:r>
      <w:bookmarkEnd w:id="361"/>
      <w:bookmarkEnd w:id="362"/>
    </w:p>
    <w:p w14:paraId="17D2DD1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按第七章的三年业务规划测算，本项目在第三年达到47个社区点位规模时，团队岗位配置如下。</w:t>
      </w:r>
    </w:p>
    <w:p w14:paraId="76D431D6">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9</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2</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第三年直接就业岗位测算</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4"/>
        <w:gridCol w:w="860"/>
        <w:gridCol w:w="5676"/>
      </w:tblGrid>
      <w:tr w14:paraId="69F94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13FB8E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岗位类别</w:t>
            </w:r>
          </w:p>
        </w:tc>
        <w:tc>
          <w:tcPr>
            <w:tcW w:w="8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5E1A0E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人数</w:t>
            </w:r>
          </w:p>
        </w:tc>
        <w:tc>
          <w:tcPr>
            <w:tcW w:w="567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648AC8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职责</w:t>
            </w:r>
          </w:p>
        </w:tc>
      </w:tr>
      <w:tr w14:paraId="41306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01683C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研发与算法</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80FB13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8</w:t>
            </w:r>
          </w:p>
        </w:tc>
        <w:tc>
          <w:tcPr>
            <w:tcW w:w="56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FF2C81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传感系统、算法模型、端侧部署、平台开发</w:t>
            </w:r>
          </w:p>
        </w:tc>
      </w:tr>
      <w:tr w14:paraId="1516B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CF528E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社区服务与交付</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C533E0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4</w:t>
            </w:r>
          </w:p>
        </w:tc>
        <w:tc>
          <w:tcPr>
            <w:tcW w:w="56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84389C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社区进场、防跌安全评估、穿戴培训、季度复盘与报告</w:t>
            </w:r>
          </w:p>
        </w:tc>
      </w:tr>
      <w:tr w14:paraId="1292B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0663CB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平台运维</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918E3D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w:t>
            </w:r>
          </w:p>
        </w:tc>
        <w:tc>
          <w:tcPr>
            <w:tcW w:w="56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941A09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事件响应通道运维、数据看板维护</w:t>
            </w:r>
          </w:p>
        </w:tc>
      </w:tr>
      <w:tr w14:paraId="32E07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F6A1BA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市场与合作拓展</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37010D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3</w:t>
            </w:r>
          </w:p>
        </w:tc>
        <w:tc>
          <w:tcPr>
            <w:tcW w:w="56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B84B0C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街道民政对接、机构客户拓展、合作资源整合</w:t>
            </w:r>
          </w:p>
        </w:tc>
      </w:tr>
      <w:tr w14:paraId="7CDDF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2C4A95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管理与行政</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F1CC06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2</w:t>
            </w:r>
          </w:p>
        </w:tc>
        <w:tc>
          <w:tcPr>
            <w:tcW w:w="56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F60048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财务、行政、项目管理</w:t>
            </w:r>
          </w:p>
        </w:tc>
      </w:tr>
      <w:tr w14:paraId="10519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D62993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合计</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4B25AB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19</w:t>
            </w:r>
          </w:p>
        </w:tc>
        <w:tc>
          <w:tcPr>
            <w:tcW w:w="56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2A6F50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w:t>
            </w:r>
          </w:p>
        </w:tc>
      </w:tr>
    </w:tbl>
    <w:p w14:paraId="0A5E46A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其中社区服务与交付岗位具有明确的专业属性，适合运动康复、运动人体科学、社会工作、老年服务与管理等专业的毕业生，为相关专业提供了对口的就业方向。</w:t>
      </w:r>
    </w:p>
    <w:p w14:paraId="69269C2A">
      <w:pPr>
        <w:pStyle w:val="4"/>
        <w:keepNext w:val="0"/>
        <w:keepLines w:val="0"/>
        <w:kinsoku/>
        <w:wordWrap/>
        <w:overflowPunct/>
        <w:topLinePunct w:val="0"/>
        <w:autoSpaceDE/>
        <w:autoSpaceDN/>
        <w:bidi w:val="0"/>
        <w:adjustRightInd/>
        <w:snapToGrid/>
        <w:spacing w:line="300" w:lineRule="auto"/>
        <w:textAlignment w:val="auto"/>
      </w:pPr>
      <w:bookmarkStart w:id="363" w:name="_Toc5106"/>
      <w:bookmarkStart w:id="364" w:name="_Toc14873"/>
      <w:r>
        <w:rPr>
          <w:rFonts w:hint="eastAsia"/>
        </w:rPr>
        <w:t>9.4.2间接带动</w:t>
      </w:r>
      <w:bookmarkEnd w:id="363"/>
      <w:bookmarkEnd w:id="364"/>
    </w:p>
    <w:p w14:paraId="55CC9739">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此处需要说明一个刻意的保守处理。许多项目在测算间接就业时，会以硬件产量乘以某个制造业就业系数得出一个可观的数字。本项目不采用这一做法，原因是本项目现阶段的硬件产量规模较小，按该口径测算得到的间接就业当量不足两人，将其包装为带动数十人就业既不诚实，也经不起追问。</w:t>
      </w:r>
    </w:p>
    <w:p w14:paraId="3F4631EC">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本项目的间接带动主要体现在三个非制造环节，此处仅作定性说明，不进行人数测算：</w:t>
      </w:r>
    </w:p>
    <w:p w14:paraId="16B0610A">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—社区养老服务岗位的服务内容扩展。防跌安全评估、佩戴指导、事件响应等工作嵌入社区驿站既有岗位，扩展了这些岗位的服务能力与专业含量，属于岗位提质而非岗位新增。</w:t>
      </w:r>
    </w:p>
    <w:p w14:paraId="3B1720E0">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—适老化改造服务需求的牵引。社区跌倒热力图输出的改造建议，将转化为对适老化改造施工与产品供应方的实际需求。</w:t>
      </w:r>
    </w:p>
    <w:p w14:paraId="00646DD7">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—供应链协作。柔性传感织物、气囊模组等定制件的外采，为柔性材料与防护用品领域的中小供应商带来订单。</w:t>
      </w:r>
    </w:p>
    <w:p w14:paraId="6489C4C0">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上述三项在项目规模扩大后将具备测算条件，届时将以实际数据补充。</w:t>
      </w:r>
    </w:p>
    <w:p w14:paraId="10F0FD63">
      <w:pPr>
        <w:pStyle w:val="3"/>
        <w:bidi w:val="0"/>
      </w:pPr>
      <w:bookmarkStart w:id="365" w:name="_Toc3513"/>
      <w:bookmarkStart w:id="366" w:name="_Toc24385"/>
      <w:r>
        <w:rPr>
          <w:rFonts w:hint="eastAsia"/>
        </w:rPr>
        <w:t>9.5教育实效</w:t>
      </w:r>
      <w:bookmarkEnd w:id="365"/>
      <w:bookmarkEnd w:id="366"/>
    </w:p>
    <w:p w14:paraId="7C918C3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本节回答一个同样重要的问题：这个项目对参与其中的学生产生了什么。这不是项目的副产品，而是创新创业教育本身的目的。</w:t>
      </w:r>
    </w:p>
    <w:p w14:paraId="1959E0EF">
      <w:pPr>
        <w:pStyle w:val="4"/>
        <w:keepNext w:val="0"/>
        <w:keepLines w:val="0"/>
        <w:kinsoku/>
        <w:wordWrap/>
        <w:overflowPunct/>
        <w:topLinePunct w:val="0"/>
        <w:autoSpaceDE/>
        <w:autoSpaceDN/>
        <w:bidi w:val="0"/>
        <w:adjustRightInd/>
        <w:snapToGrid/>
        <w:spacing w:line="300" w:lineRule="auto"/>
        <w:textAlignment w:val="auto"/>
      </w:pPr>
      <w:bookmarkStart w:id="367" w:name="_Toc19506"/>
      <w:bookmarkStart w:id="368" w:name="_Toc8657"/>
      <w:r>
        <w:rPr>
          <w:rFonts w:hint="eastAsia"/>
        </w:rPr>
        <w:t>9.5.1项目的产生：从课程与实验室到真实问题</w:t>
      </w:r>
      <w:bookmarkEnd w:id="367"/>
      <w:bookmarkEnd w:id="368"/>
    </w:p>
    <w:p w14:paraId="08F5FFF6">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本项目并非凭空构想，而是产生于一条完整的教育链条。</w:t>
      </w:r>
    </w:p>
    <w:p w14:paraId="50B1B428">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团队核心成员分属北京体育大学体育工程学院、运动医学与康复学院、运动人体科学学院、竞技体育学院与新闻传播学院五个学院，专业涵盖数据科学与大数据技术、智能体育工程、运动康复、运动人体科学、网络与新媒体；此外还包括中央财经大学与中国科学院大学的跨校协同成员。项目的技术起点来自体育工程学院在运动表现分析与运动生物力学方向的教学与科研积累，问题起点则来自团队成员对老年跌倒这一民生问题的关注。</w:t>
      </w:r>
    </w:p>
    <w:p w14:paraId="7F263121">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项目真正成型的关键，是一次学科认知的转换。团队最初把跌倒识别理解为一个时间序列分类问题，即输入加速度信号、输出是否跌倒。在运动人体科学与运动康复专业成员的参与下，团队重新认识到跌倒的本质是人体平衡控制的失效——这是运动生物力学的经典问题，有成熟的理论框架与量化指标。这一转换直接改变了算法的特征设计思路，也构成了本项目最核心的技术差异，详见第三章。</w:t>
      </w:r>
    </w:p>
    <w:p w14:paraId="6966FCDC">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这个过程本身就是专业教育向创新实践转化的典型样本：课堂上学到的运动生物力学知识，成为了解决一个真实工程问题的钥匙。</w:t>
      </w:r>
    </w:p>
    <w:p w14:paraId="4572A4E8">
      <w:pPr>
        <w:pStyle w:val="4"/>
        <w:keepNext w:val="0"/>
        <w:keepLines w:val="0"/>
        <w:kinsoku/>
        <w:wordWrap/>
        <w:overflowPunct/>
        <w:topLinePunct w:val="0"/>
        <w:autoSpaceDE/>
        <w:autoSpaceDN/>
        <w:bidi w:val="0"/>
        <w:adjustRightInd/>
        <w:snapToGrid/>
        <w:spacing w:line="300" w:lineRule="auto"/>
        <w:textAlignment w:val="auto"/>
      </w:pPr>
      <w:bookmarkStart w:id="369" w:name="_Toc20380"/>
      <w:bookmarkStart w:id="370" w:name="_Toc9581"/>
      <w:r>
        <w:rPr>
          <w:rFonts w:hint="eastAsia"/>
        </w:rPr>
        <w:t>9.5.2学校的培育与支持</w:t>
      </w:r>
      <w:bookmarkEnd w:id="369"/>
      <w:bookmarkEnd w:id="370"/>
    </w:p>
    <w:p w14:paraId="480CD3F4">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9</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学校对本项目的培育与支持</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8"/>
        <w:gridCol w:w="7052"/>
      </w:tblGrid>
      <w:tr w14:paraId="329FD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6A60007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支持类型</w:t>
            </w:r>
          </w:p>
        </w:tc>
        <w:tc>
          <w:tcPr>
            <w:tcW w:w="705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EEC907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具体内容</w:t>
            </w:r>
          </w:p>
        </w:tc>
      </w:tr>
      <w:tr w14:paraId="1E0E1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CA636C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科研平台</w:t>
            </w:r>
          </w:p>
        </w:tc>
        <w:tc>
          <w:tcPr>
            <w:tcW w:w="70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C932AD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体育工程实验室及其高精度光学动捕系统，为本项目的步态数据采集与标注提供了金标准平台。此类设施是本项目技术方案得以成立的物质前提</w:t>
            </w:r>
          </w:p>
        </w:tc>
      </w:tr>
      <w:tr w14:paraId="04816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1FF099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双导师指导</w:t>
            </w:r>
          </w:p>
        </w:tc>
        <w:tc>
          <w:tcPr>
            <w:tcW w:w="705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C76603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宗寿鑫老师（体育工程学院，运动表现分析教学团队）提供软硬件系统、设备集成与数据训练方面的指导；阮槟老师（运动医学与康复学院，高级运动防护师）提供运动康复与损伤防护的专业指导，并对接养老社区资源</w:t>
            </w:r>
          </w:p>
        </w:tc>
      </w:tr>
      <w:tr w14:paraId="52DF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CE6A59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导师课题积累</w:t>
            </w:r>
          </w:p>
        </w:tc>
        <w:tc>
          <w:tcPr>
            <w:tcW w:w="70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F825DC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宗寿鑫老师承担国家重点研发计划的智能心理服务软硬件系统开发，并参与国家体育总局项目《心理服务智能系统的研发》、北京体育大学校级项目《儿童大肌肉群动作发展能力智能评估体系的建立》，方向集中于智能系统开发与人体动作智能评估；阮槟老师任国家级大学生创新训练计划项目《慢性踝关节不稳人群损伤特点研究》（编号201810043023）第一指导教师，并参与《家+康复——远程运动康复平台》相关研究。上述课题构成两位教师指导本项目的专业积累</w:t>
            </w:r>
          </w:p>
        </w:tc>
      </w:tr>
      <w:tr w14:paraId="69A81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44549A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创客空间孵化</w:t>
            </w:r>
          </w:p>
        </w:tc>
        <w:tc>
          <w:tcPr>
            <w:tcW w:w="705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C964FD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项目入驻学校创客孵化空间，获提供实践与办公场地；王正老师提供创业辅导3次，内容涵盖商业模式梳理与材料打磨；并协助对接柔性传感材料方向的外部专家资源</w:t>
            </w:r>
          </w:p>
        </w:tc>
      </w:tr>
      <w:tr w14:paraId="21630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DDE034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学术产出支持</w:t>
            </w:r>
          </w:p>
        </w:tc>
        <w:tc>
          <w:tcPr>
            <w:tcW w:w="70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47619A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依托本项目开展的学术论文撰写中，研究方向为老年步态分析，以项目自采步态数据与生物力学特征体系为基础，拟投ICSTPA</w:t>
            </w:r>
          </w:p>
        </w:tc>
      </w:tr>
      <w:tr w14:paraId="47D32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E6A179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学科交叉机制</w:t>
            </w:r>
          </w:p>
        </w:tc>
        <w:tc>
          <w:tcPr>
            <w:tcW w:w="705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1536B4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项目团队横跨五个学院并延伸至两所兄弟高校，学校的跨学院组队机制与创新创业课程体系为这种组合提供了制度通道</w:t>
            </w:r>
          </w:p>
        </w:tc>
      </w:tr>
      <w:tr w14:paraId="485A6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2AAB55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竞赛与实践平台</w:t>
            </w:r>
          </w:p>
        </w:tc>
        <w:tc>
          <w:tcPr>
            <w:tcW w:w="70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993733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学校组织的创新创业竞赛培育、暑期社会实践立项与安全保障体系，为项目提供了从校内到社区的完整实践通道</w:t>
            </w:r>
          </w:p>
        </w:tc>
      </w:tr>
    </w:tbl>
    <w:p w14:paraId="6B61CFF4">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双导师配置是本项目最具特色的培育安排。两位老师分别来自工程与医学康复两个方向，这种配置不是行政上的凑数，而是项目的技术特征所决定的——一个既需要嵌入式系统与算法能力、又需要人体运动专业理解的项目，本身就无法由单一学科的教师完整指导。</w:t>
      </w:r>
    </w:p>
    <w:p w14:paraId="03CB13E6">
      <w:pPr>
        <w:pStyle w:val="4"/>
        <w:keepNext w:val="0"/>
        <w:keepLines w:val="0"/>
        <w:kinsoku/>
        <w:wordWrap/>
        <w:overflowPunct/>
        <w:topLinePunct w:val="0"/>
        <w:autoSpaceDE/>
        <w:autoSpaceDN/>
        <w:bidi w:val="0"/>
        <w:adjustRightInd/>
        <w:snapToGrid/>
        <w:spacing w:line="300" w:lineRule="auto"/>
        <w:textAlignment w:val="auto"/>
      </w:pPr>
      <w:bookmarkStart w:id="371" w:name="_Toc31990"/>
      <w:bookmarkStart w:id="372" w:name="_Toc22967"/>
      <w:r>
        <w:rPr>
          <w:rFonts w:hint="eastAsia"/>
        </w:rPr>
        <w:t>9.5.3多学科交叉的实质体现</w:t>
      </w:r>
      <w:bookmarkEnd w:id="371"/>
      <w:bookmarkEnd w:id="372"/>
    </w:p>
    <w:p w14:paraId="2C701D40">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学科交叉容易停留在口号层面。本项目的交叉是有具体分工与具体产出的。</w:t>
      </w:r>
    </w:p>
    <w:p w14:paraId="2762B916">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9</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多学科交叉的实质分工</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4"/>
        <w:gridCol w:w="2924"/>
        <w:gridCol w:w="4472"/>
      </w:tblGrid>
      <w:tr w14:paraId="1AAA5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B3F236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学科方向</w:t>
            </w:r>
          </w:p>
        </w:tc>
        <w:tc>
          <w:tcPr>
            <w:tcW w:w="292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E87E3F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参与单位与专业</w:t>
            </w:r>
          </w:p>
        </w:tc>
        <w:tc>
          <w:tcPr>
            <w:tcW w:w="447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6BD615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在项目中的实质贡献</w:t>
            </w:r>
          </w:p>
        </w:tc>
      </w:tr>
      <w:tr w14:paraId="714ED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D61AC4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工程与信息</w:t>
            </w:r>
          </w:p>
        </w:tc>
        <w:tc>
          <w:tcPr>
            <w:tcW w:w="292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401DD3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北京体育大学体育工程学院：数据科学与大数据技术、智能体育工程</w:t>
            </w:r>
          </w:p>
        </w:tc>
        <w:tc>
          <w:tcPr>
            <w:tcW w:w="447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AB94CA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传感系统设计与集成、算法架构与端侧部署、平台与应用开发</w:t>
            </w:r>
          </w:p>
        </w:tc>
      </w:tr>
      <w:tr w14:paraId="277F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343899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运动科学</w:t>
            </w:r>
          </w:p>
        </w:tc>
        <w:tc>
          <w:tcPr>
            <w:tcW w:w="292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446A15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北京体育大学运动人体科学学院：运动人体科学</w:t>
            </w:r>
          </w:p>
        </w:tc>
        <w:tc>
          <w:tcPr>
            <w:tcW w:w="447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8943B4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步态生物力学特征体系构建、动捕数据采集与标注规范、实验设计</w:t>
            </w:r>
          </w:p>
        </w:tc>
      </w:tr>
      <w:tr w14:paraId="57CA9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FEC6B1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医学康复</w:t>
            </w:r>
          </w:p>
        </w:tc>
        <w:tc>
          <w:tcPr>
            <w:tcW w:w="292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69D1FB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北京体育大学运动医学与康复学院：运动康复</w:t>
            </w:r>
          </w:p>
        </w:tc>
        <w:tc>
          <w:tcPr>
            <w:tcW w:w="447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4C19EF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老年运动功能评估、防跌动作指导、佩戴安全性与伦理规范、康复视角的产品边界界定</w:t>
            </w:r>
          </w:p>
        </w:tc>
      </w:tr>
      <w:tr w14:paraId="33EEC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11A8CC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实践与传播</w:t>
            </w:r>
          </w:p>
        </w:tc>
        <w:tc>
          <w:tcPr>
            <w:tcW w:w="292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60976D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北京体育大学竞技体育学院：运动训练；新闻传播学院：网络与新媒体</w:t>
            </w:r>
          </w:p>
        </w:tc>
        <w:tc>
          <w:tcPr>
            <w:tcW w:w="447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7C9A83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社区宣讲、问卷调研、活动组织；面向老人与家属两类受众的科普内容设计与新媒体传播</w:t>
            </w:r>
          </w:p>
        </w:tc>
      </w:tr>
      <w:tr w14:paraId="1A1D4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5EFBB9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商业与金融</w:t>
            </w:r>
          </w:p>
        </w:tc>
        <w:tc>
          <w:tcPr>
            <w:tcW w:w="292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764120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中央财经大学金融学院：金融工程</w:t>
            </w:r>
          </w:p>
        </w:tc>
        <w:tc>
          <w:tcPr>
            <w:tcW w:w="447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AF2958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财务模型构建与复核、单点经济模型测算、税负测算、经费口径规范</w:t>
            </w:r>
          </w:p>
        </w:tc>
      </w:tr>
      <w:tr w14:paraId="37D2E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174F0C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材料与硬件</w:t>
            </w:r>
          </w:p>
        </w:tc>
        <w:tc>
          <w:tcPr>
            <w:tcW w:w="292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82365C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中国科学院大学：物理科学（学生团队协同）</w:t>
            </w:r>
          </w:p>
        </w:tc>
        <w:tc>
          <w:tcPr>
            <w:tcW w:w="447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6236CF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柔性传感材料方案、硬件选型与电路设计支持</w:t>
            </w:r>
          </w:p>
        </w:tc>
      </w:tr>
    </w:tbl>
    <w:p w14:paraId="0DF7DBFE">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其中运动康复专业成员的参与还产生了一项容易被忽略的贡献：产品合规边界的界定。团队最初规划的电刺激理疗、疾病风险预警等功能，正是在运动康复与运动医学专业视角的审视下被识别为医疗干预与疾病预测，进而主动移除。这是专业知识对创业冲动的一次纠偏。</w:t>
      </w:r>
    </w:p>
    <w:p w14:paraId="49E3F746">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跨校协同的两个方向同样产生了具体产出而非挂名。中央财经大学成员完成了本项目财务模型的独立复核，识别出既往测算中未计入税负、营运资金缓冲口径与说明不符等问题，并主导了第七章税负测算一节的编制；中国科学院大学学生团队在柔性传感材料的选型与硬件方案上提供技术协同。需要说明的是，跨校协同为学生团队之间的技术交流与协作，未签署机构间的正式合作协议。</w:t>
      </w:r>
    </w:p>
    <w:p w14:paraId="44586D98">
      <w:pPr>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3810000" cy="4324350"/>
            <wp:effectExtent l="0" t="0" r="0" b="0"/>
            <wp:docPr id="9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2"/>
                    <pic:cNvPicPr>
                      <a:picLocks noChangeAspect="1" noChangeArrowheads="1"/>
                    </pic:cNvPicPr>
                  </pic:nvPicPr>
                  <pic:blipFill>
                    <a:blip r:embed="rId39"/>
                    <a:srcRect/>
                    <a:stretch>
                      <a:fillRect/>
                    </a:stretch>
                  </pic:blipFill>
                  <pic:spPr>
                    <a:xfrm>
                      <a:off x="0" y="0"/>
                      <a:ext cx="3810000" cy="4324350"/>
                    </a:xfrm>
                    <a:prstGeom prst="rect">
                      <a:avLst/>
                    </a:prstGeom>
                  </pic:spPr>
                </pic:pic>
              </a:graphicData>
            </a:graphic>
          </wp:inline>
        </w:drawing>
      </w:r>
    </w:p>
    <w:p w14:paraId="3527A7EB">
      <w:pPr>
        <w:pStyle w:val="8"/>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rFonts w:hint="eastAsia"/>
        </w:rPr>
        <w:t xml:space="preserve">图 </w:t>
      </w:r>
      <w:r>
        <w:fldChar w:fldCharType="begin"/>
      </w:r>
      <w:r>
        <w:instrText xml:space="preserve"> STYLEREF 1 \s \* ARABIC </w:instrText>
      </w:r>
      <w:r>
        <w:fldChar w:fldCharType="separate"/>
      </w:r>
      <w:r>
        <w:t>9</w:t>
      </w:r>
      <w:r>
        <w:fldChar w:fldCharType="end"/>
      </w:r>
      <w:r>
        <w:rPr>
          <w:rFonts w:hint="eastAsia"/>
          <w:lang w:eastAsia="zh-CN"/>
        </w:rPr>
        <w:t>-</w:t>
      </w:r>
      <w:r>
        <w:fldChar w:fldCharType="begin"/>
      </w:r>
      <w:r>
        <w:rPr>
          <w:rFonts w:hint="eastAsia"/>
        </w:rPr>
        <w:instrText xml:space="preserve"> SEQ 图 \* ARABIC \s 1 </w:instrText>
      </w:r>
      <w:r>
        <w:fldChar w:fldCharType="separate"/>
      </w:r>
      <w:r>
        <w:t>1</w:t>
      </w:r>
      <w:r>
        <w:fldChar w:fldCharType="end"/>
      </w:r>
      <w:r>
        <w:rPr>
          <w:rFonts w:hint="eastAsia" w:ascii="黑体" w:hAnsi="黑体" w:eastAsia="黑体" w:cs="黑体"/>
          <w:color w:val="000000" w:themeColor="text1"/>
          <w:sz w:val="21"/>
          <w:szCs w:val="21"/>
          <w14:textFill>
            <w14:solidFill>
              <w14:schemeClr w14:val="tx1"/>
            </w14:solidFill>
          </w14:textFill>
        </w:rPr>
        <w:t>学校创客孵化空间创业辅导现场</w:t>
      </w:r>
    </w:p>
    <w:p w14:paraId="1184AE8C">
      <w:pPr>
        <w:pStyle w:val="4"/>
        <w:keepNext w:val="0"/>
        <w:keepLines w:val="0"/>
        <w:kinsoku/>
        <w:wordWrap/>
        <w:overflowPunct/>
        <w:topLinePunct w:val="0"/>
        <w:autoSpaceDE/>
        <w:autoSpaceDN/>
        <w:bidi w:val="0"/>
        <w:adjustRightInd/>
        <w:snapToGrid/>
        <w:spacing w:line="300" w:lineRule="auto"/>
        <w:textAlignment w:val="auto"/>
      </w:pPr>
      <w:bookmarkStart w:id="373" w:name="_Toc17174"/>
      <w:bookmarkStart w:id="374" w:name="_Toc19237"/>
      <w:r>
        <w:rPr>
          <w:rFonts w:hint="eastAsia"/>
        </w:rPr>
        <w:t>9.5.4从实验室走进社区：暑期社会实践的育人闭环</w:t>
      </w:r>
      <w:bookmarkEnd w:id="373"/>
      <w:bookmarkEnd w:id="374"/>
    </w:p>
    <w:p w14:paraId="33FBF8CF">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2026年暑期，团队以本项目为依托组建暑期社会实践团队，项目类别为青春服务、践行体育为民实践行动，由两位指导教师全程随队，深入北京体育大学颐清园养老社区开展实践，并以安行健康站为实践服务品牌开展现场活动。</w:t>
      </w:r>
    </w:p>
    <w:p w14:paraId="003AB4A2">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9</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 xml:space="preserve"> 2026年暑期社会实践完成情况</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8"/>
        <w:gridCol w:w="7052"/>
      </w:tblGrid>
      <w:tr w14:paraId="17EF5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FDB344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实践内容</w:t>
            </w:r>
          </w:p>
        </w:tc>
        <w:tc>
          <w:tcPr>
            <w:tcW w:w="705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C7E94A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完成情况</w:t>
            </w:r>
          </w:p>
        </w:tc>
      </w:tr>
      <w:tr w14:paraId="72A75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68DB60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进入社区</w:t>
            </w:r>
          </w:p>
        </w:tc>
        <w:tc>
          <w:tcPr>
            <w:tcW w:w="70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C52425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4次进入颐清园养老社区开展现场实践</w:t>
            </w:r>
          </w:p>
        </w:tc>
      </w:tr>
      <w:tr w14:paraId="773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A64AF4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社区健康宣讲</w:t>
            </w:r>
          </w:p>
        </w:tc>
        <w:tc>
          <w:tcPr>
            <w:tcW w:w="705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B14982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开展宣讲活动4场，内容涵盖老年常见跌倒风险因素、危险动作示范与纠正、腰髋肌群功能性锻炼方法</w:t>
            </w:r>
          </w:p>
        </w:tc>
      </w:tr>
      <w:tr w14:paraId="67025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D57017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接触服务人群</w:t>
            </w:r>
          </w:p>
        </w:tc>
        <w:tc>
          <w:tcPr>
            <w:tcW w:w="70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0AD926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接触老年人200余人次</w:t>
            </w:r>
          </w:p>
        </w:tc>
      </w:tr>
      <w:tr w14:paraId="7C7C6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B47AE1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需求调研</w:t>
            </w:r>
          </w:p>
        </w:tc>
        <w:tc>
          <w:tcPr>
            <w:tcW w:w="705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C5B754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发放并回收有效问卷243份，形成《老年群体跌倒风险与智能防护需求调研报告》</w:t>
            </w:r>
          </w:p>
        </w:tc>
      </w:tr>
      <w:tr w14:paraId="5E6C3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4D86A5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步态数据采集</w:t>
            </w:r>
          </w:p>
        </w:tc>
        <w:tc>
          <w:tcPr>
            <w:tcW w:w="70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88DC61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完成20余名老年人的步态数据采集，获得32份有效步态数据，构成本项目首批自有真实老年步态样本</w:t>
            </w:r>
          </w:p>
        </w:tc>
      </w:tr>
      <w:tr w14:paraId="100F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7A6D09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科普传播</w:t>
            </w:r>
          </w:p>
        </w:tc>
        <w:tc>
          <w:tcPr>
            <w:tcW w:w="705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C1173E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制作适老化健康科普展板与讲义，开展新媒体科普传播</w:t>
            </w:r>
          </w:p>
        </w:tc>
      </w:tr>
      <w:tr w14:paraId="36D71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836C15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安全管理</w:t>
            </w:r>
          </w:p>
        </w:tc>
        <w:tc>
          <w:tcPr>
            <w:tcW w:w="70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E6336F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实践全程零安全事故，采集与宣讲环节均由指导教师在场监督</w:t>
            </w:r>
          </w:p>
        </w:tc>
      </w:tr>
      <w:tr w14:paraId="5B539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621A23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成果留存</w:t>
            </w:r>
          </w:p>
        </w:tc>
        <w:tc>
          <w:tcPr>
            <w:tcW w:w="705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46B0B2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留存活动影像资料，取得颐清园养老社区出具的实践活动证明材料</w:t>
            </w:r>
          </w:p>
        </w:tc>
      </w:tr>
      <w:tr w14:paraId="77B89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4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AEBF3F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实践评价</w:t>
            </w:r>
          </w:p>
        </w:tc>
        <w:tc>
          <w:tcPr>
            <w:tcW w:w="70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AC1A1D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团队获评优秀实践团队</w:t>
            </w:r>
          </w:p>
        </w:tc>
      </w:tr>
    </w:tbl>
    <w:p w14:paraId="4EF9946E">
      <w:pPr>
        <w:keepNext w:val="0"/>
        <w:keepLines w:val="0"/>
        <w:pageBreakBefore w:val="0"/>
        <w:kinsoku/>
        <w:wordWrap/>
        <w:overflowPunct/>
        <w:topLinePunct w:val="0"/>
        <w:autoSpaceDE/>
        <w:autoSpaceDN/>
        <w:bidi w:val="0"/>
        <w:adjustRightInd/>
        <w:snapToGrid/>
        <w:spacing w:before="40" w:after="14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说明：暑期社会实践团队的成员构成与本项目国赛参赛团队存在部分差异。实践团队按学校暑期实践立项组建于2026年7月，参赛团队在实践结束后根据项目推进需要进行了成员调整与跨校扩充，两份名单不完全重合。</w:t>
      </w:r>
    </w:p>
    <w:p w14:paraId="1A17A8C4">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次实践对项目的改变是实质性的，而不只是留下了一批照片。团队在现场反复观察到同一个现象：老年群体对任何带有监护设备、病患用品标签的产品都存在明确的心理抵触，而护腰是他们本就熟悉、甚至主动购买的日常护具。这一观察直接确立了产品以护腰为载体的形态决策——这个决策不是在实验室里推演出来的，是在社区里看出来的。</w:t>
      </w:r>
    </w:p>
    <w:p w14:paraId="1AC6E6F0">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调研数据同样修正了团队的产品认知。243份问卷显示，仅11.9%的老人最优先选择健康数据记录功能，而选择直接身体防护或监测提醒防护一体的合计达66.3%；在提高使用意愿的因素中，排名前三的是跌倒时提供保护、穿着轻便舒适、有实际测试或认证证明，而非任何智能功能。这组数据促使团队把功能规划从做加法转为做减法。</w:t>
      </w:r>
    </w:p>
    <w:p w14:paraId="3BCEB23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更重要的是，这次实践为本项目补上了一块关键的技术基础。此前团队的算法验证完全依赖公开数据集，缺少面向中国社区老年人的一手样本；32份有效步态数据虽然规模有限，却是团队自主采集、标注规范可控、人群特征与目标场景完全匹配的真实数据，构成了后续本土步态数据集建设的起点。社会实践在这里不再只是育人环节，它直接进入了研发链条。</w:t>
      </w:r>
    </w:p>
    <w:p w14:paraId="43562162">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对参与实践的学生而言，这个过程的价值在于：他们第一次发现，一个技术方案的对错，不是由技术本身的先进程度决定的，而是由使用它的人是否愿意接受决定的。这是任何一门课程都难以直接教授的认知。</w:t>
      </w:r>
    </w:p>
    <w:p w14:paraId="3E79B654">
      <w:pPr>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857500" cy="3810000"/>
            <wp:effectExtent l="0" t="0" r="0" b="0"/>
            <wp:docPr id="9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3"/>
                    <pic:cNvPicPr>
                      <a:picLocks noChangeAspect="1" noChangeArrowheads="1"/>
                    </pic:cNvPicPr>
                  </pic:nvPicPr>
                  <pic:blipFill>
                    <a:blip r:embed="rId40"/>
                    <a:srcRect/>
                    <a:stretch>
                      <a:fillRect/>
                    </a:stretch>
                  </pic:blipFill>
                  <pic:spPr>
                    <a:xfrm>
                      <a:off x="0" y="0"/>
                      <a:ext cx="2857500" cy="3810000"/>
                    </a:xfrm>
                    <a:prstGeom prst="rect">
                      <a:avLst/>
                    </a:prstGeom>
                  </pic:spPr>
                </pic:pic>
              </a:graphicData>
            </a:graphic>
          </wp:inline>
        </w:drawing>
      </w:r>
    </w:p>
    <w:p w14:paraId="5440FF8C">
      <w:pPr>
        <w:pStyle w:val="8"/>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rFonts w:hint="eastAsia"/>
        </w:rPr>
        <w:t xml:space="preserve">图 </w:t>
      </w:r>
      <w:r>
        <w:fldChar w:fldCharType="begin"/>
      </w:r>
      <w:r>
        <w:instrText xml:space="preserve"> STYLEREF 1 \s \* ARABIC </w:instrText>
      </w:r>
      <w:r>
        <w:fldChar w:fldCharType="separate"/>
      </w:r>
      <w:r>
        <w:t>9</w:t>
      </w:r>
      <w:r>
        <w:fldChar w:fldCharType="end"/>
      </w:r>
      <w:r>
        <w:rPr>
          <w:rFonts w:hint="eastAsia"/>
          <w:lang w:eastAsia="zh-CN"/>
        </w:rPr>
        <w:t>-</w:t>
      </w:r>
      <w:r>
        <w:fldChar w:fldCharType="begin"/>
      </w:r>
      <w:r>
        <w:rPr>
          <w:rFonts w:hint="eastAsia"/>
        </w:rPr>
        <w:instrText xml:space="preserve"> SEQ 图 \* ARABIC \s 1 </w:instrText>
      </w:r>
      <w:r>
        <w:fldChar w:fldCharType="separate"/>
      </w:r>
      <w:r>
        <w:t>2</w:t>
      </w:r>
      <w:r>
        <w:fldChar w:fldCharType="end"/>
      </w:r>
      <w:r>
        <w:rPr>
          <w:rFonts w:hint="eastAsia" w:ascii="黑体" w:hAnsi="黑体" w:eastAsia="黑体" w:cs="黑体"/>
          <w:color w:val="000000" w:themeColor="text1"/>
          <w:sz w:val="21"/>
          <w:szCs w:val="21"/>
          <w14:textFill>
            <w14:solidFill>
              <w14:schemeClr w14:val="tx1"/>
            </w14:solidFill>
          </w14:textFill>
        </w:rPr>
        <w:t>暑期社会实践中为社区老人现场答疑</w:t>
      </w:r>
    </w:p>
    <w:p w14:paraId="59E13E24">
      <w:pPr>
        <w:pStyle w:val="4"/>
        <w:keepNext w:val="0"/>
        <w:keepLines w:val="0"/>
        <w:kinsoku/>
        <w:wordWrap/>
        <w:overflowPunct/>
        <w:topLinePunct w:val="0"/>
        <w:autoSpaceDE/>
        <w:autoSpaceDN/>
        <w:bidi w:val="0"/>
        <w:adjustRightInd/>
        <w:snapToGrid/>
        <w:spacing w:line="300" w:lineRule="auto"/>
        <w:textAlignment w:val="auto"/>
      </w:pPr>
      <w:bookmarkStart w:id="375" w:name="_Toc11922"/>
      <w:bookmarkStart w:id="376" w:name="_Toc25011"/>
      <w:r>
        <w:rPr>
          <w:rFonts w:hint="eastAsia"/>
        </w:rPr>
        <w:t>9.5.5竞赛培育的成效</w:t>
      </w:r>
      <w:bookmarkEnd w:id="375"/>
      <w:bookmarkEnd w:id="376"/>
    </w:p>
    <w:p w14:paraId="13BBEE13">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学校与学院的竞赛培育体系是本项目从课堂构想走向完整方案的重要推力。在指导教师与学院的持续辅导下，本项目参加了第五届北京大学生创新创业大赛，在民生服务赛道获得一等奖，由北京市教育委员会、北京市人力资源和社会保障局、北京市发展和改革委员会于2026年7月联合颁发，推荐单位为北京体育大学。</w:t>
      </w:r>
    </w:p>
    <w:p w14:paraId="5BE96B1E">
      <w:pPr>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381500" cy="3095625"/>
            <wp:effectExtent l="0" t="0" r="0" b="0"/>
            <wp:docPr id="10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4"/>
                    <pic:cNvPicPr>
                      <a:picLocks noChangeAspect="1" noChangeArrowheads="1"/>
                    </pic:cNvPicPr>
                  </pic:nvPicPr>
                  <pic:blipFill>
                    <a:blip r:embed="rId41"/>
                    <a:srcRect/>
                    <a:stretch>
                      <a:fillRect/>
                    </a:stretch>
                  </pic:blipFill>
                  <pic:spPr>
                    <a:xfrm>
                      <a:off x="0" y="0"/>
                      <a:ext cx="4381500" cy="3095625"/>
                    </a:xfrm>
                    <a:prstGeom prst="rect">
                      <a:avLst/>
                    </a:prstGeom>
                  </pic:spPr>
                </pic:pic>
              </a:graphicData>
            </a:graphic>
          </wp:inline>
        </w:drawing>
      </w:r>
    </w:p>
    <w:p w14:paraId="23B7FD2B">
      <w:pPr>
        <w:pStyle w:val="8"/>
        <w:keepNext w:val="0"/>
        <w:keepLines w:val="0"/>
        <w:pageBreakBefore w:val="0"/>
        <w:kinsoku/>
        <w:wordWrap/>
        <w:overflowPunct/>
        <w:topLinePunct w:val="0"/>
        <w:autoSpaceDE/>
        <w:autoSpaceDN/>
        <w:bidi w:val="0"/>
        <w:adjustRightInd/>
        <w:snapToGrid/>
        <w:spacing w:before="120" w:after="30" w:line="300" w:lineRule="auto"/>
        <w:jc w:val="center"/>
        <w:textAlignment w:val="auto"/>
        <w:rPr>
          <w:color w:val="000000" w:themeColor="text1"/>
          <w14:textFill>
            <w14:solidFill>
              <w14:schemeClr w14:val="tx1"/>
            </w14:solidFill>
          </w14:textFill>
        </w:rPr>
      </w:pPr>
      <w:r>
        <w:rPr>
          <w:rFonts w:hint="eastAsia"/>
        </w:rPr>
        <w:t xml:space="preserve">图 </w:t>
      </w:r>
      <w:r>
        <w:fldChar w:fldCharType="begin"/>
      </w:r>
      <w:r>
        <w:instrText xml:space="preserve"> STYLEREF 1 \s \* ARABIC </w:instrText>
      </w:r>
      <w:r>
        <w:fldChar w:fldCharType="separate"/>
      </w:r>
      <w:r>
        <w:t>9</w:t>
      </w:r>
      <w:r>
        <w:fldChar w:fldCharType="end"/>
      </w:r>
      <w:r>
        <w:rPr>
          <w:rFonts w:hint="eastAsia"/>
          <w:lang w:eastAsia="zh-CN"/>
        </w:rPr>
        <w:t>-</w:t>
      </w:r>
      <w:r>
        <w:fldChar w:fldCharType="begin"/>
      </w:r>
      <w:r>
        <w:rPr>
          <w:rFonts w:hint="eastAsia"/>
        </w:rPr>
        <w:instrText xml:space="preserve"> SEQ 图 \* ARABIC \s 1 </w:instrText>
      </w:r>
      <w:r>
        <w:fldChar w:fldCharType="separate"/>
      </w:r>
      <w:r>
        <w:t>3</w:t>
      </w:r>
      <w:r>
        <w:fldChar w:fldCharType="end"/>
      </w:r>
      <w:r>
        <w:rPr>
          <w:rFonts w:hint="eastAsia" w:ascii="黑体" w:hAnsi="黑体" w:eastAsia="黑体" w:cs="黑体"/>
          <w:color w:val="000000" w:themeColor="text1"/>
          <w:sz w:val="21"/>
          <w:szCs w:val="21"/>
          <w14:textFill>
            <w14:solidFill>
              <w14:schemeClr w14:val="tx1"/>
            </w14:solidFill>
          </w14:textFill>
        </w:rPr>
        <w:t>第五届北京大学生创新创业大赛民生服务赛道一等奖证书</w:t>
      </w:r>
    </w:p>
    <w:p w14:paraId="3275864F">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竞赛培育对项目的作用，不在于奖项本身，而在于它倒逼团队完成了三件原本不会主动去做的事。</w:t>
      </w:r>
    </w:p>
    <w:p w14:paraId="71CE3E50">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—把技术构想翻译成商业逻辑。备赛过程中，团队第一次被要求回答产品卖给谁、谁来付钱、成本结构如何这类问题，这直接促成了由个人销售转向社区服务的模式设计。</w:t>
      </w:r>
    </w:p>
    <w:p w14:paraId="4587AB0A">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把零散素材整理成可核查的证据体系。为准备答辩与佐证材料，团队对既往引用的全部数据逐项复核，这一过程暴露出跌倒发生率口径混用、政策引用无法溯源等问题，并推动团队建立了此后一直沿用的数据纪律。</w:t>
      </w:r>
    </w:p>
    <w:p w14:paraId="00BF2496">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—把个人能力整合成团队分工。竞赛的时间压力促使团队形成了模块负责制与周例会机制，这套协作方式在赛后被保留并沿用至今。</w:t>
      </w:r>
    </w:p>
    <w:p w14:paraId="3890262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从人才培养的角度看，这三件事的价值都超出了这一次竞赛本身。</w:t>
      </w:r>
    </w:p>
    <w:p w14:paraId="66C353A6">
      <w:pPr>
        <w:pStyle w:val="4"/>
        <w:keepNext w:val="0"/>
        <w:keepLines w:val="0"/>
        <w:kinsoku/>
        <w:wordWrap/>
        <w:overflowPunct/>
        <w:topLinePunct w:val="0"/>
        <w:autoSpaceDE/>
        <w:autoSpaceDN/>
        <w:bidi w:val="0"/>
        <w:adjustRightInd/>
        <w:snapToGrid/>
        <w:spacing w:line="300" w:lineRule="auto"/>
        <w:textAlignment w:val="auto"/>
      </w:pPr>
      <w:bookmarkStart w:id="377" w:name="_Toc26700"/>
      <w:bookmarkStart w:id="378" w:name="_Toc27998"/>
      <w:r>
        <w:rPr>
          <w:rFonts w:hint="eastAsia"/>
        </w:rPr>
        <w:t>9.5.6对创新创业教育的反哺</w:t>
      </w:r>
      <w:bookmarkEnd w:id="377"/>
      <w:bookmarkEnd w:id="378"/>
    </w:p>
    <w:p w14:paraId="60155597">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项目团队在推进过程中形成的经验，已经开始向校内其他学生传递。</w:t>
      </w:r>
    </w:p>
    <w:p w14:paraId="45DA5A3B">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—在志愿者招募与数据采集环节，团队面向在校学生开展了项目介绍与数据采集流程说明，计划招募300名学生志愿者参与步态数据采集，这一过程本身即是一次面向更大范围学生的科研实践动员。</w:t>
      </w:r>
    </w:p>
    <w:p w14:paraId="63837755">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—团队在数据合规审查中形成的经验，包括对公开数据集许可证的逐项核查、对非商业许可数据集的主动排除，具有可推广性，可作为学院内其他涉及公开数据集使用项目的参考。</w:t>
      </w:r>
    </w:p>
    <w:p w14:paraId="4F3FF481">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—项目在产品合规边界上的处理经验，包括主动移除医疗干预类功能、明确产品属性认定，对体育与健康类创业项目普遍具有参考价值。</w:t>
      </w:r>
    </w:p>
    <w:p w14:paraId="513A0079">
      <w:pPr>
        <w:pStyle w:val="4"/>
        <w:keepNext w:val="0"/>
        <w:keepLines w:val="0"/>
        <w:kinsoku/>
        <w:wordWrap/>
        <w:overflowPunct/>
        <w:topLinePunct w:val="0"/>
        <w:autoSpaceDE/>
        <w:autoSpaceDN/>
        <w:bidi w:val="0"/>
        <w:adjustRightInd/>
        <w:snapToGrid/>
        <w:spacing w:line="300" w:lineRule="auto"/>
        <w:textAlignment w:val="auto"/>
      </w:pPr>
      <w:bookmarkStart w:id="379" w:name="_Toc27847"/>
      <w:bookmarkStart w:id="380" w:name="_Toc25934"/>
      <w:r>
        <w:rPr>
          <w:rFonts w:hint="eastAsia"/>
        </w:rPr>
        <w:t>9.5.7团队成员的成长</w:t>
      </w:r>
      <w:bookmarkEnd w:id="379"/>
      <w:bookmarkEnd w:id="380"/>
    </w:p>
    <w:p w14:paraId="47F959A4">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以可观察的变化衡量，本项目对团队成员产生的作用体现在三个层面。</w:t>
      </w:r>
    </w:p>
    <w:p w14:paraId="79635D6F">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—知识的应用能力。课堂上的运动生物力学、信号处理、机器学习知识被组织进同一个真实问题中，学生第一次体会到不同课程之间的联系。</w:t>
      </w:r>
    </w:p>
    <w:p w14:paraId="0E56E8C2">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—面向真实约束的工程判断。团队在推进中做出了多项收窄性判断，包括将柔性传感器件定位为传感单元而非供电来源、放弃云端推理、移除多项功能。学会做减法，是这个项目给团队最重要的训练。</w:t>
      </w:r>
    </w:p>
    <w:p w14:paraId="6ED25CBB">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对真实性的敬畏。在材料准备过程中，团队对既往引用的数据逐项复核，更正了跌倒发生率的口径混用问题，撤除了无法核实的政策引用，并对公开数据集的许可证进行了合规审查。这种对每一个数字负责的习惯，其价值超出本项目本身。</w:t>
      </w:r>
    </w:p>
    <w:p w14:paraId="66873328">
      <w:pPr>
        <w:pStyle w:val="2"/>
        <w:bidi w:val="0"/>
      </w:pPr>
      <w:bookmarkStart w:id="381" w:name="_Toc11558"/>
      <w:bookmarkStart w:id="382" w:name="_Toc15483"/>
      <w:r>
        <w:rPr>
          <w:rFonts w:hint="eastAsia"/>
        </w:rPr>
        <w:t>附录</w:t>
      </w:r>
      <w:bookmarkEnd w:id="381"/>
      <w:bookmarkEnd w:id="382"/>
    </w:p>
    <w:p w14:paraId="6CF3EBCB">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本章列示支撑正文各项结论的材料清单、数据来源与图表索引。清单中如实标注每项材料的当前状态，已具备的材料随本计划书提交，尚在办理中的材料标注预计完成时间。</w:t>
      </w:r>
    </w:p>
    <w:p w14:paraId="7609A33C">
      <w:pPr>
        <w:pStyle w:val="3"/>
        <w:bidi w:val="0"/>
      </w:pPr>
      <w:bookmarkStart w:id="383" w:name="_Toc1031"/>
      <w:bookmarkStart w:id="384" w:name="_Toc8371"/>
      <w:r>
        <w:rPr>
          <w:rFonts w:hint="eastAsia"/>
        </w:rPr>
        <w:t>10.1附录清单总览</w:t>
      </w:r>
      <w:bookmarkEnd w:id="383"/>
      <w:bookmarkEnd w:id="384"/>
    </w:p>
    <w:p w14:paraId="2400CAA4">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10</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1</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附录清单总览</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2"/>
        <w:gridCol w:w="2064"/>
        <w:gridCol w:w="5504"/>
      </w:tblGrid>
      <w:tr w14:paraId="49C59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3C1343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附录</w:t>
            </w:r>
          </w:p>
        </w:tc>
        <w:tc>
          <w:tcPr>
            <w:tcW w:w="206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ED4C58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内容</w:t>
            </w:r>
          </w:p>
        </w:tc>
        <w:tc>
          <w:tcPr>
            <w:tcW w:w="550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358096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用途</w:t>
            </w:r>
          </w:p>
        </w:tc>
      </w:tr>
      <w:tr w14:paraId="76EDF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75403A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附录一</w:t>
            </w:r>
          </w:p>
        </w:tc>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9D3235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调研材料</w:t>
            </w:r>
          </w:p>
        </w:tc>
        <w:tc>
          <w:tcPr>
            <w:tcW w:w="55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85A905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支撑第二章的一线调研结论与需求论证</w:t>
            </w:r>
          </w:p>
        </w:tc>
      </w:tr>
      <w:tr w14:paraId="2047B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0FD3B4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附录二</w:t>
            </w:r>
          </w:p>
        </w:tc>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014880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佐证材料包</w:t>
            </w:r>
          </w:p>
        </w:tc>
        <w:tc>
          <w:tcPr>
            <w:tcW w:w="55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C50051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支撑荣誉奖项、社会实践、学校培育、知识产权与团队构成等事实性表述</w:t>
            </w:r>
          </w:p>
        </w:tc>
      </w:tr>
      <w:tr w14:paraId="279A1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256C7B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附录三</w:t>
            </w:r>
          </w:p>
        </w:tc>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5F9CBA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数据来源与参考文献</w:t>
            </w:r>
          </w:p>
        </w:tc>
        <w:tc>
          <w:tcPr>
            <w:tcW w:w="55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3BB5AA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支撑全文引用的公开数据与政策依据</w:t>
            </w:r>
          </w:p>
        </w:tc>
      </w:tr>
      <w:tr w14:paraId="30983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CF5472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附录四</w:t>
            </w:r>
          </w:p>
        </w:tc>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EE1E10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图表索引</w:t>
            </w:r>
          </w:p>
        </w:tc>
        <w:tc>
          <w:tcPr>
            <w:tcW w:w="55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EE7D39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便于核对全文图表编号与出处</w:t>
            </w:r>
          </w:p>
        </w:tc>
      </w:tr>
    </w:tbl>
    <w:p w14:paraId="0BC18057">
      <w:pPr>
        <w:pStyle w:val="3"/>
        <w:bidi w:val="0"/>
      </w:pPr>
      <w:bookmarkStart w:id="385" w:name="_Toc26650"/>
      <w:bookmarkStart w:id="386" w:name="_Toc3518"/>
      <w:r>
        <w:rPr>
          <w:rFonts w:hint="eastAsia"/>
        </w:rPr>
        <w:t>10.2附录一：调研材料</w:t>
      </w:r>
      <w:bookmarkEnd w:id="385"/>
      <w:bookmarkEnd w:id="386"/>
    </w:p>
    <w:p w14:paraId="3C0CA38F">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本项目的一线调研由团队于2026年暑期社会实践期间在北京体育大学颐清园养老社区完成，共4次进入社区。调研材料包括调查工具、原始数据与分析报告三部分。</w:t>
      </w:r>
    </w:p>
    <w:p w14:paraId="2E6C2D7A">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10</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2</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附录一材料清单</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24"/>
        <w:gridCol w:w="860"/>
        <w:gridCol w:w="4816"/>
      </w:tblGrid>
      <w:tr w14:paraId="16A78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92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DB6D4E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材料名称</w:t>
            </w:r>
          </w:p>
        </w:tc>
        <w:tc>
          <w:tcPr>
            <w:tcW w:w="8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35C2CB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状态</w:t>
            </w:r>
          </w:p>
        </w:tc>
        <w:tc>
          <w:tcPr>
            <w:tcW w:w="481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66B090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说明</w:t>
            </w:r>
          </w:p>
        </w:tc>
      </w:tr>
      <w:tr w14:paraId="4A7CC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2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FD5BC9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《老年人日常安全防护与智能穿戴产品需求调查问卷》</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043C2A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481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AA0908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团队自主设计，共20题，采用先建立客观风险、再转向防护需求、最后聚焦产品概念的三段式结构。前9题不出现智能护腰字样，以避免受访者产生迎合性回答</w:t>
            </w:r>
          </w:p>
        </w:tc>
      </w:tr>
      <w:tr w14:paraId="3FB0F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2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6D5227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问卷原始答卷</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8B732D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481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DBD836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线下回收有效问卷243份，纸质原件留存</w:t>
            </w:r>
          </w:p>
        </w:tc>
      </w:tr>
      <w:tr w14:paraId="73765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2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5B78C8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《问卷数据报告》</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DCEA55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481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FCE6B9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含各题频数分布与95%置信区间、需求证据链、认知转化漏斗、价格敏感度与购买决策者分析</w:t>
            </w:r>
          </w:p>
        </w:tc>
      </w:tr>
      <w:tr w14:paraId="6875E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2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FDE4EB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《中国大陆老年人防护类产品、监测类设备与智能护腰穿戴防护设备市场前景及接受度研究报告》</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677B79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481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26B1B7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桌面研究报告，覆盖人口结构、跌倒流行病学、腰部疾病患病率与老年人智能设备接受度，各项数据均标注来源与外推边界</w:t>
            </w:r>
          </w:p>
        </w:tc>
      </w:tr>
      <w:tr w14:paraId="2B591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2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FD5F02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步态数据采集记录</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C951FB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481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E029ED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首批32份老年步态数据的采集方案、知情同意书与原始数据记录</w:t>
            </w:r>
          </w:p>
        </w:tc>
      </w:tr>
      <w:tr w14:paraId="60777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2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4A77D8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社区实践活动记录</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570519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481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2A3378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4次进社区、健康宣讲4场、接触老年人200余人次的活动记录与影像资料</w:t>
            </w:r>
          </w:p>
        </w:tc>
      </w:tr>
    </w:tbl>
    <w:p w14:paraId="581E7A7D">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关于调研样本量的说明：243份样本可支撑总体比例估计与主要人群分层，但不足以将5个百分点左右的细微差异解释为稳定规律。全文涉及的比例结论均附置信区间或以约几成的方式表述，小样本子组不单独解释。这一口径纪律在第二章已作说明。</w:t>
      </w:r>
    </w:p>
    <w:p w14:paraId="3E98E8BA">
      <w:pPr>
        <w:pStyle w:val="3"/>
        <w:bidi w:val="0"/>
      </w:pPr>
      <w:bookmarkStart w:id="387" w:name="_Toc13502"/>
      <w:bookmarkStart w:id="388" w:name="_Toc12201"/>
      <w:r>
        <w:rPr>
          <w:rFonts w:hint="eastAsia"/>
        </w:rPr>
        <w:t>10.3附录二：佐证材料包</w:t>
      </w:r>
      <w:bookmarkEnd w:id="387"/>
      <w:bookmarkEnd w:id="388"/>
    </w:p>
    <w:p w14:paraId="6A013074">
      <w:pPr>
        <w:pStyle w:val="4"/>
        <w:keepNext w:val="0"/>
        <w:keepLines w:val="0"/>
        <w:kinsoku/>
        <w:wordWrap/>
        <w:overflowPunct/>
        <w:topLinePunct w:val="0"/>
        <w:autoSpaceDE/>
        <w:autoSpaceDN/>
        <w:bidi w:val="0"/>
        <w:adjustRightInd/>
        <w:snapToGrid/>
        <w:spacing w:line="300" w:lineRule="auto"/>
        <w:textAlignment w:val="auto"/>
      </w:pPr>
      <w:bookmarkStart w:id="389" w:name="_Toc26057"/>
      <w:bookmarkStart w:id="390" w:name="_Toc20951"/>
      <w:r>
        <w:rPr>
          <w:rFonts w:hint="eastAsia"/>
        </w:rPr>
        <w:t>10.3.1荣誉奖项</w:t>
      </w:r>
      <w:bookmarkEnd w:id="389"/>
      <w:bookmarkEnd w:id="390"/>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40"/>
        <w:gridCol w:w="1032"/>
        <w:gridCol w:w="4128"/>
      </w:tblGrid>
      <w:tr w14:paraId="499F9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344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0311AD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材料名称</w:t>
            </w:r>
          </w:p>
        </w:tc>
        <w:tc>
          <w:tcPr>
            <w:tcW w:w="10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2D4305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状态</w:t>
            </w:r>
          </w:p>
        </w:tc>
        <w:tc>
          <w:tcPr>
            <w:tcW w:w="412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72BA99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说明</w:t>
            </w:r>
          </w:p>
        </w:tc>
      </w:tr>
      <w:tr w14:paraId="66619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44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403CD6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第五届北京大学生创新创业大赛民生服务赛道一等奖</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90558E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412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76126C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北京市级奖项，获奖名单及证书</w:t>
            </w:r>
          </w:p>
        </w:tc>
      </w:tr>
      <w:tr w14:paraId="76354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44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4E6734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中国国际大学生创新大赛校级赛银奖</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C1B2F0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412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295360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校级奖项，获奖名单及证书</w:t>
            </w:r>
          </w:p>
        </w:tc>
      </w:tr>
      <w:tr w14:paraId="5508F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44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5E8598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2026年暑期社会实践校级优秀实践团队</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37F70E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已获评</w:t>
            </w:r>
          </w:p>
        </w:tc>
        <w:tc>
          <w:tcPr>
            <w:tcW w:w="412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51F1FF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依托本项目组建的实践团队所获校级评优，证书待发</w:t>
            </w:r>
          </w:p>
        </w:tc>
      </w:tr>
    </w:tbl>
    <w:p w14:paraId="1A350644">
      <w:pPr>
        <w:pStyle w:val="4"/>
        <w:keepNext w:val="0"/>
        <w:keepLines w:val="0"/>
        <w:kinsoku/>
        <w:wordWrap/>
        <w:overflowPunct/>
        <w:topLinePunct w:val="0"/>
        <w:autoSpaceDE/>
        <w:autoSpaceDN/>
        <w:bidi w:val="0"/>
        <w:adjustRightInd/>
        <w:snapToGrid/>
        <w:spacing w:line="300" w:lineRule="auto"/>
        <w:textAlignment w:val="auto"/>
      </w:pPr>
      <w:bookmarkStart w:id="391" w:name="_Toc20276"/>
      <w:bookmarkStart w:id="392" w:name="_Toc17455"/>
      <w:r>
        <w:rPr>
          <w:rFonts w:hint="eastAsia"/>
        </w:rPr>
        <w:t>10.3.2社会实践与社区合作</w:t>
      </w:r>
      <w:bookmarkEnd w:id="391"/>
      <w:bookmarkEnd w:id="392"/>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8"/>
        <w:gridCol w:w="1032"/>
        <w:gridCol w:w="5160"/>
      </w:tblGrid>
      <w:tr w14:paraId="74EE8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40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B10A57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材料名称</w:t>
            </w:r>
          </w:p>
        </w:tc>
        <w:tc>
          <w:tcPr>
            <w:tcW w:w="10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DDB8F0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状态</w:t>
            </w:r>
          </w:p>
        </w:tc>
        <w:tc>
          <w:tcPr>
            <w:tcW w:w="51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6E6F720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说明</w:t>
            </w:r>
          </w:p>
        </w:tc>
      </w:tr>
      <w:tr w14:paraId="41D8F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AD0E45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暑期社会实践团队项目申报书</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7E15A9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51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304C45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项目类别为青春服务、践行体育为民实践行动，含课题来源、实践内容、日程安排与预期成果</w:t>
            </w:r>
          </w:p>
        </w:tc>
      </w:tr>
      <w:tr w14:paraId="49067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DD159F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暑期社会实践团队安全责任书</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66031D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51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8F41FB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含安全预案与责任落实</w:t>
            </w:r>
          </w:p>
        </w:tc>
      </w:tr>
      <w:tr w14:paraId="30972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E32C9F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颐清园养老社区活动证明材料</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5B9ACB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51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3B01A7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社区出具的实践活动证明</w:t>
            </w:r>
          </w:p>
        </w:tc>
      </w:tr>
      <w:tr w14:paraId="41A08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00C5E0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社区结对合作协议</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4322BF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推进中</w:t>
            </w:r>
          </w:p>
        </w:tc>
        <w:tc>
          <w:tcPr>
            <w:tcW w:w="51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72ADB8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拟在第一年进场期与颐清园正式签订服务合作协议</w:t>
            </w:r>
          </w:p>
        </w:tc>
      </w:tr>
      <w:tr w14:paraId="7065A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E7D936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实践活动影像资料</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404BD3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51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9BAC3A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宣讲现场、老人交流、步态采集与社区环境照片</w:t>
            </w:r>
          </w:p>
        </w:tc>
      </w:tr>
    </w:tbl>
    <w:p w14:paraId="711B46BC">
      <w:pPr>
        <w:pStyle w:val="4"/>
        <w:keepNext w:val="0"/>
        <w:keepLines w:val="0"/>
        <w:kinsoku/>
        <w:wordWrap/>
        <w:overflowPunct/>
        <w:topLinePunct w:val="0"/>
        <w:autoSpaceDE/>
        <w:autoSpaceDN/>
        <w:bidi w:val="0"/>
        <w:adjustRightInd/>
        <w:snapToGrid/>
        <w:spacing w:line="300" w:lineRule="auto"/>
        <w:textAlignment w:val="auto"/>
      </w:pPr>
      <w:bookmarkStart w:id="393" w:name="_Toc4413"/>
      <w:bookmarkStart w:id="394" w:name="_Toc22576"/>
      <w:r>
        <w:rPr>
          <w:rFonts w:hint="eastAsia"/>
        </w:rPr>
        <w:t>10.3.3学校培育与导师支撑</w:t>
      </w:r>
      <w:bookmarkEnd w:id="393"/>
      <w:bookmarkEnd w:id="394"/>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6"/>
        <w:gridCol w:w="860"/>
        <w:gridCol w:w="5504"/>
      </w:tblGrid>
      <w:tr w14:paraId="7592F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23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D7566CF">
            <w:pPr>
              <w:keepNext/>
              <w:keepLines w:val="0"/>
              <w:pageBreakBefore w:val="0"/>
              <w:kinsoku/>
              <w:wordWrap/>
              <w:overflowPunct/>
              <w:topLinePunct w:val="0"/>
              <w:autoSpaceDE/>
              <w:autoSpaceDN/>
              <w:bidi w:val="0"/>
              <w:adjustRightInd/>
              <w:snapToGrid/>
              <w:spacing w:before="20" w:after="20" w:line="300" w:lineRule="auto"/>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材料名称</w:t>
            </w:r>
          </w:p>
        </w:tc>
        <w:tc>
          <w:tcPr>
            <w:tcW w:w="8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25CB8E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状态</w:t>
            </w:r>
          </w:p>
        </w:tc>
        <w:tc>
          <w:tcPr>
            <w:tcW w:w="550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6D6560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说明</w:t>
            </w:r>
          </w:p>
        </w:tc>
      </w:tr>
      <w:tr w14:paraId="4F34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3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0D2647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体育工程实验室与动作捕捉平台使用情况</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1FB176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已使用</w:t>
            </w:r>
          </w:p>
        </w:tc>
        <w:tc>
          <w:tcPr>
            <w:tcW w:w="55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194757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高精度光学动捕系统，为步态数据采集与标注提供金标准平台</w:t>
            </w:r>
          </w:p>
        </w:tc>
      </w:tr>
      <w:tr w14:paraId="0BC83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3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CC60F0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指导教师情况说明</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E4FB9E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55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2C839F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宗寿鑫，体育工程学院讲师，运动表现分析教学团队，负责软硬件系统集成与数据训练指导；阮槟，运动医学与康复学院运动康复医学中心书记，高级运动防护师，负责运动康复专业指导与养老社区资源对接</w:t>
            </w:r>
          </w:p>
        </w:tc>
      </w:tr>
      <w:tr w14:paraId="5A6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3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19B20F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指导教师承担的相关科研课题</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04B170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已核实</w:t>
            </w:r>
          </w:p>
        </w:tc>
        <w:tc>
          <w:tcPr>
            <w:tcW w:w="55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A7A6A5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宗寿鑫：承担国家重点研发计划的智能心理服务软硬件系统开发；参与国家体育总局项目《心理服务智能系统的研发》、校级项目《儿童大肌肉群动作发展能力智能评估体系的建立》。阮槟：国家级大学生创新训练计划项目《慢性踝关节不稳人群损伤特点研究》第一指导教师、《家+康复——远程运动康复平台》相关研究指导教师</w:t>
            </w:r>
          </w:p>
        </w:tc>
      </w:tr>
      <w:tr w14:paraId="1E20D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3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17FCC4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创客孵化空间入驻与辅导记录</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C86777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550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33B3B0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项目入驻学校创客孵化空间，获场地支持；王正老师提供创业辅导3次，内容涵盖商业模式梳理与材料打磨</w:t>
            </w:r>
          </w:p>
        </w:tc>
      </w:tr>
      <w:tr w14:paraId="09511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3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FEEB5E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实验室场地与设备照片</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B1A917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550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B00706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动捕实验室、生物医学实验室、研发实验室、设备调试记录</w:t>
            </w:r>
          </w:p>
        </w:tc>
      </w:tr>
    </w:tbl>
    <w:p w14:paraId="1B057C12">
      <w:pPr>
        <w:pStyle w:val="4"/>
        <w:keepNext w:val="0"/>
        <w:keepLines w:val="0"/>
        <w:kinsoku/>
        <w:wordWrap/>
        <w:overflowPunct/>
        <w:topLinePunct w:val="0"/>
        <w:autoSpaceDE/>
        <w:autoSpaceDN/>
        <w:bidi w:val="0"/>
        <w:adjustRightInd/>
        <w:snapToGrid/>
        <w:spacing w:line="300" w:lineRule="auto"/>
        <w:textAlignment w:val="auto"/>
      </w:pPr>
      <w:bookmarkStart w:id="395" w:name="_Toc14846"/>
      <w:bookmarkStart w:id="396" w:name="_Toc13426"/>
      <w:r>
        <w:rPr>
          <w:rFonts w:hint="eastAsia"/>
        </w:rPr>
        <w:t>10.3.4知识产权与学术产出</w:t>
      </w:r>
      <w:bookmarkEnd w:id="395"/>
      <w:bookmarkEnd w:id="396"/>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6"/>
        <w:gridCol w:w="1032"/>
        <w:gridCol w:w="5332"/>
      </w:tblGrid>
      <w:tr w14:paraId="7C0FD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23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1FA497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材料名称</w:t>
            </w:r>
          </w:p>
        </w:tc>
        <w:tc>
          <w:tcPr>
            <w:tcW w:w="10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0FCC8B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状态</w:t>
            </w:r>
          </w:p>
        </w:tc>
        <w:tc>
          <w:tcPr>
            <w:tcW w:w="533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68867E1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说明</w:t>
            </w:r>
          </w:p>
        </w:tc>
      </w:tr>
      <w:tr w14:paraId="0DD45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3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1ED1CF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发明专利申请材料</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AF8AF3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已提交申请</w:t>
            </w:r>
          </w:p>
        </w:tc>
        <w:tc>
          <w:tcPr>
            <w:tcW w:w="53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C23445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围绕柔性传感与主动缓冲防护的集成结构及触发控制方法，受理中</w:t>
            </w:r>
          </w:p>
        </w:tc>
      </w:tr>
      <w:tr w14:paraId="0767B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3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59BF20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软件著作权登记材料</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D2E7DE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已提交申请</w:t>
            </w:r>
          </w:p>
        </w:tc>
        <w:tc>
          <w:tcPr>
            <w:tcW w:w="53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6925D8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围绕多模态步态特征提取与端侧推理相关软件，登记中</w:t>
            </w:r>
          </w:p>
        </w:tc>
      </w:tr>
      <w:tr w14:paraId="485B4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3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6267DD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学术论文</w:t>
            </w:r>
          </w:p>
        </w:tc>
        <w:tc>
          <w:tcPr>
            <w:tcW w:w="10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316B23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推进中</w:t>
            </w:r>
          </w:p>
        </w:tc>
        <w:tc>
          <w:tcPr>
            <w:tcW w:w="533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5D1D4A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老年步态分析方向，撰写中，拟投ICSTPA</w:t>
            </w:r>
          </w:p>
        </w:tc>
      </w:tr>
      <w:tr w14:paraId="13B05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3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628868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公开数据集许可证审查记录</w:t>
            </w:r>
          </w:p>
        </w:tc>
        <w:tc>
          <w:tcPr>
            <w:tcW w:w="10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7F580F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533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36DBED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五项数据集确认可用并署名，两项经审查后排除，详见第三章</w:t>
            </w:r>
          </w:p>
        </w:tc>
      </w:tr>
    </w:tbl>
    <w:p w14:paraId="04A0D7B5">
      <w:pPr>
        <w:keepNext w:val="0"/>
        <w:keepLines w:val="0"/>
        <w:pageBreakBefore w:val="0"/>
        <w:kinsoku/>
        <w:wordWrap/>
        <w:overflowPunct/>
        <w:topLinePunct w:val="0"/>
        <w:autoSpaceDE/>
        <w:autoSpaceDN/>
        <w:bidi w:val="0"/>
        <w:adjustRightInd/>
        <w:snapToGrid/>
        <w:spacing w:before="160" w:after="80" w:line="300" w:lineRule="auto"/>
        <w:ind w:firstLine="48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关于知识产权材料的表述纪律：</w:t>
      </w:r>
    </w:p>
    <w:p w14:paraId="1868F241">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专利与软著在正式受理或下证之前，全文统一表述为已提交申请，不得写为已获得、已授权。取得受理通知书后可写入受理号，取得证书后方可写为已授权。</w:t>
      </w:r>
    </w:p>
    <w:p w14:paraId="6A814AA8">
      <w:pPr>
        <w:keepNext w:val="0"/>
        <w:keepLines w:val="0"/>
        <w:pageBreakBefore w:val="0"/>
        <w:kinsoku/>
        <w:wordWrap/>
        <w:overflowPunct/>
        <w:topLinePunct w:val="0"/>
        <w:autoSpaceDE/>
        <w:autoSpaceDN/>
        <w:bidi w:val="0"/>
        <w:adjustRightInd/>
        <w:snapToGrid/>
        <w:spacing w:before="0" w:after="10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这一纪律的重要性在于，知识产权材料是评审核查的重点，表述越界属于材料不实。</w:t>
      </w:r>
    </w:p>
    <w:p w14:paraId="20DFF98E">
      <w:pPr>
        <w:pStyle w:val="4"/>
        <w:keepNext w:val="0"/>
        <w:keepLines w:val="0"/>
        <w:kinsoku/>
        <w:wordWrap/>
        <w:overflowPunct/>
        <w:topLinePunct w:val="0"/>
        <w:autoSpaceDE/>
        <w:autoSpaceDN/>
        <w:bidi w:val="0"/>
        <w:adjustRightInd/>
        <w:snapToGrid/>
        <w:spacing w:line="300" w:lineRule="auto"/>
        <w:textAlignment w:val="auto"/>
      </w:pPr>
      <w:bookmarkStart w:id="397" w:name="_Toc8793"/>
      <w:bookmarkStart w:id="398" w:name="_Toc24150"/>
      <w:r>
        <w:rPr>
          <w:rFonts w:hint="eastAsia"/>
        </w:rPr>
        <w:t>10.3.5团队材料</w:t>
      </w:r>
      <w:bookmarkEnd w:id="397"/>
      <w:bookmarkEnd w:id="398"/>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4"/>
        <w:gridCol w:w="860"/>
        <w:gridCol w:w="5676"/>
      </w:tblGrid>
      <w:tr w14:paraId="429B8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BD57AF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材料名称</w:t>
            </w:r>
          </w:p>
        </w:tc>
        <w:tc>
          <w:tcPr>
            <w:tcW w:w="8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813461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状态</w:t>
            </w:r>
          </w:p>
        </w:tc>
        <w:tc>
          <w:tcPr>
            <w:tcW w:w="567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D1F362E">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说明</w:t>
            </w:r>
          </w:p>
        </w:tc>
      </w:tr>
      <w:tr w14:paraId="53517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8EB67E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团队成员名单与专业构成</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A19CF8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56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F0BC9A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12名成员，分属体育工程学院、运动医学与康复学院、运动人体科学学院、竞技体育学院、新闻与传播学院；并与中央财经大学、中国科学院大学学生成员跨校协同</w:t>
            </w:r>
          </w:p>
        </w:tc>
      </w:tr>
      <w:tr w14:paraId="09494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F3FCA1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成员个人简介与获奖情况</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49D1F7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56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710D8F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含各成员专业背景、能力特长及在项目中的实质贡献</w:t>
            </w:r>
          </w:p>
        </w:tc>
      </w:tr>
      <w:tr w14:paraId="6DC31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8EFDD2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团队合影与工作场景照片</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BF0F2F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56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C14D4E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p>
        </w:tc>
      </w:tr>
    </w:tbl>
    <w:p w14:paraId="48118D56">
      <w:pPr>
        <w:pStyle w:val="4"/>
        <w:keepNext w:val="0"/>
        <w:keepLines w:val="0"/>
        <w:kinsoku/>
        <w:wordWrap/>
        <w:overflowPunct/>
        <w:topLinePunct w:val="0"/>
        <w:autoSpaceDE/>
        <w:autoSpaceDN/>
        <w:bidi w:val="0"/>
        <w:adjustRightInd/>
        <w:snapToGrid/>
        <w:spacing w:line="300" w:lineRule="auto"/>
        <w:textAlignment w:val="auto"/>
      </w:pPr>
      <w:bookmarkStart w:id="399" w:name="_Toc22467"/>
      <w:bookmarkStart w:id="400" w:name="_Toc27255"/>
      <w:r>
        <w:rPr>
          <w:rFonts w:hint="eastAsia"/>
        </w:rPr>
        <w:t>10.3.6产品与技术材料</w:t>
      </w:r>
      <w:bookmarkEnd w:id="399"/>
      <w:bookmarkEnd w:id="400"/>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4"/>
        <w:gridCol w:w="860"/>
        <w:gridCol w:w="5676"/>
      </w:tblGrid>
      <w:tr w14:paraId="31E0E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20E380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材料名称</w:t>
            </w:r>
          </w:p>
        </w:tc>
        <w:tc>
          <w:tcPr>
            <w:tcW w:w="86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6ECFDAD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状态</w:t>
            </w:r>
          </w:p>
        </w:tc>
        <w:tc>
          <w:tcPr>
            <w:tcW w:w="567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6427E4C7">
            <w:pPr>
              <w:keepNext/>
              <w:keepLines w:val="0"/>
              <w:pageBreakBefore w:val="0"/>
              <w:kinsoku/>
              <w:wordWrap/>
              <w:overflowPunct/>
              <w:topLinePunct w:val="0"/>
              <w:autoSpaceDE/>
              <w:autoSpaceDN/>
              <w:bidi w:val="0"/>
              <w:adjustRightInd/>
              <w:snapToGrid/>
              <w:spacing w:before="20" w:after="20" w:line="300" w:lineRule="auto"/>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说明</w:t>
            </w:r>
          </w:p>
        </w:tc>
      </w:tr>
      <w:tr w14:paraId="25CE4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4207CB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产品结构设计图</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B8A4DA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56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E83021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护腰展开图、穿戴正面图、气囊展开状态图</w:t>
            </w:r>
          </w:p>
        </w:tc>
      </w:tr>
      <w:tr w14:paraId="71753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A55EFE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配套软件界面材料</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A87412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56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CEDD18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网页端社区管理平台界面截图；家属端应用开发中</w:t>
            </w:r>
          </w:p>
        </w:tc>
      </w:tr>
      <w:tr w14:paraId="1E97B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0C286E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系统架构与技术路线图</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793AF5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56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405304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四层技术架构图、传感器布局与信号采集流程图、端侧推理系统架构图、气囊触发时序图</w:t>
            </w:r>
          </w:p>
        </w:tc>
      </w:tr>
      <w:tr w14:paraId="37B25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EF4BF9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单台物料成本测算表</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82784D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56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DFA503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基于公开市场价格与初步询价形成的三档成本测算底稿，属内部测算材料，不作为供应商正式报价使用</w:t>
            </w:r>
          </w:p>
        </w:tc>
      </w:tr>
      <w:tr w14:paraId="6829F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9549B8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验证实验方案</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649822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已具备</w:t>
            </w:r>
          </w:p>
        </w:tc>
        <w:tc>
          <w:tcPr>
            <w:tcW w:w="56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50EBC8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三组核心实验的目标、方法与验证指标设计，详见第三章</w:t>
            </w:r>
          </w:p>
        </w:tc>
      </w:tr>
      <w:tr w14:paraId="4D0C7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6F61A1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实验数据与测试报告</w:t>
            </w:r>
          </w:p>
        </w:tc>
        <w:tc>
          <w:tcPr>
            <w:tcW w:w="86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886620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推进中</w:t>
            </w:r>
          </w:p>
        </w:tc>
        <w:tc>
          <w:tcPr>
            <w:tcW w:w="567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DCBB13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随三组验证实验的开展逐步形成，预计第一年内完成</w:t>
            </w:r>
          </w:p>
        </w:tc>
      </w:tr>
      <w:tr w14:paraId="298F4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6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6EDC47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第三方检测报告</w:t>
            </w:r>
          </w:p>
        </w:tc>
        <w:tc>
          <w:tcPr>
            <w:tcW w:w="86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B7923C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推进中</w:t>
            </w:r>
          </w:p>
        </w:tc>
        <w:tc>
          <w:tcPr>
            <w:tcW w:w="567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67DCDB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进入规模推广前办理，作为产品性能的客观依据</w:t>
            </w:r>
          </w:p>
        </w:tc>
      </w:tr>
    </w:tbl>
    <w:p w14:paraId="19956EC3">
      <w:pPr>
        <w:keepNext w:val="0"/>
        <w:keepLines w:val="0"/>
        <w:pageBreakBefore w:val="0"/>
        <w:kinsoku/>
        <w:wordWrap/>
        <w:overflowPunct/>
        <w:topLinePunct w:val="0"/>
        <w:autoSpaceDE/>
        <w:autoSpaceDN/>
        <w:bidi w:val="0"/>
        <w:adjustRightInd/>
        <w:snapToGrid/>
        <w:spacing w:before="40" w:after="14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关于物料成本测算表的说明：该表由团队依据公开市场价格与向供应商的初步问询整理形成，报价时效与供货条件均未最终确认，因此在本计划书中仅作为成本测算的依据，不构成已锁定的采购价格。正式采购价格以进入试产阶段后签署的采购合同为准。</w:t>
      </w:r>
    </w:p>
    <w:p w14:paraId="6CDE83EC">
      <w:pPr>
        <w:pStyle w:val="4"/>
        <w:keepNext w:val="0"/>
        <w:keepLines w:val="0"/>
        <w:kinsoku/>
        <w:wordWrap/>
        <w:overflowPunct/>
        <w:topLinePunct w:val="0"/>
        <w:autoSpaceDE/>
        <w:autoSpaceDN/>
        <w:bidi w:val="0"/>
        <w:adjustRightInd/>
        <w:snapToGrid/>
        <w:spacing w:line="300" w:lineRule="auto"/>
        <w:textAlignment w:val="auto"/>
      </w:pPr>
      <w:bookmarkStart w:id="401" w:name="_Toc26903"/>
      <w:bookmarkStart w:id="402" w:name="_Toc5965"/>
      <w:r>
        <w:rPr>
          <w:rFonts w:hint="eastAsia"/>
        </w:rPr>
        <w:t>10.3.7佐证材料准备状态汇总</w:t>
      </w:r>
      <w:bookmarkEnd w:id="401"/>
      <w:bookmarkEnd w:id="402"/>
    </w:p>
    <w:p w14:paraId="66AFA3F0">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10</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佐证材料准备状态汇总</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34"/>
        <w:gridCol w:w="688"/>
        <w:gridCol w:w="1244"/>
        <w:gridCol w:w="5034"/>
      </w:tblGrid>
      <w:tr w14:paraId="19FA6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63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639542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材料类别</w:t>
            </w:r>
          </w:p>
        </w:tc>
        <w:tc>
          <w:tcPr>
            <w:tcW w:w="68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7ADCEE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已具备</w:t>
            </w:r>
          </w:p>
        </w:tc>
        <w:tc>
          <w:tcPr>
            <w:tcW w:w="124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3E9A1C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正在推进</w:t>
            </w:r>
          </w:p>
        </w:tc>
        <w:tc>
          <w:tcPr>
            <w:tcW w:w="503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EE1A17C">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说明</w:t>
            </w:r>
          </w:p>
        </w:tc>
      </w:tr>
      <w:tr w14:paraId="4C19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3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3268C0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调研材料</w:t>
            </w:r>
          </w:p>
        </w:tc>
        <w:tc>
          <w:tcPr>
            <w:tcW w:w="68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8FB6F7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6项</w:t>
            </w:r>
          </w:p>
        </w:tc>
        <w:tc>
          <w:tcPr>
            <w:tcW w:w="124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8FDDF8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0项</w:t>
            </w:r>
          </w:p>
        </w:tc>
        <w:tc>
          <w:tcPr>
            <w:tcW w:w="503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4972A4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问卷、原始答卷、数据报告、桌面研究、步态采集记录、活动记录均已齐备</w:t>
            </w:r>
          </w:p>
        </w:tc>
      </w:tr>
      <w:tr w14:paraId="24B1A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3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52D0C3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荣誉奖项</w:t>
            </w:r>
          </w:p>
        </w:tc>
        <w:tc>
          <w:tcPr>
            <w:tcW w:w="68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AE0F6C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2项</w:t>
            </w:r>
          </w:p>
        </w:tc>
        <w:tc>
          <w:tcPr>
            <w:tcW w:w="124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EDB2D1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1项</w:t>
            </w:r>
          </w:p>
        </w:tc>
        <w:tc>
          <w:tcPr>
            <w:tcW w:w="503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0DC105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北京市级一等奖与校级银奖证书已具备；暑期社会实践优秀团队已获评，证书待发</w:t>
            </w:r>
          </w:p>
        </w:tc>
      </w:tr>
      <w:tr w14:paraId="15BB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3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8F1D8E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社会实践与社区合作</w:t>
            </w:r>
          </w:p>
        </w:tc>
        <w:tc>
          <w:tcPr>
            <w:tcW w:w="68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DC8219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4项</w:t>
            </w:r>
          </w:p>
        </w:tc>
        <w:tc>
          <w:tcPr>
            <w:tcW w:w="124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FBBBBF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1项</w:t>
            </w:r>
          </w:p>
        </w:tc>
        <w:tc>
          <w:tcPr>
            <w:tcW w:w="503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B91587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实践材料齐备；社区结对协议拟在第一年进场期签订</w:t>
            </w:r>
          </w:p>
        </w:tc>
      </w:tr>
      <w:tr w14:paraId="02AC4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3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1F9B88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学校培育与导师支撑</w:t>
            </w:r>
          </w:p>
        </w:tc>
        <w:tc>
          <w:tcPr>
            <w:tcW w:w="68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597674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5项</w:t>
            </w:r>
          </w:p>
        </w:tc>
        <w:tc>
          <w:tcPr>
            <w:tcW w:w="124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2E46BA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0项</w:t>
            </w:r>
          </w:p>
        </w:tc>
        <w:tc>
          <w:tcPr>
            <w:tcW w:w="503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5583AE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实验室平台、导师情况、导师课题、创客孵化辅导记录与场地照片均已齐备</w:t>
            </w:r>
          </w:p>
        </w:tc>
      </w:tr>
      <w:tr w14:paraId="7600D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3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5D5AE5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知识产权与学术产出</w:t>
            </w:r>
          </w:p>
        </w:tc>
        <w:tc>
          <w:tcPr>
            <w:tcW w:w="68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F0885B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1项</w:t>
            </w:r>
          </w:p>
        </w:tc>
        <w:tc>
          <w:tcPr>
            <w:tcW w:w="124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9A2DAC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3项</w:t>
            </w:r>
          </w:p>
        </w:tc>
        <w:tc>
          <w:tcPr>
            <w:tcW w:w="503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AA1EF7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专利与软著已提交申请，处于受理与登记阶段；论文撰写中</w:t>
            </w:r>
          </w:p>
        </w:tc>
      </w:tr>
      <w:tr w14:paraId="0C525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3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D334B9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团队材料</w:t>
            </w:r>
          </w:p>
        </w:tc>
        <w:tc>
          <w:tcPr>
            <w:tcW w:w="68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62829E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3项</w:t>
            </w:r>
          </w:p>
        </w:tc>
        <w:tc>
          <w:tcPr>
            <w:tcW w:w="124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8B3869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0项</w:t>
            </w:r>
          </w:p>
        </w:tc>
        <w:tc>
          <w:tcPr>
            <w:tcW w:w="503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F8791E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名单、个人简介与团队照片均已齐备</w:t>
            </w:r>
          </w:p>
        </w:tc>
      </w:tr>
      <w:tr w14:paraId="1B96C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3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AC5AE1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产品与技术材料</w:t>
            </w:r>
          </w:p>
        </w:tc>
        <w:tc>
          <w:tcPr>
            <w:tcW w:w="68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AFA648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5项</w:t>
            </w:r>
          </w:p>
        </w:tc>
        <w:tc>
          <w:tcPr>
            <w:tcW w:w="124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9876E7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2项</w:t>
            </w:r>
          </w:p>
        </w:tc>
        <w:tc>
          <w:tcPr>
            <w:tcW w:w="503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630932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设计图、软件界面、架构图、成本测算表与实验方案已齐备；实验数据与第三方检测随研发推进形成</w:t>
            </w:r>
          </w:p>
        </w:tc>
      </w:tr>
    </w:tbl>
    <w:p w14:paraId="236EFD62">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发明专利与软件著作权均已提交申请，目前处于受理与登记阶段；取得受理号或证书后，将在相应章节据实补充，在此之前全文不作任何已授权表述。</w:t>
      </w:r>
    </w:p>
    <w:p w14:paraId="4C08A359">
      <w:pPr>
        <w:pStyle w:val="3"/>
        <w:bidi w:val="0"/>
      </w:pPr>
      <w:bookmarkStart w:id="403" w:name="_Toc21394"/>
      <w:bookmarkStart w:id="404" w:name="_Toc9997"/>
      <w:r>
        <w:rPr>
          <w:rFonts w:hint="eastAsia"/>
        </w:rPr>
        <w:t>10.4附录三：数据来源与参考文献</w:t>
      </w:r>
      <w:bookmarkEnd w:id="403"/>
      <w:bookmarkEnd w:id="404"/>
    </w:p>
    <w:p w14:paraId="33C1A6C2">
      <w:pPr>
        <w:pStyle w:val="4"/>
        <w:keepNext w:val="0"/>
        <w:keepLines w:val="0"/>
        <w:kinsoku/>
        <w:wordWrap/>
        <w:overflowPunct/>
        <w:topLinePunct w:val="0"/>
        <w:autoSpaceDE/>
        <w:autoSpaceDN/>
        <w:bidi w:val="0"/>
        <w:adjustRightInd/>
        <w:snapToGrid/>
        <w:spacing w:line="300" w:lineRule="auto"/>
        <w:textAlignment w:val="auto"/>
      </w:pPr>
      <w:bookmarkStart w:id="405" w:name="_Toc22324"/>
      <w:bookmarkStart w:id="406" w:name="_Toc24365"/>
      <w:r>
        <w:rPr>
          <w:rFonts w:hint="eastAsia"/>
        </w:rPr>
        <w:t>10.4.1统计与流行病学数据</w:t>
      </w:r>
      <w:bookmarkEnd w:id="405"/>
      <w:bookmarkEnd w:id="406"/>
    </w:p>
    <w:p w14:paraId="1D094006">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—国家统计局.中华人民共和国2025年国民经济和社会发展统计公报.2026年2月.（全国人口、60岁及以上与65岁及以上人口规模与占比）</w:t>
      </w:r>
    </w:p>
    <w:p w14:paraId="4F342431">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—中国社区老年人跌倒及跌倒后受伤情况分析.中国公共卫生.（2018年北京、上海、湖北、四川、云南、广西六地区，21084名60岁及以上社区老年人；加权年跌倒发生率14.7%，跌倒后受伤比例79.5%，伤害类型分布）</w:t>
      </w:r>
    </w:p>
    <w:p w14:paraId="22493DEC">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—中国60至79岁老年人跌倒风险现状与相关因素分析.协和医学杂志.（基于2024年全国横断面监测数据，n=7000；跌倒高风险检出率10.5%，无伴侣共同生活比值比1.97）</w:t>
      </w:r>
    </w:p>
    <w:p w14:paraId="7AA7573D">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—北京市卫生健康委员会.健康科普资料：如何破解髋部骨折这一人生最后一次骨折魔咒.（髋部骨折年新发超100万例，1年死亡率20%至30%，致残率约50%，35%无法恢复独立行走，25%需长期家庭护理）</w:t>
      </w:r>
    </w:p>
    <w:p w14:paraId="4A696AE3">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—中国人群腰椎间盘突出症患病率Meta分析.（纳入26项研究；60岁以上人群患病率约11%，95%置信区间约7%至15%）</w:t>
      </w:r>
    </w:p>
    <w:p w14:paraId="29069051">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—基于中国健康与养老追踪调查数据的腰痛研究.（45岁及以上人群腰痛报告率27.2%）</w:t>
      </w:r>
    </w:p>
    <w:p w14:paraId="1CAA458A">
      <w:pPr>
        <w:pStyle w:val="4"/>
        <w:keepNext w:val="0"/>
        <w:keepLines w:val="0"/>
        <w:kinsoku/>
        <w:wordWrap/>
        <w:overflowPunct/>
        <w:topLinePunct w:val="0"/>
        <w:autoSpaceDE/>
        <w:autoSpaceDN/>
        <w:bidi w:val="0"/>
        <w:adjustRightInd/>
        <w:snapToGrid/>
        <w:spacing w:line="300" w:lineRule="auto"/>
        <w:textAlignment w:val="auto"/>
      </w:pPr>
      <w:bookmarkStart w:id="407" w:name="_Toc10216"/>
      <w:bookmarkStart w:id="408" w:name="_Toc504"/>
      <w:r>
        <w:rPr>
          <w:rFonts w:hint="eastAsia"/>
        </w:rPr>
        <w:t>10.4.2老年人智能设备接受度研究</w:t>
      </w:r>
      <w:bookmarkEnd w:id="407"/>
      <w:bookmarkEnd w:id="408"/>
    </w:p>
    <w:p w14:paraId="4DDA461D">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—兰州市老年人健康监护可穿戴设备认知与使用意向调查.中国公共卫生.2018.（n=1235，60岁以上；使用意向37.89%，希望具备跌倒报警功能者60.00%）</w:t>
      </w:r>
    </w:p>
    <w:p w14:paraId="72C1BC1F">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—中国老年人移动健康设备使用意愿及影响因素研究.JMIR.2025.（基于2022年全国148个城市数据，n=4085；使用意愿平均63.70分，满分100分）</w:t>
      </w:r>
    </w:p>
    <w:p w14:paraId="5D89DE8F">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需要说明，上述两项研究的时间、地区与测量方法不同，不能拼接为接受度上升的时间序列，正文中已作相应说明。</w:t>
      </w:r>
    </w:p>
    <w:p w14:paraId="61E6A554">
      <w:pPr>
        <w:pStyle w:val="4"/>
        <w:keepNext w:val="0"/>
        <w:keepLines w:val="0"/>
        <w:kinsoku/>
        <w:wordWrap/>
        <w:overflowPunct/>
        <w:topLinePunct w:val="0"/>
        <w:autoSpaceDE/>
        <w:autoSpaceDN/>
        <w:bidi w:val="0"/>
        <w:adjustRightInd/>
        <w:snapToGrid/>
        <w:spacing w:line="300" w:lineRule="auto"/>
        <w:textAlignment w:val="auto"/>
      </w:pPr>
      <w:bookmarkStart w:id="409" w:name="_Toc946"/>
      <w:bookmarkStart w:id="410" w:name="_Toc25855"/>
      <w:r>
        <w:rPr>
          <w:rFonts w:hint="eastAsia"/>
        </w:rPr>
        <w:t>10.4.3政策文件</w:t>
      </w:r>
      <w:bookmarkEnd w:id="409"/>
      <w:bookmarkEnd w:id="410"/>
    </w:p>
    <w:p w14:paraId="2D9F6D70">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—国务院.“十四五”国家老龄事业发展和养老服务体系规划.国发〔2021〕35号.2021年12月30日.</w:t>
      </w:r>
    </w:p>
    <w:p w14:paraId="58AC9E2D">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—国务院办公厅.关于发展银发经济增进老年人福祉的意见.国办发〔2024〕1号.</w:t>
      </w:r>
    </w:p>
    <w:p w14:paraId="5E02BFCB">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—工业和信息化部、民政部、国家卫生健康委.智慧健康养老产业发展行动计划（2021—2025年）.工信部联电子〔2021〕154号.2021年10月20日.</w:t>
      </w:r>
    </w:p>
    <w:p w14:paraId="2520CCBF">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—工业和信息化部、民政部、国家卫生健康委.关于公布《智慧健康养老产品及服务推广目录（2024年版）》的通告.工信部联电子函〔2025〕129号.2025年6月5日.</w:t>
      </w:r>
    </w:p>
    <w:p w14:paraId="496E9353">
      <w:pPr>
        <w:keepNext w:val="0"/>
        <w:keepLines w:val="0"/>
        <w:pageBreakBefore w:val="0"/>
        <w:kinsoku/>
        <w:wordWrap/>
        <w:overflowPunct/>
        <w:topLinePunct w:val="0"/>
        <w:autoSpaceDE/>
        <w:autoSpaceDN/>
        <w:bidi w:val="0"/>
        <w:adjustRightInd/>
        <w:snapToGrid/>
        <w:spacing w:before="40" w:after="100" w:line="300" w:lineRule="auto"/>
        <w:ind w:left="480" w:hanging="24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北京市海淀区人民政府.海淀区民政局2025年区政府工作报告重点任务落实情况.（全区社区养老服务驿站160家、区域养老服务中心20家、养老机构68家、备案床位10513张、养老助餐点293家；累计开展巡视探访22.97万人次，覆盖老年人20952人）</w:t>
      </w:r>
    </w:p>
    <w:p w14:paraId="374B53EE">
      <w:pPr>
        <w:pStyle w:val="4"/>
        <w:keepNext w:val="0"/>
        <w:keepLines w:val="0"/>
        <w:kinsoku/>
        <w:wordWrap/>
        <w:overflowPunct/>
        <w:topLinePunct w:val="0"/>
        <w:autoSpaceDE/>
        <w:autoSpaceDN/>
        <w:bidi w:val="0"/>
        <w:adjustRightInd/>
        <w:snapToGrid/>
        <w:spacing w:line="300" w:lineRule="auto"/>
        <w:textAlignment w:val="auto"/>
      </w:pPr>
      <w:bookmarkStart w:id="411" w:name="_Toc6678"/>
      <w:bookmarkStart w:id="412" w:name="_Toc7526"/>
      <w:r>
        <w:rPr>
          <w:rFonts w:hint="eastAsia"/>
        </w:rPr>
        <w:t>10.4.4算法开发所用公开数据集</w:t>
      </w:r>
      <w:bookmarkEnd w:id="411"/>
      <w:bookmarkEnd w:id="412"/>
    </w:p>
    <w:p w14:paraId="2AA44E04">
      <w:pPr>
        <w:keepNext w:val="0"/>
        <w:keepLines w:val="0"/>
        <w:pageBreakBefore w:val="0"/>
        <w:kinsoku/>
        <w:wordWrap/>
        <w:overflowPunct/>
        <w:topLinePunct w:val="0"/>
        <w:autoSpaceDE/>
        <w:autoSpaceDN/>
        <w:bidi w:val="0"/>
        <w:adjustRightInd/>
        <w:snapToGrid/>
        <w:spacing w:before="60" w:after="120" w:line="300" w:lineRule="auto"/>
        <w:ind w:firstLine="480"/>
        <w:jc w:val="both"/>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以下数据集用于模型架构选型与基线验证，均已完成许可证审查，使用时按各自要求署名。</w:t>
      </w:r>
    </w:p>
    <w:p w14:paraId="2661851F">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10</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公开数据集及许可证审查结论</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56"/>
        <w:gridCol w:w="1680"/>
        <w:gridCol w:w="1590"/>
        <w:gridCol w:w="2374"/>
      </w:tblGrid>
      <w:tr w14:paraId="11620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95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465E7F0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数据集</w:t>
            </w:r>
          </w:p>
        </w:tc>
        <w:tc>
          <w:tcPr>
            <w:tcW w:w="168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12650AD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受试规模</w:t>
            </w:r>
          </w:p>
        </w:tc>
        <w:tc>
          <w:tcPr>
            <w:tcW w:w="1590"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2611A16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许可证</w:t>
            </w:r>
          </w:p>
        </w:tc>
        <w:tc>
          <w:tcPr>
            <w:tcW w:w="237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AB8A0FA">
            <w:pPr>
              <w:keepNext/>
              <w:keepLines w:val="0"/>
              <w:pageBreakBefore w:val="0"/>
              <w:kinsoku/>
              <w:wordWrap/>
              <w:overflowPunct/>
              <w:topLinePunct w:val="0"/>
              <w:autoSpaceDE/>
              <w:autoSpaceDN/>
              <w:bidi w:val="0"/>
              <w:adjustRightInd/>
              <w:snapToGrid/>
              <w:spacing w:before="20" w:after="20" w:line="300" w:lineRule="auto"/>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使用范围</w:t>
            </w:r>
          </w:p>
        </w:tc>
      </w:tr>
      <w:tr w14:paraId="5EC2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5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866ED4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Dataset for gait analysis and assessment of fall risk for older adults（Mendeley Data）</w:t>
            </w:r>
          </w:p>
        </w:tc>
        <w:tc>
          <w:tcPr>
            <w:tcW w:w="16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1159F3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44名老人</w:t>
            </w:r>
          </w:p>
        </w:tc>
        <w:tc>
          <w:tcPr>
            <w:tcW w:w="159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551C6F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CC BY 4.0</w:t>
            </w:r>
          </w:p>
        </w:tc>
        <w:tc>
          <w:tcPr>
            <w:tcW w:w="23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8F8F99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纳入正式训练集</w:t>
            </w:r>
          </w:p>
        </w:tc>
      </w:tr>
      <w:tr w14:paraId="2DA3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5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F417A6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GSTRIDE Database</w:t>
            </w:r>
          </w:p>
        </w:tc>
        <w:tc>
          <w:tcPr>
            <w:tcW w:w="16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811C50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163名老人</w:t>
            </w:r>
          </w:p>
        </w:tc>
        <w:tc>
          <w:tcPr>
            <w:tcW w:w="159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99521B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CC开源许可</w:t>
            </w:r>
          </w:p>
        </w:tc>
        <w:tc>
          <w:tcPr>
            <w:tcW w:w="237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1A48D8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纳入正式训练集</w:t>
            </w:r>
          </w:p>
        </w:tc>
      </w:tr>
      <w:tr w14:paraId="7BC53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5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4436E8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NONAN GaitPrint</w:t>
            </w:r>
          </w:p>
        </w:tc>
        <w:tc>
          <w:tcPr>
            <w:tcW w:w="16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81AE5A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41名健康老人</w:t>
            </w:r>
          </w:p>
        </w:tc>
        <w:tc>
          <w:tcPr>
            <w:tcW w:w="159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052E09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CC开源许可</w:t>
            </w:r>
          </w:p>
        </w:tc>
        <w:tc>
          <w:tcPr>
            <w:tcW w:w="23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BFE376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纳入正式训练集</w:t>
            </w:r>
          </w:p>
        </w:tc>
      </w:tr>
      <w:tr w14:paraId="7D7F3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5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D0E921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100 Normative Gait Profiles with 5-year fall tracking（DR-NTU）</w:t>
            </w:r>
          </w:p>
        </w:tc>
        <w:tc>
          <w:tcPr>
            <w:tcW w:w="16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30489E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100名亚洲老人</w:t>
            </w:r>
          </w:p>
        </w:tc>
        <w:tc>
          <w:tcPr>
            <w:tcW w:w="159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8D729C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CC BY 4.0</w:t>
            </w:r>
          </w:p>
        </w:tc>
        <w:tc>
          <w:tcPr>
            <w:tcW w:w="237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DCD01B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纳入正式训练集</w:t>
            </w:r>
          </w:p>
        </w:tc>
      </w:tr>
      <w:tr w14:paraId="2904C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5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523783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LTGAD（Leg Tracking and Gait Analysis Database）</w:t>
            </w:r>
          </w:p>
        </w:tc>
        <w:tc>
          <w:tcPr>
            <w:tcW w:w="16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4AABD0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约33000帧</w:t>
            </w:r>
          </w:p>
        </w:tc>
        <w:tc>
          <w:tcPr>
            <w:tcW w:w="159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BA957C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公开下载</w:t>
            </w:r>
          </w:p>
        </w:tc>
        <w:tc>
          <w:tcPr>
            <w:tcW w:w="23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D2F255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纳入正式训练集</w:t>
            </w:r>
          </w:p>
        </w:tc>
      </w:tr>
      <w:tr w14:paraId="1007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5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2A6755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K2MUSE</w:t>
            </w:r>
          </w:p>
        </w:tc>
        <w:tc>
          <w:tcPr>
            <w:tcW w:w="168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764E64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42人</w:t>
            </w:r>
          </w:p>
        </w:tc>
        <w:tc>
          <w:tcPr>
            <w:tcW w:w="1590"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E175CB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CC BY-NC 4.0</w:t>
            </w:r>
          </w:p>
        </w:tc>
        <w:tc>
          <w:tcPr>
            <w:tcW w:w="237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6EBC4B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不纳入商业模型训练，仅学术对照引用</w:t>
            </w:r>
          </w:p>
        </w:tc>
      </w:tr>
      <w:tr w14:paraId="1CD5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5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98F770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PhysioNet Gait in Aging and Disease Database</w:t>
            </w:r>
          </w:p>
        </w:tc>
        <w:tc>
          <w:tcPr>
            <w:tcW w:w="168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33FFA4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15人</w:t>
            </w:r>
          </w:p>
        </w:tc>
        <w:tc>
          <w:tcPr>
            <w:tcW w:w="1590"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07E513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Open Data Commons v1.0</w:t>
            </w:r>
          </w:p>
        </w:tc>
        <w:tc>
          <w:tcPr>
            <w:tcW w:w="237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3C681E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不纳入正式训练集，仅早期方法探索</w:t>
            </w:r>
          </w:p>
        </w:tc>
      </w:tr>
    </w:tbl>
    <w:p w14:paraId="5970C79A">
      <w:pPr>
        <w:pStyle w:val="3"/>
        <w:bidi w:val="0"/>
      </w:pPr>
      <w:bookmarkStart w:id="413" w:name="_Toc17620"/>
      <w:bookmarkStart w:id="414" w:name="_Toc24366"/>
      <w:r>
        <w:rPr>
          <w:rFonts w:hint="eastAsia"/>
        </w:rPr>
        <w:t>10.5附录四：图表索引</w:t>
      </w:r>
      <w:bookmarkEnd w:id="413"/>
      <w:bookmarkEnd w:id="414"/>
    </w:p>
    <w:p w14:paraId="3235B418">
      <w:pPr>
        <w:pStyle w:val="4"/>
        <w:keepNext w:val="0"/>
        <w:keepLines w:val="0"/>
        <w:kinsoku/>
        <w:wordWrap/>
        <w:overflowPunct/>
        <w:topLinePunct w:val="0"/>
        <w:autoSpaceDE/>
        <w:autoSpaceDN/>
        <w:bidi w:val="0"/>
        <w:adjustRightInd/>
        <w:snapToGrid/>
        <w:spacing w:line="300" w:lineRule="auto"/>
        <w:textAlignment w:val="auto"/>
      </w:pPr>
      <w:bookmarkStart w:id="415" w:name="_Toc9856"/>
      <w:bookmarkStart w:id="416" w:name="_Toc15712"/>
      <w:r>
        <w:rPr>
          <w:rFonts w:hint="eastAsia"/>
        </w:rPr>
        <w:t>10.5.1图索引</w:t>
      </w:r>
      <w:bookmarkEnd w:id="415"/>
      <w:bookmarkEnd w:id="416"/>
    </w:p>
    <w:p w14:paraId="7510B99F">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10</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全文图索引</w:t>
      </w:r>
    </w:p>
    <w:tbl>
      <w:tblPr>
        <w:tblStyle w:val="15"/>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6"/>
        <w:gridCol w:w="5418"/>
        <w:gridCol w:w="2236"/>
      </w:tblGrid>
      <w:tr w14:paraId="03634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4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64BEE9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编号</w:t>
            </w:r>
          </w:p>
        </w:tc>
        <w:tc>
          <w:tcPr>
            <w:tcW w:w="5418"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5B71AD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图名</w:t>
            </w:r>
          </w:p>
        </w:tc>
        <w:tc>
          <w:tcPr>
            <w:tcW w:w="2236"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0C04B7D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所在章节</w:t>
            </w:r>
          </w:p>
        </w:tc>
      </w:tr>
      <w:tr w14:paraId="0154D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4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9421C0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图1-1</w:t>
            </w:r>
          </w:p>
        </w:tc>
        <w:tc>
          <w:tcPr>
            <w:tcW w:w="54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D5F5FF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安行护腰项目三层结构</w:t>
            </w:r>
          </w:p>
        </w:tc>
        <w:tc>
          <w:tcPr>
            <w:tcW w:w="223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676AEF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第一章1.3</w:t>
            </w:r>
          </w:p>
        </w:tc>
      </w:tr>
      <w:tr w14:paraId="6D20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4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5E441B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图2-1</w:t>
            </w:r>
          </w:p>
        </w:tc>
        <w:tc>
          <w:tcPr>
            <w:tcW w:w="54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CB277C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四项政策文件影印件</w:t>
            </w:r>
          </w:p>
        </w:tc>
        <w:tc>
          <w:tcPr>
            <w:tcW w:w="223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1DFE2C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第二章2.1.1</w:t>
            </w:r>
          </w:p>
        </w:tc>
      </w:tr>
      <w:tr w14:paraId="05513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4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060B73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图2-2</w:t>
            </w:r>
          </w:p>
        </w:tc>
        <w:tc>
          <w:tcPr>
            <w:tcW w:w="54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E960FC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中国老年人跌倒危害与老龄化趋势</w:t>
            </w:r>
          </w:p>
        </w:tc>
        <w:tc>
          <w:tcPr>
            <w:tcW w:w="223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B6D537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第二章2.1.3</w:t>
            </w:r>
          </w:p>
        </w:tc>
      </w:tr>
      <w:tr w14:paraId="3CF32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4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E3CA7F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图2-3</w:t>
            </w:r>
          </w:p>
        </w:tc>
        <w:tc>
          <w:tcPr>
            <w:tcW w:w="54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568498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老年用户需求转化漏斗</w:t>
            </w:r>
          </w:p>
        </w:tc>
        <w:tc>
          <w:tcPr>
            <w:tcW w:w="223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70849D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第二章2.2.2</w:t>
            </w:r>
          </w:p>
        </w:tc>
      </w:tr>
      <w:tr w14:paraId="4661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4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20310E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图2-4</w:t>
            </w:r>
          </w:p>
        </w:tc>
        <w:tc>
          <w:tcPr>
            <w:tcW w:w="54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9944A3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2026年暑期社区调研与健康宣讲现场</w:t>
            </w:r>
          </w:p>
        </w:tc>
        <w:tc>
          <w:tcPr>
            <w:tcW w:w="223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BCA055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第二章2.2.2</w:t>
            </w:r>
          </w:p>
        </w:tc>
      </w:tr>
      <w:tr w14:paraId="6B342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4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975E11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图3-1</w:t>
            </w:r>
          </w:p>
        </w:tc>
        <w:tc>
          <w:tcPr>
            <w:tcW w:w="54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CB9AA1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安护腰产品形态（展开图、穿戴正面图、气囊展开状态图、内部剖面图）</w:t>
            </w:r>
          </w:p>
        </w:tc>
        <w:tc>
          <w:tcPr>
            <w:tcW w:w="223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EAFA32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第三章3.1</w:t>
            </w:r>
          </w:p>
        </w:tc>
      </w:tr>
      <w:tr w14:paraId="1F177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4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24AF7C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图3-2</w:t>
            </w:r>
          </w:p>
        </w:tc>
        <w:tc>
          <w:tcPr>
            <w:tcW w:w="54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04610B4">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网页端社区管理平台界面</w:t>
            </w:r>
          </w:p>
        </w:tc>
        <w:tc>
          <w:tcPr>
            <w:tcW w:w="223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5B5FEF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第三章3.3.2</w:t>
            </w:r>
          </w:p>
        </w:tc>
      </w:tr>
      <w:tr w14:paraId="6A96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4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0A3AF1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图3-3</w:t>
            </w:r>
          </w:p>
        </w:tc>
        <w:tc>
          <w:tcPr>
            <w:tcW w:w="54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AEB0BC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安行护腰系统四层技术架构图</w:t>
            </w:r>
          </w:p>
        </w:tc>
        <w:tc>
          <w:tcPr>
            <w:tcW w:w="223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79D3CE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w:t>
            </w:r>
            <w:r>
              <w:rPr>
                <w:rFonts w:hint="eastAsia" w:ascii="宋体" w:hAnsi="宋体" w:cs="宋体"/>
                <w:color w:val="000000" w:themeColor="text1"/>
                <w:sz w:val="21"/>
                <w:szCs w:val="21"/>
                <w:lang w:val="en-US" w:eastAsia="zh-CN"/>
                <w14:textFill>
                  <w14:solidFill>
                    <w14:schemeClr w14:val="tx1"/>
                  </w14:solidFill>
                </w14:textFill>
              </w:rPr>
              <w:t>三</w:t>
            </w:r>
            <w:r>
              <w:rPr>
                <w:rFonts w:hint="eastAsia" w:ascii="宋体" w:hAnsi="宋体" w:eastAsia="宋体" w:cs="宋体"/>
                <w:color w:val="000000" w:themeColor="text1"/>
                <w:sz w:val="21"/>
                <w:szCs w:val="21"/>
                <w14:textFill>
                  <w14:solidFill>
                    <w14:schemeClr w14:val="tx1"/>
                  </w14:solidFill>
                </w14:textFill>
              </w:rPr>
              <w:t>章3.4</w:t>
            </w:r>
          </w:p>
        </w:tc>
      </w:tr>
      <w:tr w14:paraId="120C0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4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729338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图3-4</w:t>
            </w:r>
          </w:p>
        </w:tc>
        <w:tc>
          <w:tcPr>
            <w:tcW w:w="54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64F50D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老年步态数据采集与实验室测试现场</w:t>
            </w:r>
          </w:p>
        </w:tc>
        <w:tc>
          <w:tcPr>
            <w:tcW w:w="223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C806A1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第三章3.6.4</w:t>
            </w:r>
          </w:p>
        </w:tc>
      </w:tr>
      <w:tr w14:paraId="34B03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4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874F9A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图3-5</w:t>
            </w:r>
          </w:p>
        </w:tc>
        <w:tc>
          <w:tcPr>
            <w:tcW w:w="54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1E2450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技术资产与应用场景延展关系图</w:t>
            </w:r>
          </w:p>
        </w:tc>
        <w:tc>
          <w:tcPr>
            <w:tcW w:w="223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985089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第三章3.7.4</w:t>
            </w:r>
          </w:p>
        </w:tc>
      </w:tr>
      <w:tr w14:paraId="0EFD5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4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BD6CF2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图4-1</w:t>
            </w:r>
          </w:p>
        </w:tc>
        <w:tc>
          <w:tcPr>
            <w:tcW w:w="54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CA08F1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社区防跌安全服务闭环</w:t>
            </w:r>
          </w:p>
        </w:tc>
        <w:tc>
          <w:tcPr>
            <w:tcW w:w="223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72FCA2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第四章4.2.1</w:t>
            </w:r>
          </w:p>
        </w:tc>
      </w:tr>
      <w:tr w14:paraId="4FE7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4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6CEB5D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图4-2</w:t>
            </w:r>
          </w:p>
        </w:tc>
        <w:tc>
          <w:tcPr>
            <w:tcW w:w="54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29D855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社区跌倒热力图示意</w:t>
            </w:r>
          </w:p>
        </w:tc>
        <w:tc>
          <w:tcPr>
            <w:tcW w:w="223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66C1C28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第四章4.3.1</w:t>
            </w:r>
          </w:p>
        </w:tc>
      </w:tr>
      <w:tr w14:paraId="21AF5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4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05D639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图5-1</w:t>
            </w:r>
          </w:p>
        </w:tc>
        <w:tc>
          <w:tcPr>
            <w:tcW w:w="54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BF308D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竞品对比四象限图</w:t>
            </w:r>
          </w:p>
        </w:tc>
        <w:tc>
          <w:tcPr>
            <w:tcW w:w="223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2DC411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第五章5.2.1</w:t>
            </w:r>
          </w:p>
        </w:tc>
      </w:tr>
      <w:tr w14:paraId="63D1B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4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8F8192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图6-1</w:t>
            </w:r>
          </w:p>
        </w:tc>
        <w:tc>
          <w:tcPr>
            <w:tcW w:w="54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6609C0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安行护腰团队组织结构图</w:t>
            </w:r>
          </w:p>
        </w:tc>
        <w:tc>
          <w:tcPr>
            <w:tcW w:w="223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53AC6B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第六章6.3</w:t>
            </w:r>
          </w:p>
        </w:tc>
      </w:tr>
      <w:tr w14:paraId="2EBFC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4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9A3656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图6-2</w:t>
            </w:r>
          </w:p>
        </w:tc>
        <w:tc>
          <w:tcPr>
            <w:tcW w:w="54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4ED6C60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团队合影与日常工作场景</w:t>
            </w:r>
          </w:p>
        </w:tc>
        <w:tc>
          <w:tcPr>
            <w:tcW w:w="223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76DEC7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第六章6.6</w:t>
            </w:r>
          </w:p>
        </w:tc>
      </w:tr>
      <w:tr w14:paraId="5B4F0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4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7E6DA2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图7-1</w:t>
            </w:r>
          </w:p>
        </w:tc>
        <w:tc>
          <w:tcPr>
            <w:tcW w:w="54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7FBFA9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安行护腰三年发展路线图</w:t>
            </w:r>
          </w:p>
        </w:tc>
        <w:tc>
          <w:tcPr>
            <w:tcW w:w="223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617783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第七章7.1.1</w:t>
            </w:r>
          </w:p>
        </w:tc>
      </w:tr>
      <w:tr w14:paraId="5AAFA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4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78637B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图9-1</w:t>
            </w:r>
          </w:p>
        </w:tc>
        <w:tc>
          <w:tcPr>
            <w:tcW w:w="54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8CAF20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学校创客孵化空间创业辅导现场</w:t>
            </w:r>
          </w:p>
        </w:tc>
        <w:tc>
          <w:tcPr>
            <w:tcW w:w="223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027282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第九章9.5.2</w:t>
            </w:r>
          </w:p>
        </w:tc>
      </w:tr>
      <w:tr w14:paraId="0C62E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4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ADA8D1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图9-2</w:t>
            </w:r>
          </w:p>
        </w:tc>
        <w:tc>
          <w:tcPr>
            <w:tcW w:w="5418"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80F510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暑期社会实践中为社区老人开展一对一防跌安全评估</w:t>
            </w:r>
          </w:p>
        </w:tc>
        <w:tc>
          <w:tcPr>
            <w:tcW w:w="2236"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E369FC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第九章9.5.4</w:t>
            </w:r>
          </w:p>
        </w:tc>
      </w:tr>
      <w:tr w14:paraId="2B1AB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4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A56C9F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图9-3</w:t>
            </w:r>
          </w:p>
        </w:tc>
        <w:tc>
          <w:tcPr>
            <w:tcW w:w="5418"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5EEC644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第五届北京大学生创新创业大赛民生服务赛道一等奖证书</w:t>
            </w:r>
          </w:p>
        </w:tc>
        <w:tc>
          <w:tcPr>
            <w:tcW w:w="2236"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8D717A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第九章9.5.5</w:t>
            </w:r>
          </w:p>
        </w:tc>
      </w:tr>
    </w:tbl>
    <w:p w14:paraId="401D0C78">
      <w:pPr>
        <w:pStyle w:val="4"/>
        <w:keepNext w:val="0"/>
        <w:keepLines w:val="0"/>
        <w:kinsoku/>
        <w:wordWrap/>
        <w:overflowPunct/>
        <w:topLinePunct w:val="0"/>
        <w:autoSpaceDE/>
        <w:autoSpaceDN/>
        <w:bidi w:val="0"/>
        <w:adjustRightInd/>
        <w:snapToGrid/>
        <w:spacing w:line="300" w:lineRule="auto"/>
        <w:textAlignment w:val="auto"/>
      </w:pPr>
      <w:bookmarkStart w:id="417" w:name="_Toc25061"/>
      <w:bookmarkStart w:id="418" w:name="_Toc432"/>
      <w:r>
        <w:rPr>
          <w:rFonts w:hint="eastAsia"/>
        </w:rPr>
        <w:t>10.5.2表索引</w:t>
      </w:r>
      <w:bookmarkEnd w:id="417"/>
      <w:bookmarkEnd w:id="418"/>
    </w:p>
    <w:p w14:paraId="0AD9D6E2">
      <w:pPr>
        <w:keepNext/>
        <w:keepLines w:val="0"/>
        <w:pageBreakBefore w:val="0"/>
        <w:widowControl w:val="0"/>
        <w:kinsoku/>
        <w:wordWrap/>
        <w:overflowPunct/>
        <w:topLinePunct w:val="0"/>
        <w:autoSpaceDE/>
        <w:autoSpaceDN/>
        <w:bidi w:val="0"/>
        <w:adjustRightInd/>
        <w:snapToGrid/>
        <w:spacing w:before="60" w:after="200" w:line="300" w:lineRule="auto"/>
        <w:jc w:val="center"/>
        <w:textAlignment w:val="auto"/>
        <w:rPr>
          <w:rFonts w:hint="eastAsia" w:ascii="黑体" w:hAnsi="黑体" w:eastAsia="黑体" w:cs="黑体"/>
          <w:sz w:val="24"/>
          <w:szCs w:val="24"/>
          <w:lang w:eastAsia="zh-CN"/>
        </w:rPr>
      </w:pPr>
      <w:r>
        <w:rPr>
          <w:rFonts w:hint="eastAsia" w:ascii="黑体" w:hAnsi="黑体" w:eastAsia="黑体" w:cs="黑体"/>
          <w:sz w:val="24"/>
          <w:szCs w:val="24"/>
        </w:rPr>
        <w:t xml:space="preserve">表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STYLEREF 1 \s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10</w:t>
      </w:r>
      <w:r>
        <w:rPr>
          <w:rFonts w:hint="eastAsia" w:ascii="黑体" w:hAnsi="黑体" w:eastAsia="黑体" w:cs="黑体"/>
          <w:sz w:val="24"/>
          <w:szCs w:val="24"/>
        </w:rPr>
        <w:fldChar w:fldCharType="end"/>
      </w:r>
      <w:r>
        <w:rPr>
          <w:rFonts w:hint="eastAsia" w:ascii="黑体" w:hAnsi="黑体" w:eastAsia="黑体" w:cs="黑体"/>
          <w:sz w:val="24"/>
          <w:szCs w:val="24"/>
          <w:lang w:eastAsia="zh-CN"/>
        </w:rPr>
        <w:t>-</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表 \* ARABIC \s 1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color w:val="000000" w:themeColor="text1"/>
          <w:sz w:val="24"/>
          <w:szCs w:val="24"/>
          <w14:textFill>
            <w14:solidFill>
              <w14:schemeClr w14:val="tx1"/>
            </w14:solidFill>
          </w14:textFill>
        </w:rPr>
        <w:t>全文表索引</w:t>
      </w:r>
    </w:p>
    <w:tbl>
      <w:tblPr>
        <w:tblStyle w:val="15"/>
        <w:tblW w:w="88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2"/>
        <w:gridCol w:w="1784"/>
        <w:gridCol w:w="5983"/>
      </w:tblGrid>
      <w:tr w14:paraId="750A5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4" w:hRule="atLeast"/>
          <w:tblHeader/>
          <w:jc w:val="center"/>
        </w:trPr>
        <w:tc>
          <w:tcPr>
            <w:tcW w:w="1052"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5FACAF0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章节</w:t>
            </w:r>
          </w:p>
        </w:tc>
        <w:tc>
          <w:tcPr>
            <w:tcW w:w="1784"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3D83575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both"/>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表编号范围</w:t>
            </w:r>
          </w:p>
        </w:tc>
        <w:tc>
          <w:tcPr>
            <w:tcW w:w="5983" w:type="dxa"/>
            <w:tcBorders>
              <w:top w:val="single" w:color="9BB7D4" w:sz="4" w:space="0"/>
              <w:left w:val="single" w:color="9BB7D4" w:sz="4" w:space="0"/>
              <w:bottom w:val="single" w:color="9BB7D4" w:sz="4" w:space="0"/>
              <w:right w:val="single" w:color="9BB7D4" w:sz="4" w:space="0"/>
            </w:tcBorders>
            <w:shd w:val="clear" w:color="auto" w:fill="E3ECF4"/>
            <w:tcMar>
              <w:top w:w="70" w:type="dxa"/>
              <w:left w:w="100" w:type="dxa"/>
              <w:bottom w:w="70" w:type="dxa"/>
              <w:right w:w="100" w:type="dxa"/>
            </w:tcMar>
          </w:tcPr>
          <w:p w14:paraId="75F7877B">
            <w:pPr>
              <w:keepNext/>
              <w:keepLines w:val="0"/>
              <w:pageBreakBefore w:val="0"/>
              <w:kinsoku/>
              <w:wordWrap/>
              <w:overflowPunct/>
              <w:topLinePunct w:val="0"/>
              <w:autoSpaceDE/>
              <w:autoSpaceDN/>
              <w:bidi w:val="0"/>
              <w:adjustRightInd/>
              <w:snapToGrid/>
              <w:spacing w:before="20" w:after="20" w:line="300" w:lineRule="auto"/>
              <w:jc w:val="center"/>
              <w:textAlignment w:val="auto"/>
              <w:rPr>
                <w:color w:val="000000" w:themeColor="text1"/>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主要内容</w:t>
            </w:r>
          </w:p>
        </w:tc>
      </w:tr>
      <w:tr w14:paraId="39773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4" w:hRule="atLeast"/>
          <w:jc w:val="center"/>
        </w:trPr>
        <w:tc>
          <w:tcPr>
            <w:tcW w:w="10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51EAB2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第一章</w:t>
            </w:r>
          </w:p>
        </w:tc>
        <w:tc>
          <w:tcPr>
            <w:tcW w:w="1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42A6EA7">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表1-1至1-2</w:t>
            </w:r>
          </w:p>
        </w:tc>
        <w:tc>
          <w:tcPr>
            <w:tcW w:w="5983"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CCECD5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项目当前完成度、三年关键指标</w:t>
            </w:r>
          </w:p>
        </w:tc>
      </w:tr>
      <w:tr w14:paraId="5D26B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77" w:hRule="atLeast"/>
          <w:jc w:val="center"/>
        </w:trPr>
        <w:tc>
          <w:tcPr>
            <w:tcW w:w="105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AB8BC6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第二章</w:t>
            </w:r>
          </w:p>
        </w:tc>
        <w:tc>
          <w:tcPr>
            <w:tcW w:w="178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CD7FAC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表2-1至2-6</w:t>
            </w:r>
          </w:p>
        </w:tc>
        <w:tc>
          <w:tcPr>
            <w:tcW w:w="5983"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A49076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政策依据、调研问卷结构、目标用户画像、三层市场规模测算、现有方案缺陷、本章数据来源</w:t>
            </w:r>
          </w:p>
        </w:tc>
      </w:tr>
      <w:tr w14:paraId="31914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65" w:hRule="atLeast"/>
          <w:jc w:val="center"/>
        </w:trPr>
        <w:tc>
          <w:tcPr>
            <w:tcW w:w="10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31DC63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第三章</w:t>
            </w:r>
          </w:p>
        </w:tc>
        <w:tc>
          <w:tcPr>
            <w:tcW w:w="1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A69D95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表3-1至3-11</w:t>
            </w:r>
          </w:p>
        </w:tc>
        <w:tc>
          <w:tcPr>
            <w:tcW w:w="5983"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05CDAC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跌倒伤害类型分布、防护范围分代规划、网页端平台功能、四层技术架构、关键技术难点、公开数据集及用途与许可证审查、自有数据采集进展、三组验证实验设计、项目完成度、知识产权与学术产出状态</w:t>
            </w:r>
          </w:p>
        </w:tc>
      </w:tr>
      <w:tr w14:paraId="549B3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65" w:hRule="atLeast"/>
          <w:jc w:val="center"/>
        </w:trPr>
        <w:tc>
          <w:tcPr>
            <w:tcW w:w="105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8A26B0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第四章</w:t>
            </w:r>
          </w:p>
        </w:tc>
        <w:tc>
          <w:tcPr>
            <w:tcW w:w="178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A47524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表4-1至4-11</w:t>
            </w:r>
          </w:p>
        </w:tc>
        <w:tc>
          <w:tcPr>
            <w:tcW w:w="5983"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794055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双边客户结构、服务闭环七环节、落地实施节奏、收入结构、单台物料成本三档测算、三档成本口径适用范围、降本路径、分场景定价、单社区经济模型、海淀区底数、三步推进路径</w:t>
            </w:r>
          </w:p>
        </w:tc>
      </w:tr>
      <w:tr w14:paraId="6700A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22" w:hRule="atLeast"/>
          <w:jc w:val="center"/>
        </w:trPr>
        <w:tc>
          <w:tcPr>
            <w:tcW w:w="10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A95FE4A">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第五章</w:t>
            </w:r>
          </w:p>
        </w:tc>
        <w:tc>
          <w:tcPr>
            <w:tcW w:w="1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4737850">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表5-1至5-12</w:t>
            </w:r>
          </w:p>
        </w:tc>
        <w:tc>
          <w:tcPr>
            <w:tcW w:w="5983"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9590F8E">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优势、劣势与应对、威胁与防线、解决方案类别对比、与国内已上市产品对比、波特五力、六步转化链路、两套价值主张、受限表述、渠道体系、分场景定价、转化阻力与对策</w:t>
            </w:r>
          </w:p>
        </w:tc>
      </w:tr>
      <w:tr w14:paraId="1C073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77" w:hRule="atLeast"/>
          <w:jc w:val="center"/>
        </w:trPr>
        <w:tc>
          <w:tcPr>
            <w:tcW w:w="105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7628A978">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第六章</w:t>
            </w:r>
          </w:p>
        </w:tc>
        <w:tc>
          <w:tcPr>
            <w:tcW w:w="178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4289AB2C">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表6-1至6-9</w:t>
            </w:r>
          </w:p>
        </w:tc>
        <w:tc>
          <w:tcPr>
            <w:tcW w:w="5983"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FC45521">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团队六个能力方向、成员一览、三组成员贡献、指导教师、协作机制、激励制度、外部合作资源</w:t>
            </w:r>
          </w:p>
        </w:tc>
      </w:tr>
      <w:tr w14:paraId="698D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15" w:hRule="atLeast"/>
          <w:jc w:val="center"/>
        </w:trPr>
        <w:tc>
          <w:tcPr>
            <w:tcW w:w="10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3FB58A3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第七章</w:t>
            </w:r>
          </w:p>
        </w:tc>
        <w:tc>
          <w:tcPr>
            <w:tcW w:w="1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7367EF5B">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表7-1至7-14</w:t>
            </w:r>
          </w:p>
        </w:tc>
        <w:tc>
          <w:tcPr>
            <w:tcW w:w="5983"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1BB13653">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分年度目标、团队扩张、核心假设、单社区经济模型、固定成本、税负测算、三年收入与利润预测、单点位净贡献、盈亏平衡、敏感性分析、资金需求与使用、股权结构、关键假设与验证计划</w:t>
            </w:r>
          </w:p>
        </w:tc>
      </w:tr>
      <w:tr w14:paraId="7380C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4" w:hRule="atLeast"/>
          <w:jc w:val="center"/>
        </w:trPr>
        <w:tc>
          <w:tcPr>
            <w:tcW w:w="105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2DEA8BE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第八章</w:t>
            </w:r>
          </w:p>
        </w:tc>
        <w:tc>
          <w:tcPr>
            <w:tcW w:w="178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0F84F75">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表8-1至8-4</w:t>
            </w:r>
          </w:p>
        </w:tc>
        <w:tc>
          <w:tcPr>
            <w:tcW w:w="5983"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147AB37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风险总览、功能与表述边界、受限用词、主动移除的功能</w:t>
            </w:r>
          </w:p>
        </w:tc>
      </w:tr>
      <w:tr w14:paraId="44BA2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77" w:hRule="atLeast"/>
          <w:jc w:val="center"/>
        </w:trPr>
        <w:tc>
          <w:tcPr>
            <w:tcW w:w="1052"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2FF4110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第九章</w:t>
            </w:r>
          </w:p>
        </w:tc>
        <w:tc>
          <w:tcPr>
            <w:tcW w:w="1784"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0E9994F6">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表9-1至9-5</w:t>
            </w:r>
          </w:p>
        </w:tc>
        <w:tc>
          <w:tcPr>
            <w:tcW w:w="5983" w:type="dxa"/>
            <w:tcBorders>
              <w:top w:val="single" w:color="9BB7D4" w:sz="4" w:space="0"/>
              <w:left w:val="single" w:color="9BB7D4" w:sz="4" w:space="0"/>
              <w:bottom w:val="single" w:color="9BB7D4" w:sz="4" w:space="0"/>
              <w:right w:val="single" w:color="9BB7D4" w:sz="4" w:space="0"/>
            </w:tcBorders>
            <w:shd w:val="clear" w:color="auto" w:fill="FFFFFF"/>
            <w:tcMar>
              <w:top w:w="70" w:type="dxa"/>
              <w:left w:w="100" w:type="dxa"/>
              <w:bottom w:w="70" w:type="dxa"/>
              <w:right w:w="100" w:type="dxa"/>
            </w:tcMar>
          </w:tcPr>
          <w:p w14:paraId="6B4BCEC9">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社区落地作业清单、就业岗位测算、学校培育支持、学科交叉分工、暑期实践完成情况</w:t>
            </w:r>
          </w:p>
        </w:tc>
      </w:tr>
      <w:tr w14:paraId="5D669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88" w:hRule="atLeast"/>
          <w:jc w:val="center"/>
        </w:trPr>
        <w:tc>
          <w:tcPr>
            <w:tcW w:w="1052"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002EA8D2">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第十章</w:t>
            </w:r>
          </w:p>
        </w:tc>
        <w:tc>
          <w:tcPr>
            <w:tcW w:w="1784"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3275654D">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表10-1至10-6</w:t>
            </w:r>
          </w:p>
        </w:tc>
        <w:tc>
          <w:tcPr>
            <w:tcW w:w="5983" w:type="dxa"/>
            <w:tcBorders>
              <w:top w:val="single" w:color="9BB7D4" w:sz="4" w:space="0"/>
              <w:left w:val="single" w:color="9BB7D4" w:sz="4" w:space="0"/>
              <w:bottom w:val="single" w:color="9BB7D4" w:sz="4" w:space="0"/>
              <w:right w:val="single" w:color="9BB7D4" w:sz="4" w:space="0"/>
            </w:tcBorders>
            <w:shd w:val="clear" w:color="auto" w:fill="F4F8FB"/>
            <w:tcMar>
              <w:top w:w="70" w:type="dxa"/>
              <w:left w:w="100" w:type="dxa"/>
              <w:bottom w:w="70" w:type="dxa"/>
              <w:right w:w="100" w:type="dxa"/>
            </w:tcMar>
          </w:tcPr>
          <w:p w14:paraId="555AA31F">
            <w:pPr>
              <w:keepNext/>
              <w:keepLines w:val="0"/>
              <w:pageBreakBefore w:val="0"/>
              <w:kinsoku/>
              <w:wordWrap/>
              <w:overflowPunct/>
              <w:topLinePunct w:val="0"/>
              <w:autoSpaceDE/>
              <w:autoSpaceDN/>
              <w:bidi w:val="0"/>
              <w:adjustRightInd/>
              <w:snapToGrid/>
              <w:spacing w:before="20" w:after="20" w:line="300" w:lineRule="auto"/>
              <w:ind w:left="0" w:leftChars="0" w:firstLine="0" w:firstLineChars="0"/>
              <w:jc w:val="left"/>
              <w:textAlignment w:val="auto"/>
              <w:rPr>
                <w:color w:val="000000" w:themeColor="text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附录清单、调研材料、佐证材料状态、公开数据集、图表索引</w:t>
            </w:r>
          </w:p>
        </w:tc>
      </w:tr>
    </w:tbl>
    <w:p w14:paraId="642005DA"/>
    <w:sectPr>
      <w:footerReference r:id="rId5" w:type="default"/>
      <w:pgSz w:w="11906" w:h="16838"/>
      <w:pgMar w:top="1440" w:right="1080" w:bottom="1440" w:left="108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D741">
    <w:pPr>
      <w:jc w:val="center"/>
    </w:pPr>
    <w:r>
      <w:rPr>
        <w:rFonts w:ascii="宋体" w:hAnsi="宋体" w:eastAsia="宋体" w:cs="宋体"/>
        <w:color w:val="7A8A99"/>
        <w:sz w:val="18"/>
        <w:szCs w:val="18"/>
      </w:rPr>
      <w:fldChar w:fldCharType="begin"/>
    </w:r>
    <w:r>
      <w:rPr>
        <w:rFonts w:ascii="宋体" w:hAnsi="宋体" w:eastAsia="宋体" w:cs="宋体"/>
        <w:color w:val="7A8A99"/>
        <w:sz w:val="18"/>
        <w:szCs w:val="18"/>
      </w:rPr>
      <w:instrText xml:space="preserve">PAGE</w:instrText>
    </w:r>
    <w:r>
      <w:rPr>
        <w:rFonts w:ascii="宋体" w:hAnsi="宋体" w:eastAsia="宋体" w:cs="宋体"/>
        <w:color w:val="7A8A99"/>
        <w:sz w:val="18"/>
        <w:szCs w:val="18"/>
      </w:rPr>
      <w:fldChar w:fldCharType="separate"/>
    </w:r>
    <w:r>
      <w:rPr>
        <w:rFonts w:ascii="宋体" w:hAnsi="宋体" w:eastAsia="宋体" w:cs="宋体"/>
        <w:color w:val="7A8A9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5245C2"/>
    <w:multiLevelType w:val="singleLevel"/>
    <w:tmpl w:val="2D5245C2"/>
    <w:lvl w:ilvl="0" w:tentative="0">
      <w:start w:val="1"/>
      <w:numFmt w:val="decimal"/>
      <w:pStyle w:val="2"/>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05002035"/>
    <w:rsid w:val="1A02323A"/>
    <w:rsid w:val="37C87FD8"/>
    <w:rsid w:val="47E8401E"/>
    <w:rsid w:val="54F33E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1601" w:firstLineChars="200"/>
      <w:jc w:val="both"/>
    </w:pPr>
    <w:rPr>
      <w:rFonts w:ascii="Times New Roman" w:hAnsi="Times New Roman" w:eastAsia="宋体" w:cs="宋体"/>
      <w:color w:val="1A1A1A"/>
      <w:sz w:val="24"/>
      <w:szCs w:val="24"/>
    </w:rPr>
  </w:style>
  <w:style w:type="paragraph" w:styleId="2">
    <w:name w:val="heading 1"/>
    <w:next w:val="1"/>
    <w:qFormat/>
    <w:uiPriority w:val="0"/>
    <w:pPr>
      <w:pageBreakBefore/>
      <w:numPr>
        <w:ilvl w:val="0"/>
        <w:numId w:val="1"/>
      </w:numPr>
      <w:spacing w:line="360" w:lineRule="auto"/>
      <w:outlineLvl w:val="0"/>
    </w:pPr>
    <w:rPr>
      <w:rFonts w:ascii="Times New Roman" w:hAnsi="Times New Roman" w:eastAsia="黑体" w:cs="宋体"/>
      <w:color w:val="000000" w:themeColor="text1"/>
      <w:sz w:val="32"/>
      <w:szCs w:val="32"/>
      <w14:textFill>
        <w14:solidFill>
          <w14:schemeClr w14:val="tx1"/>
        </w14:solidFill>
      </w14:textFill>
    </w:rPr>
  </w:style>
  <w:style w:type="paragraph" w:styleId="3">
    <w:name w:val="heading 2"/>
    <w:next w:val="1"/>
    <w:qFormat/>
    <w:uiPriority w:val="0"/>
    <w:pPr>
      <w:spacing w:line="300" w:lineRule="auto"/>
      <w:outlineLvl w:val="1"/>
    </w:pPr>
    <w:rPr>
      <w:rFonts w:ascii="Times New Roman" w:hAnsi="Times New Roman" w:eastAsia="黑体" w:cs="宋体"/>
      <w:color w:val="000000" w:themeColor="text1"/>
      <w:sz w:val="30"/>
      <w:szCs w:val="30"/>
      <w14:textFill>
        <w14:solidFill>
          <w14:schemeClr w14:val="tx1"/>
        </w14:solidFill>
      </w14:textFill>
    </w:rPr>
  </w:style>
  <w:style w:type="paragraph" w:styleId="4">
    <w:name w:val="heading 3"/>
    <w:next w:val="1"/>
    <w:qFormat/>
    <w:uiPriority w:val="0"/>
    <w:pPr>
      <w:outlineLvl w:val="2"/>
    </w:pPr>
    <w:rPr>
      <w:rFonts w:ascii="Times New Roman" w:hAnsi="Times New Roman" w:eastAsia="仿宋" w:cs="仿宋"/>
      <w:color w:val="000000" w:themeColor="text1"/>
      <w:sz w:val="28"/>
      <w:szCs w:val="28"/>
      <w14:textFill>
        <w14:solidFill>
          <w14:schemeClr w14:val="tx1"/>
        </w14:solidFill>
      </w14:textFill>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toc 3"/>
    <w:basedOn w:val="1"/>
    <w:next w:val="1"/>
    <w:qFormat/>
    <w:uiPriority w:val="0"/>
    <w:pPr>
      <w:ind w:left="840" w:leftChars="400"/>
    </w:pPr>
  </w:style>
  <w:style w:type="paragraph" w:styleId="10">
    <w:name w:val="endnote text"/>
    <w:link w:val="22"/>
    <w:semiHidden/>
    <w:unhideWhenUsed/>
    <w:qFormat/>
    <w:uiPriority w:val="99"/>
    <w:pPr>
      <w:spacing w:after="0" w:line="240" w:lineRule="auto"/>
    </w:pPr>
    <w:rPr>
      <w:rFonts w:ascii="宋体" w:hAnsi="宋体" w:eastAsia="宋体" w:cs="宋体"/>
      <w:color w:val="1A1A1A"/>
      <w:sz w:val="20"/>
      <w:szCs w:val="20"/>
    </w:rPr>
  </w:style>
  <w:style w:type="paragraph" w:styleId="11">
    <w:name w:val="toc 1"/>
    <w:basedOn w:val="1"/>
    <w:next w:val="1"/>
    <w:qFormat/>
    <w:uiPriority w:val="0"/>
  </w:style>
  <w:style w:type="paragraph" w:styleId="12">
    <w:name w:val="footnote text"/>
    <w:link w:val="20"/>
    <w:semiHidden/>
    <w:unhideWhenUsed/>
    <w:qFormat/>
    <w:uiPriority w:val="99"/>
    <w:pPr>
      <w:spacing w:after="0" w:line="240" w:lineRule="auto"/>
    </w:pPr>
    <w:rPr>
      <w:rFonts w:ascii="宋体" w:hAnsi="宋体" w:eastAsia="宋体" w:cs="宋体"/>
      <w:color w:val="1A1A1A"/>
      <w:sz w:val="20"/>
      <w:szCs w:val="20"/>
    </w:rPr>
  </w:style>
  <w:style w:type="paragraph" w:styleId="13">
    <w:name w:val="toc 2"/>
    <w:basedOn w:val="1"/>
    <w:next w:val="1"/>
    <w:qFormat/>
    <w:uiPriority w:val="0"/>
    <w:pPr>
      <w:ind w:left="420" w:leftChars="200"/>
    </w:pPr>
  </w:style>
  <w:style w:type="paragraph" w:styleId="14">
    <w:name w:val="Title"/>
    <w:qFormat/>
    <w:uiPriority w:val="0"/>
    <w:pPr>
      <w:jc w:val="center"/>
    </w:pPr>
    <w:rPr>
      <w:rFonts w:ascii="宋体" w:hAnsi="宋体" w:eastAsia="黑体" w:cs="宋体"/>
      <w:color w:val="1A1A1A"/>
      <w:sz w:val="32"/>
      <w:szCs w:val="56"/>
    </w:r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footnote reference"/>
    <w:semiHidden/>
    <w:unhideWhenUsed/>
    <w:qFormat/>
    <w:uiPriority w:val="99"/>
    <w:rPr>
      <w:vertAlign w:val="superscript"/>
    </w:rPr>
  </w:style>
  <w:style w:type="character" w:customStyle="1" w:styleId="20">
    <w:name w:val="Footnote Text Char"/>
    <w:link w:val="12"/>
    <w:semiHidden/>
    <w:unhideWhenUsed/>
    <w:qFormat/>
    <w:uiPriority w:val="99"/>
    <w:rPr>
      <w:sz w:val="20"/>
      <w:szCs w:val="20"/>
    </w:rPr>
  </w:style>
  <w:style w:type="paragraph" w:styleId="21">
    <w:name w:val="List Paragraph"/>
    <w:qFormat/>
    <w:uiPriority w:val="0"/>
    <w:rPr>
      <w:rFonts w:ascii="宋体" w:hAnsi="宋体" w:eastAsia="宋体" w:cs="宋体"/>
      <w:color w:val="1A1A1A"/>
      <w:sz w:val="24"/>
      <w:szCs w:val="24"/>
    </w:rPr>
  </w:style>
  <w:style w:type="character" w:customStyle="1" w:styleId="22">
    <w:name w:val="Endnote Text Char"/>
    <w:link w:val="10"/>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35.jpeg"/><Relationship Id="rId40" Type="http://schemas.openxmlformats.org/officeDocument/2006/relationships/image" Target="media/image34.jpeg"/><Relationship Id="rId4" Type="http://schemas.openxmlformats.org/officeDocument/2006/relationships/endnotes" Target="endnotes.xml"/><Relationship Id="rId39" Type="http://schemas.openxmlformats.org/officeDocument/2006/relationships/image" Target="media/image33.jpeg"/><Relationship Id="rId38" Type="http://schemas.openxmlformats.org/officeDocument/2006/relationships/image" Target="media/image32.jpeg"/><Relationship Id="rId37" Type="http://schemas.openxmlformats.org/officeDocument/2006/relationships/image" Target="media/image31.jpe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121</Pages>
  <Words>5601</Words>
  <Characters>6717</Characters>
  <TotalTime>38</TotalTime>
  <ScaleCrop>false</ScaleCrop>
  <LinksUpToDate>false</LinksUpToDate>
  <CharactersWithSpaces>6944</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2026-09-20T13:49:00Z</dcterms:created>
  <dc:creator>59949</dc:creator>
  <cp:lastModifiedBy>赵梓嫣</cp:lastModifiedBy>
  <dcterms:modified xsi:type="dcterms:W3CDTF">2026-09-20T08:35:19Z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eyJoZGlkIjoiODMwMTI3NGU4NzExYTIxNmQxMDYyMWIzZmU2MTA0NjQiLCJ1c2VySWQiOiI3MDE5OTQ3NzkifQ==</vt:lpwstr>
  </property>
  <property fmtid="{D5CDD505-2E9C-101B-9397-08002B2CF9AE}" pid="3" name="KSOProductBuildVer">
    <vt:lpwstr>2052-12.1.0.28505</vt:lpwstr>
  </property>
  <property fmtid="{D5CDD505-2E9C-101B-9397-08002B2CF9AE}" pid="4" name="ICV">
    <vt:lpwstr>2BD8DC69E53B46F98011AE06AB0AC6CA_12</vt:lpwstr>
  </property>
</Properties>
</file>