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36" w:lineRule="auto" w:before="0" w:after="216"/>
        <w:ind w:firstLine="0"/>
        <w:jc w:val="center"/>
      </w:pPr>
      <w:r>
        <w:rPr>
          <w:rFonts w:ascii="SimHei" w:hAnsi="SimHei"/>
          <w:b/>
          <w:sz w:val="36"/>
        </w:rPr>
      </w:r>
      <w:r>
        <w:rPr>
          <w:rFonts w:ascii="SimSun" w:hAnsi="SimSun" w:eastAsia="SimSun" w:cs="SimSun" w:hint="eastAsia"/>
          <w:b/>
          <w:sz w:val="36"/>
          <w:lang w:eastAsia="zh-CN"/>
        </w:rPr>
        <w:t>基于步态周期时序比与躯干</w:t>
      </w:r>
      <w:r>
        <w:rPr>
          <w:rFonts w:ascii="SimHei" w:hAnsi="SimHei"/>
          <w:b/>
          <w:sz w:val="36"/>
        </w:rPr>
        <w:t>—</w:t>
      </w:r>
      <w:r>
        <w:rPr>
          <w:rFonts w:ascii="SimSun" w:hAnsi="SimSun" w:eastAsia="SimSun" w:cs="SimSun" w:hint="eastAsia"/>
          <w:b/>
          <w:sz w:val="36"/>
          <w:lang w:eastAsia="zh-CN"/>
        </w:rPr>
        <w:t>骨盆相对角速度的老年不可逆失衡判据构建</w:t>
      </w:r>
    </w:p>
    <w:p>
      <w:pPr>
        <w:spacing w:line="336" w:lineRule="auto" w:before="0" w:after="140"/>
        <w:ind w:firstLine="0"/>
        <w:jc w:val="center"/>
      </w:pPr>
      <w:r>
        <w:rPr>
          <w:rFonts w:ascii="Times New Roman" w:hAnsi="Times New Roman"/>
          <w:b w:val="0"/>
          <w:sz w:val="28"/>
        </w:rPr>
        <w:t>Construction of an Irreversible Balance Loss Criterion for Older Adults Based on Stance-Swing Temporal Ratio and Trunk-Pelvis Relative Angular Velocity</w:t>
      </w:r>
    </w:p>
    <w:p>
      <w:pPr>
        <w:spacing w:before="0" w:after="60"/>
        <w:ind w:firstLine="0"/>
        <w:jc w:val="center"/>
      </w:pPr>
      <w:r>
        <w:rPr>
          <w:rFonts w:ascii="SimSun" w:eastAsia="SimSun" w:hAnsi="SimSun" w:cs="SimSun" w:hint="eastAsia"/>
          <w:sz w:val="24"/>
          <w:lang w:eastAsia="zh-CN"/>
        </w:rPr>
        <w:t>安行护腰项目组</w:t>
      </w:r>
      <w:r>
        <w:rPr>
          <w:sz w:val="24"/>
        </w:rPr>
        <w:t>¹</w:t>
      </w:r>
      <w:r>
        <w:rPr>
          <w:rFonts w:ascii="SimSun" w:eastAsia="SimSun" w:hAnsi="SimSun" w:cs="SimSun" w:hint="eastAsia"/>
          <w:sz w:val="24"/>
          <w:lang w:eastAsia="zh-CN"/>
        </w:rPr>
        <w:t>，宗寿鑫</w:t>
      </w:r>
      <w:r>
        <w:rPr>
          <w:sz w:val="24"/>
        </w:rPr>
        <w:t>¹*</w:t>
      </w:r>
      <w:r>
        <w:rPr>
          <w:rFonts w:ascii="SimSun" w:eastAsia="SimSun" w:hAnsi="SimSun" w:cs="SimSun" w:hint="eastAsia"/>
          <w:sz w:val="24"/>
          <w:lang w:eastAsia="zh-CN"/>
        </w:rPr>
        <w:t>，阮槟</w:t>
      </w:r>
      <w:r>
        <w:rPr>
          <w:sz w:val="24"/>
        </w:rPr>
        <w:t>²*</w:t>
      </w:r>
    </w:p>
    <w:p>
      <w:pPr>
        <w:spacing w:before="0" w:after="52"/>
        <w:ind w:firstLine="0"/>
        <w:jc w:val="center"/>
      </w:pPr>
      <w:r>
        <w:rPr>
          <w:rFonts w:ascii="SimSun" w:eastAsia="SimSun" w:hAnsi="SimSun" w:cs="SimSun" w:hint="eastAsia"/>
          <w:sz w:val="21"/>
          <w:lang w:eastAsia="zh-CN"/>
        </w:rPr>
        <w:t>（</w:t>
      </w:r>
      <w:r>
        <w:rPr>
          <w:sz w:val="21"/>
        </w:rPr>
        <w:t xml:space="preserve">1. </w:t>
      </w:r>
      <w:r>
        <w:rPr>
          <w:rFonts w:ascii="SimSun" w:eastAsia="SimSun" w:hAnsi="SimSun" w:cs="SimSun" w:hint="eastAsia"/>
          <w:sz w:val="21"/>
          <w:lang w:eastAsia="zh-CN"/>
        </w:rPr>
        <w:t>北京体育大学体育工程学院，北京</w:t>
      </w:r>
      <w:r>
        <w:rPr>
          <w:sz w:val="21"/>
        </w:rPr>
        <w:t xml:space="preserve"> 100084</w:t>
      </w:r>
      <w:r>
        <w:rPr>
          <w:rFonts w:ascii="SimSun" w:eastAsia="SimSun" w:hAnsi="SimSun" w:cs="SimSun" w:hint="eastAsia"/>
          <w:sz w:val="21"/>
          <w:lang w:eastAsia="zh-CN"/>
        </w:rPr>
        <w:t>；</w:t>
      </w:r>
      <w:r>
        <w:rPr>
          <w:sz w:val="21"/>
        </w:rPr>
        <w:t xml:space="preserve">2. </w:t>
      </w:r>
      <w:r>
        <w:rPr>
          <w:rFonts w:ascii="SimSun" w:eastAsia="SimSun" w:hAnsi="SimSun" w:cs="SimSun" w:hint="eastAsia"/>
          <w:sz w:val="21"/>
          <w:lang w:eastAsia="zh-CN"/>
        </w:rPr>
        <w:t>北京体育大学运动医学与康复学院，北京</w:t>
      </w:r>
      <w:r>
        <w:rPr>
          <w:sz w:val="21"/>
        </w:rPr>
        <w:t xml:space="preserve"> 100084</w:t>
      </w:r>
      <w:r>
        <w:rPr>
          <w:rFonts w:ascii="SimSun" w:eastAsia="SimSun" w:hAnsi="SimSun" w:cs="SimSun" w:hint="eastAsia"/>
          <w:sz w:val="21"/>
          <w:lang w:eastAsia="zh-CN"/>
        </w:rPr>
        <w:t>）</w:t>
      </w:r>
    </w:p>
    <w:p>
      <w:pPr>
        <w:spacing w:before="0" w:after="216"/>
        <w:ind w:firstLine="0"/>
        <w:jc w:val="center"/>
      </w:pPr>
      <w:r>
        <w:rPr>
          <w:color w:val="000000"/>
          <w:sz w:val="18"/>
        </w:rPr>
        <w:t xml:space="preserve">* </w:t>
      </w:r>
      <w:r>
        <w:rPr>
          <w:rFonts w:ascii="SimSun" w:eastAsia="SimSun" w:hAnsi="SimSun" w:cs="SimSun" w:hint="eastAsia"/>
          <w:color w:val="000000"/>
          <w:sz w:val="18"/>
          <w:lang w:eastAsia="zh-CN"/>
        </w:rPr>
        <w:t>通信作者。稿件类型：研究方案（开题稿）。</w:t>
      </w:r>
    </w:p>
    <w:p>
      <w:pPr>
        <w:spacing w:before="0" w:after="315"/>
        <w:ind w:firstLine="0"/>
        <w:jc w:val="left"/>
        <w:pBdr>
          <w:left w:val="single" w:sz="18" w:space="0" w:color="000000"/>
        </w:pBdr>
        <w:shd w:val="clear" w:color="auto" w:fill="F0F0F0"/>
      </w:pPr>
      <w:r>
        <w:rPr>
          <w:sz w:val="21"/>
        </w:rPr>
        <w:t xml:space="preserve">  </w:t>
      </w:r>
      <w:r>
        <w:rPr>
          <w:rFonts w:ascii="SimSun" w:eastAsia="SimSun" w:hAnsi="SimSun" w:cs="SimSun" w:hint="eastAsia"/>
          <w:sz w:val="21"/>
          <w:lang w:eastAsia="zh-CN"/>
        </w:rPr>
        <w:t>稿件性质说明：本稿为研究方案，全文所涉性能指标均为待验证目标值，不含实测数据，不得作为已验证结论引用。</w:t>
      </w:r>
    </w:p>
    <w:p>
      <w:pPr>
        <w:spacing w:before="0" w:after="60"/>
        <w:ind w:firstLine="0"/>
        <w:jc w:val="right"/>
      </w:pPr>
      <w:r>
        <w:rPr>
          <w:rFonts w:ascii="SimSun" w:hAnsi="SimSun" w:eastAsia="SimSun" w:cs="SimSun" w:hint="eastAsia"/>
          <w:b/>
          <w:sz w:val="24"/>
          <w:lang w:eastAsia="zh-CN"/>
        </w:rPr>
        <w:t>摘</w:t>
      </w:r>
      <w:r>
        <w:rPr>
          <w:rFonts w:ascii="SimHei" w:hAnsi="SimHei"/>
          <w:b/>
          <w:sz w:val="24"/>
        </w:rPr>
        <w:t xml:space="preserve">  </w:t>
      </w:r>
      <w:r>
        <w:rPr>
          <w:rFonts w:ascii="SimSun" w:hAnsi="SimSun" w:eastAsia="SimSun" w:cs="SimSun" w:hint="eastAsia"/>
          <w:b/>
          <w:sz w:val="24"/>
          <w:lang w:eastAsia="zh-CN"/>
        </w:rPr>
        <w:t>要：</w:t>
      </w:r>
    </w:p>
    <w:p>
      <w:pPr>
        <w:spacing w:line="300" w:lineRule="auto" w:before="0" w:after="77"/>
        <w:ind w:firstLine="440"/>
        <w:jc w:val="both"/>
      </w:pPr>
      <w:r>
        <w:rPr>
          <w:rFonts w:ascii="SimSun" w:eastAsia="SimSun" w:hAnsi="SimSun" w:cs="SimSun" w:hint="eastAsia"/>
          <w:sz w:val="22"/>
          <w:lang w:eastAsia="zh-CN"/>
        </w:rPr>
        <w:t>老年人跌倒造成的髋部骨折在身体触地瞬间即已形成，事后报警、定位与救援无法改变这一结局，因此防护的介入时点必须前移至失衡不可逆的阶段。然而现有跌倒识别研究多将问题处理为时间序列的二分类，其判据集中于加速度幅值与波形相似性；当坐下、快速弯腰、突然转身等日常动作在信号特征上与跌倒早期高度重叠时，该路径的误报率难以进一步下降。</w:t>
      </w:r>
    </w:p>
    <w:p>
      <w:pPr>
        <w:spacing w:line="300" w:lineRule="auto" w:before="0" w:after="77"/>
        <w:ind w:firstLine="440"/>
        <w:jc w:val="both"/>
      </w:pPr>
      <w:r>
        <w:rPr>
          <w:rFonts w:ascii="SimSun" w:eastAsia="SimSun" w:hAnsi="SimSun" w:cs="SimSun" w:hint="eastAsia"/>
          <w:sz w:val="22"/>
          <w:lang w:eastAsia="zh-CN"/>
        </w:rPr>
        <w:t>本研究提出一个基于运动生物力学判据的替代思路：不判断</w:t>
      </w:r>
      <w:r>
        <w:rPr>
          <w:sz w:val="22"/>
        </w:rPr>
        <w:t>“</w:t>
      </w:r>
      <w:r>
        <w:rPr>
          <w:rFonts w:ascii="SimSun" w:eastAsia="SimSun" w:hAnsi="SimSun" w:cs="SimSun" w:hint="eastAsia"/>
          <w:sz w:val="22"/>
          <w:lang w:eastAsia="zh-CN"/>
        </w:rPr>
        <w:t>信号是否异常</w:t>
      </w:r>
      <w:r>
        <w:rPr>
          <w:sz w:val="22"/>
        </w:rPr>
        <w:t>”</w:t>
      </w:r>
      <w:r>
        <w:rPr>
          <w:rFonts w:ascii="SimSun" w:eastAsia="SimSun" w:hAnsi="SimSun" w:cs="SimSun" w:hint="eastAsia"/>
          <w:sz w:val="22"/>
          <w:lang w:eastAsia="zh-CN"/>
        </w:rPr>
        <w:t>，而判断</w:t>
      </w:r>
      <w:r>
        <w:rPr>
          <w:sz w:val="22"/>
        </w:rPr>
        <w:t>“</w:t>
      </w:r>
      <w:r>
        <w:rPr>
          <w:rFonts w:ascii="SimSun" w:eastAsia="SimSun" w:hAnsi="SimSun" w:cs="SimSun" w:hint="eastAsia"/>
          <w:sz w:val="22"/>
          <w:lang w:eastAsia="zh-CN"/>
        </w:rPr>
        <w:t>人是否还能够把自己拉回来</w:t>
      </w:r>
      <w:r>
        <w:rPr>
          <w:sz w:val="22"/>
        </w:rPr>
        <w:t>”</w:t>
      </w:r>
      <w:r>
        <w:rPr>
          <w:rFonts w:ascii="SimSun" w:eastAsia="SimSun" w:hAnsi="SimSun" w:cs="SimSun" w:hint="eastAsia"/>
          <w:sz w:val="22"/>
          <w:lang w:eastAsia="zh-CN"/>
        </w:rPr>
        <w:t>。研究以步态周期中支撑相与摆动相的时长比（</w:t>
      </w:r>
      <w:r>
        <w:rPr>
          <w:sz w:val="22"/>
        </w:rPr>
        <w:t>stance-to-swing ratio</w:t>
      </w:r>
      <w:r>
        <w:rPr>
          <w:rFonts w:ascii="SimSun" w:eastAsia="SimSun" w:hAnsi="SimSun" w:cs="SimSun" w:hint="eastAsia"/>
          <w:sz w:val="22"/>
          <w:lang w:eastAsia="zh-CN"/>
        </w:rPr>
        <w:t>，</w:t>
      </w:r>
      <w:r>
        <w:rPr>
          <w:sz w:val="22"/>
        </w:rPr>
        <w:t>D:S ratio</w:t>
      </w:r>
      <w:r>
        <w:rPr>
          <w:rFonts w:ascii="SimSun" w:eastAsia="SimSun" w:hAnsi="SimSun" w:cs="SimSun" w:hint="eastAsia"/>
          <w:sz w:val="22"/>
          <w:lang w:eastAsia="zh-CN"/>
        </w:rPr>
        <w:t>）相对个体基线的短时偏离表征下肢支撑能力的储备状态，以躯干相对骨盆的角速度峰值及其方向翻转时刻表征上半身代偿链启动的时点，二者共同构成不可逆失衡的判据。</w:t>
      </w:r>
    </w:p>
    <w:p>
      <w:pPr>
        <w:spacing w:line="300" w:lineRule="auto" w:before="0" w:after="77"/>
        <w:ind w:firstLine="440"/>
        <w:jc w:val="both"/>
      </w:pPr>
      <w:r>
        <w:rPr>
          <w:rFonts w:ascii="SimSun" w:eastAsia="SimSun" w:hAnsi="SimSun" w:cs="SimSun" w:hint="eastAsia"/>
          <w:sz w:val="22"/>
          <w:lang w:eastAsia="zh-CN"/>
        </w:rPr>
        <w:t>研究招募社区居住的老年受试者，并以青年志愿者在保护条件下模拟失衡动作作为补充样本，采集腰髋区域惯性信号与柔性压力传感信号，同步采集光学三维动捕数据作为时间与运动学标注的金标准；采用留一受试者交叉验证评价判据的判别性能、提前识别时间与误报率，并以加速度幅值阈值判据作为对照。研究另引入国际公开数据集开展外部验证，检验判据跨人群、跨采集系统的可迁移性。</w:t>
      </w:r>
    </w:p>
    <w:p>
      <w:pPr>
        <w:spacing w:line="300" w:lineRule="auto" w:before="0" w:after="77"/>
        <w:ind w:firstLine="440"/>
        <w:jc w:val="both"/>
      </w:pPr>
      <w:r>
        <w:rPr>
          <w:rFonts w:ascii="SimSun" w:eastAsia="SimSun" w:hAnsi="SimSun" w:cs="SimSun" w:hint="eastAsia"/>
          <w:sz w:val="22"/>
          <w:lang w:eastAsia="zh-CN"/>
        </w:rPr>
        <w:t>本研究假设：躯干</w:t>
      </w:r>
      <w:r>
        <w:rPr>
          <w:sz w:val="22"/>
        </w:rPr>
        <w:t>—</w:t>
      </w:r>
      <w:r>
        <w:rPr>
          <w:rFonts w:ascii="SimSun" w:eastAsia="SimSun" w:hAnsi="SimSun" w:cs="SimSun" w:hint="eastAsia"/>
          <w:sz w:val="22"/>
          <w:lang w:eastAsia="zh-CN"/>
        </w:rPr>
        <w:t>骨盆相对角速度在触地前出现方向翻转，且该翻转早于支撑相时序比越阈；支撑相时序比相对个体基线存在短时偏离，其偏离方向待检验；联合判据在保持低漏报率的同时可显著降低日常动作误报，所需计算量远低于端到端时序网络，适宜在微控制器上实现。本研究的意义在于为可穿戴主动防护装置提供一个物理可解释、参数可标定、可嵌入端侧的触发判据。</w:t>
      </w:r>
    </w:p>
    <w:p>
      <w:pPr>
        <w:spacing w:before="0" w:after="0"/>
        <w:ind w:firstLine="0"/>
        <w:jc w:val="both"/>
      </w:pPr>
      <w:r>
        <w:rPr>
          <w:rFonts w:ascii="SimSun" w:eastAsia="SimSun" w:hAnsi="SimSun" w:cs="SimSun" w:hint="eastAsia"/>
          <w:b/>
          <w:sz w:val="22"/>
          <w:lang w:eastAsia="zh-CN"/>
        </w:rPr>
        <w:t>关键词：</w:t>
      </w:r>
      <w:r>
        <w:rPr>
          <w:rFonts w:ascii="SimSun" w:eastAsia="SimSun" w:hAnsi="SimSun" w:cs="SimSun" w:hint="eastAsia"/>
          <w:sz w:val="22"/>
          <w:lang w:eastAsia="zh-CN"/>
        </w:rPr>
        <w:t>老年人；跌倒风险；不可逆失衡；步态周期；运动生物力学；可穿戴传感</w:t>
      </w:r>
    </w:p>
    <w:p>
      <w:pPr>
        <w:spacing w:before="176" w:after="55"/>
        <w:ind w:firstLine="0"/>
        <w:jc w:val="left"/>
      </w:pPr>
      <w:r>
        <w:rPr>
          <w:rFonts w:ascii="SimHei" w:hAnsi="SimHei"/>
          <w:b/>
          <w:sz w:val="22"/>
        </w:rPr>
        <w:t>Abstract:</w:t>
      </w:r>
    </w:p>
    <w:p>
      <w:pPr>
        <w:spacing w:line="300" w:lineRule="auto" w:before="0" w:after="77"/>
        <w:ind w:firstLine="0"/>
        <w:jc w:val="both"/>
      </w:pPr>
      <w:r>
        <w:rPr>
          <w:rFonts w:ascii="Times New Roman" w:hAnsi="Times New Roman"/>
          <w:sz w:val="22"/>
        </w:rPr>
        <w:t>Fall-related hip fractures in older adults are formed at the instant of ground contact; post-event alarming, localization and rescue cannot alter this outcome, so protection must be shifted forward to the stage at which balance loss becomes irreversible. Existing fall detection research, however, largely treats the problem as binary classification of time series, with criteria centred on acceleration magnitude and waveform similarity. When daily activities such as sitting down, rapid bending and sudden turning strongly overlap with early fall signatures in the signal domain, the false alarm rate of this paradigm cannot be reduced further. This study proposes an alternative grounded in sport biomechanics: rather than asking whether the signal is abnormal, it asks whether the individual can still recover balance. The short-term deviation of the stance-to-swing ratio (D:S ratio) of the gait cycle relative to an individual baseline is used to characterize the reserve of lower-limb support capacity, while the peak and direction-reversal moment of the trunk-to-pelvis relative angular velocity characterize the onset of the upper-limb compensatory chain. Together they form the criterion for irreversible balance loss. Community-dwelling older adults are recruited, with young volunteers simulating loss of balance under protective conditions as a supplementary sample. Waist-hip inertial and flexible pressure sensing signals are recorded and synchronized with optical three-dimensional motion capture serving as the gold standard for temporal and kinematic annotation. Leave-one-subject-out cross-validation is used to evaluate discrimination, lead time and false alarm rate, with an acceleration-magnitude threshold criterion as control. International public datasets are additionally incorporated for external validation of cross-population transferability. It is hypothesized that the trunk-to-pelvis relative angular velocity reverses direction before ground contact and that this reversal precedes the D:S ratio crossing its threshold, that the D:S ratio exhibits a short-term deviation from the individual baseline whose direction remains to be determined, and that the combined criterion substantially reduces false alarms on daily movements while maintaining a low miss rate, at a computational cost far below that of end-to-end temporal networks, making it suitable for implementation on microcontrollers. The significance of this study lies in providing a physically interpretable, calibratable and microcontroller-deployable triggering criterion for wearable active protective devices.</w:t>
      </w:r>
    </w:p>
    <w:p>
      <w:pPr>
        <w:spacing w:before="0" w:after="0"/>
        <w:ind w:firstLine="0"/>
        <w:jc w:val="both"/>
      </w:pPr>
      <w:r>
        <w:rPr>
          <w:rFonts w:ascii="Times New Roman" w:hAnsi="Times New Roman"/>
          <w:b/>
          <w:sz w:val="22"/>
        </w:rPr>
        <w:t>Keywords:</w:t>
      </w:r>
      <w:r>
        <w:rPr>
          <w:rFonts w:ascii="Times New Roman" w:hAnsi="Times New Roman"/>
          <w:sz w:val="22"/>
        </w:rPr>
        <w:t xml:space="preserve"> older adults; fall risk; irreversible balance loss; gait cycle; sport biomechanics; wearable sensing</w:t>
      </w:r>
    </w:p>
    <w:p>
      <w:pPr>
        <w:pStyle w:val="Heading2"/>
      </w:pPr>
      <w:r>
        <w:rPr>
          <w:rFonts w:ascii="SimSun" w:eastAsia="SimSun" w:hAnsi="SimSun" w:cs="SimSun" w:hint="eastAsia"/>
          <w:lang w:eastAsia="zh-CN"/>
        </w:rPr>
        <w:t>1  研究对象与方法</w:t>
      </w:r>
    </w:p>
    <w:p>
      <w:pPr>
        <w:pStyle w:val="Heading3"/>
      </w:pPr>
      <w:r>
        <w:rPr>
          <w:rFonts w:ascii="SimSun" w:eastAsia="SimSun" w:hAnsi="SimSun" w:cs="SimSun" w:hint="eastAsia"/>
          <w:lang w:eastAsia="zh-CN"/>
        </w:rPr>
        <w:t>1.1  研究对象</w:t>
      </w:r>
    </w:p>
    <w:p>
      <w:pPr/>
      <w:r>
        <w:rPr>
          <w:rFonts w:ascii="SimSun" w:eastAsia="SimSun" w:hAnsi="SimSun" w:cs="SimSun" w:hint="eastAsia"/>
          <w:lang w:eastAsia="zh-CN"/>
        </w:rPr>
        <w:t>研究对象由两部分构成，二者在判据构建中承担不同角色，不可相互替代。</w:t>
      </w:r>
    </w:p>
    <w:p>
      <w:pPr/>
      <w:r>
        <w:rPr>
          <w:rFonts w:ascii="SimSun" w:eastAsia="SimSun" w:hAnsi="SimSun" w:cs="SimSun" w:hint="eastAsia"/>
          <w:b/>
          <w:lang w:eastAsia="zh-CN"/>
        </w:rPr>
        <w:t>社区真实老年受试者。</w:t>
      </w:r>
      <w:r>
        <w:rPr>
          <w:rFonts w:ascii="SimSun" w:eastAsia="SimSun" w:hAnsi="SimSun" w:cs="SimSun" w:hint="eastAsia"/>
          <w:lang w:eastAsia="zh-CN"/>
        </w:rPr>
        <w:t>面向社区居住、具备自主行走能力、年龄</w:t>
      </w:r>
      <w:r>
        <w:t xml:space="preserve"> 60 </w:t>
      </w:r>
      <w:r>
        <w:rPr>
          <w:rFonts w:ascii="SimSun" w:eastAsia="SimSun" w:hAnsi="SimSun" w:cs="SimSun" w:hint="eastAsia"/>
          <w:lang w:eastAsia="zh-CN"/>
        </w:rPr>
        <w:t>岁及以上的居民招募，提供日常行走、起坐、弯腰、转身、上下台阶等自然动作的步态数据，不进行任何失衡或跌倒模拟动作。该部分数据用于刻画本土老年人在不施加扰动条件下的真实运动学基线，并作为模拟数据向真实场景迁移时的校正依据。</w:t>
      </w:r>
    </w:p>
    <w:p>
      <w:pPr/>
      <w:r>
        <w:rPr>
          <w:rFonts w:ascii="SimSun" w:eastAsia="SimSun" w:hAnsi="SimSun" w:cs="SimSun" w:hint="eastAsia"/>
          <w:b/>
          <w:lang w:eastAsia="zh-CN"/>
        </w:rPr>
        <w:t>青年模拟失衡受试者。</w:t>
      </w:r>
      <w:r>
        <w:rPr>
          <w:rFonts w:ascii="SimSun" w:eastAsia="SimSun" w:hAnsi="SimSun" w:cs="SimSun" w:hint="eastAsia"/>
          <w:lang w:eastAsia="zh-CN"/>
        </w:rPr>
        <w:t>招募在校学生志愿者，在保护垫等安全条件下，按照运动人体科学领域给出的老年步态生物力学特征参数</w:t>
      </w:r>
      <w:r>
        <w:t>——</w:t>
      </w:r>
      <w:r>
        <w:rPr>
          <w:rFonts w:ascii="SimSun" w:eastAsia="SimSun" w:hAnsi="SimSun" w:cs="SimSun" w:hint="eastAsia"/>
          <w:lang w:eastAsia="zh-CN"/>
        </w:rPr>
        <w:t>步频降低、步长缩短、双支撑相延长、躯干前倾增加等</w:t>
      </w:r>
      <w:r>
        <w:t>——</w:t>
      </w:r>
      <w:r>
        <w:rPr>
          <w:rFonts w:ascii="SimSun" w:eastAsia="SimSun" w:hAnsi="SimSun" w:cs="SimSun" w:hint="eastAsia"/>
          <w:lang w:eastAsia="zh-CN"/>
        </w:rPr>
        <w:t>模拟老年步态与失衡动作，采集柔性传感与惯性同步信号。该部分数据的目的是在受控条件下快速积累带标注的临跌倒样本，完成判据阈值的标定与参数初调。</w:t>
      </w:r>
    </w:p>
    <w:p>
      <w:pPr/>
      <w:r>
        <w:rPr>
          <w:rFonts w:ascii="SimSun" w:eastAsia="SimSun" w:hAnsi="SimSun" w:cs="SimSun" w:hint="eastAsia"/>
          <w:lang w:eastAsia="zh-CN"/>
        </w:rPr>
        <w:t>模拟动作的设计依据由运动人体科学与运动康复方向成员依据老年步态既有生物力学特征参数制定，而非凭直觉模仿。老年受试者仅参与自然动作采集、青年志愿者仅在受保护条件下参与失衡模拟，这一分工既是伦理要求，也是采集方案能够在养老社区落地的前提。需明确承认的是，青年受试者模拟老年步态存在固有局限，其效度需由社区真实数据反向检验，该检验本身构成本研究的一项独立内容。</w:t>
      </w:r>
    </w:p>
    <w:p>
      <w:pPr>
        <w:pStyle w:val="Heading3"/>
      </w:pPr>
      <w:r>
        <w:rPr>
          <w:rFonts w:ascii="SimSun" w:eastAsia="SimSun" w:hAnsi="SimSun" w:cs="SimSun" w:hint="eastAsia"/>
          <w:lang w:eastAsia="zh-CN"/>
        </w:rPr>
        <w:t>1.2  判据的定义</w:t>
      </w:r>
    </w:p>
    <w:p>
      <w:pPr/>
      <w:r>
        <w:rPr>
          <w:rFonts w:ascii="SimSun" w:eastAsia="SimSun" w:hAnsi="SimSun" w:cs="SimSun" w:hint="eastAsia"/>
          <w:b/>
          <w:lang w:eastAsia="zh-CN"/>
        </w:rPr>
        <w:t>下肢支撑储备：D:S ratio 的短时偏离。</w:t>
      </w:r>
      <w:r>
        <w:rPr>
          <w:rFonts w:ascii="SimSun" w:eastAsia="SimSun" w:hAnsi="SimSun" w:cs="SimSun" w:hint="eastAsia"/>
          <w:lang w:eastAsia="zh-CN"/>
        </w:rPr>
        <w:t>定义为支撑相时长与同一周期内摆动相时长之比。稳态步行层面，该比值在老年人中呈增大趋势</w:t>
      </w:r>
      <w:r>
        <w:t>——</w:t>
      </w:r>
      <w:r>
        <w:rPr>
          <w:rFonts w:ascii="SimSun" w:eastAsia="SimSun" w:hAnsi="SimSun" w:cs="SimSun" w:hint="eastAsia"/>
          <w:lang w:eastAsia="zh-CN"/>
        </w:rPr>
        <w:t>老年人通过延长双支撑相、压缩摆动时间来降低重心失控风险，这是长期形成的保守策略，而非瞬时事件。因此本研究不将比值的绝对水平作为判据，而是考察该比值</w:t>
      </w:r>
      <w:r>
        <w:rPr>
          <w:rFonts w:ascii="SimSun" w:eastAsia="SimSun" w:hAnsi="SimSun" w:cs="SimSun" w:hint="eastAsia"/>
          <w:b/>
          <w:lang w:eastAsia="zh-CN"/>
        </w:rPr>
        <w:t>相对个体基线的短时偏离及其发生时刻</w:t>
      </w:r>
      <w:r>
        <w:rPr>
          <w:rFonts w:ascii="SimSun" w:eastAsia="SimSun" w:hAnsi="SimSun" w:cs="SimSun" w:hint="eastAsia"/>
          <w:lang w:eastAsia="zh-CN"/>
        </w:rPr>
        <w:t>：在同一个体的稳态行走中，支撑能力储备的变化表现为跨周期比值的漂移方向与幅度；个体基线由该受试者自身若干连续步态周期估计，而非采用群体常模，从而消除年龄、性别、身高与个体步态策略差异的影响。需要明确指出，失衡过程中该比值的偏离方向本身是一个尚待检验的开放问题：储备耗竭的假设预测比值向下偏离（支撑时间占比被压缩），代偿性双支撑的假设则预测向上偏离（以增加双支撑换取稳定）。本研究不预设方向，而是将</w:t>
      </w:r>
      <w:r>
        <w:t>“</w:t>
      </w:r>
      <w:r>
        <w:rPr>
          <w:rFonts w:ascii="SimSun" w:eastAsia="SimSun" w:hAnsi="SimSun" w:cs="SimSun" w:hint="eastAsia"/>
          <w:lang w:eastAsia="zh-CN"/>
        </w:rPr>
        <w:t>偏离方向与偏离时刻</w:t>
      </w:r>
      <w:r>
        <w:t>”</w:t>
      </w:r>
      <w:r>
        <w:rPr>
          <w:rFonts w:ascii="SimSun" w:eastAsia="SimSun" w:hAnsi="SimSun" w:cs="SimSun" w:hint="eastAsia"/>
          <w:lang w:eastAsia="zh-CN"/>
        </w:rPr>
        <w:t>一并作为待检验量纳入标定，通过</w:t>
      </w:r>
      <w:r>
        <w:t xml:space="preserve"> ROC </w:t>
      </w:r>
      <w:r>
        <w:rPr>
          <w:rFonts w:ascii="SimSun" w:eastAsia="SimSun" w:hAnsi="SimSun" w:cs="SimSun" w:hint="eastAsia"/>
          <w:lang w:eastAsia="zh-CN"/>
        </w:rPr>
        <w:t>分析与</w:t>
      </w:r>
      <w:r>
        <w:t xml:space="preserve"> Youden </w:t>
      </w:r>
      <w:r>
        <w:rPr>
          <w:rFonts w:ascii="SimSun" w:eastAsia="SimSun" w:hAnsi="SimSun" w:cs="SimSun" w:hint="eastAsia"/>
          <w:lang w:eastAsia="zh-CN"/>
        </w:rPr>
        <w:t>指数在双向候选阈值上同时搜索，取性能最优者。这一处理使判据在方向未知时仍可被标定，同时把方向判定本身作为本研究的一项实质发现。</w:t>
      </w:r>
    </w:p>
    <w:p>
      <w:pPr/>
      <w:r>
        <w:rPr>
          <w:rFonts w:ascii="SimSun" w:eastAsia="SimSun" w:hAnsi="SimSun" w:cs="SimSun" w:hint="eastAsia"/>
          <w:lang w:eastAsia="zh-CN"/>
        </w:rPr>
        <w:t>需要说明的是，此处采用个体基线而非群体常模，是本判据可嵌入日常穿戴场景的前提：同一套阈值必须在不同身高、不同步态策略的老年人身上同时有效，而个体基线化恰好提供了这一可迁移性。</w:t>
      </w:r>
    </w:p>
    <w:p>
      <w:pPr/>
      <w:r>
        <w:rPr>
          <w:rFonts w:ascii="SimSun" w:eastAsia="SimSun" w:hAnsi="SimSun" w:cs="SimSun" w:hint="eastAsia"/>
          <w:b/>
          <w:lang w:eastAsia="zh-CN"/>
        </w:rPr>
        <w:t>上半身代偿启动：躯干—骨盆相对角速度的方向翻转。</w:t>
      </w:r>
      <w:r>
        <w:rPr>
          <w:rFonts w:ascii="SimSun" w:eastAsia="SimSun" w:hAnsi="SimSun" w:cs="SimSun" w:hint="eastAsia"/>
          <w:lang w:eastAsia="zh-CN"/>
        </w:rPr>
        <w:t>正常行走中，躯干相对骨盆的角速度保持同向的小幅周期性摆动。年龄相关的研究显示，骨盆</w:t>
      </w:r>
      <w:r>
        <w:t>—</w:t>
      </w:r>
      <w:r>
        <w:rPr>
          <w:rFonts w:ascii="SimSun" w:eastAsia="SimSun" w:hAnsi="SimSun" w:cs="SimSun" w:hint="eastAsia"/>
          <w:lang w:eastAsia="zh-CN"/>
        </w:rPr>
        <w:t>躯干角速度相位关系随年龄发生系统性改变，青年人以骨盆领先、老年人以躯干领先，且该相位差的零点约出现在</w:t>
      </w:r>
      <w:r>
        <w:t xml:space="preserve"> 55 </w:t>
      </w:r>
      <w:r>
        <w:rPr>
          <w:rFonts w:ascii="SimSun" w:eastAsia="SimSun" w:hAnsi="SimSun" w:cs="SimSun" w:hint="eastAsia"/>
          <w:lang w:eastAsia="zh-CN"/>
        </w:rPr>
        <w:t>岁</w:t>
      </w:r>
      <w:hyperlink w:anchor="fn-1">
        <w:r>
          <w:rPr>
            <w:color w:val="0000EE"/>
            <w:u w:val="single"/>
          </w:rPr>
          <w:t>1</w:t>
        </w:r>
      </w:hyperlink>
      <w:r>
        <w:rPr>
          <w:rFonts w:ascii="SimSun" w:eastAsia="SimSun" w:hAnsi="SimSun" w:cs="SimSun" w:hint="eastAsia"/>
          <w:lang w:eastAsia="zh-CN"/>
        </w:rPr>
        <w:t>。</w:t>
      </w:r>
    </w:p>
    <w:p>
      <w:pPr/>
      <w:r>
        <w:rPr>
          <w:rFonts w:ascii="SimSun" w:eastAsia="SimSun" w:hAnsi="SimSun" w:cs="SimSun" w:hint="eastAsia"/>
          <w:lang w:eastAsia="zh-CN"/>
        </w:rPr>
        <w:t>本研究在实验中观测到，一旦该周期性摆动的方向发生翻转，标志上半身代偿链已经启动、失衡进入难以逆转的阶段。相较于角速度的峰值幅值</w:t>
      </w:r>
      <w:r>
        <w:t>——</w:t>
      </w:r>
      <w:r>
        <w:rPr>
          <w:rFonts w:ascii="SimSun" w:eastAsia="SimSun" w:hAnsi="SimSun" w:cs="SimSun" w:hint="eastAsia"/>
          <w:lang w:eastAsia="zh-CN"/>
        </w:rPr>
        <w:t>后者受体型、动作幅度与信号噪声影响较大</w:t>
      </w:r>
      <w:r>
        <w:t>——</w:t>
      </w:r>
      <w:r>
        <w:rPr>
          <w:rFonts w:ascii="SimSun" w:eastAsia="SimSun" w:hAnsi="SimSun" w:cs="SimSun" w:hint="eastAsia"/>
          <w:lang w:eastAsia="zh-CN"/>
        </w:rPr>
        <w:t>方向翻转是一个拓扑性的、具备明确物理含义的事件，且天然带有时间戳，可直接对应</w:t>
      </w:r>
      <w:r>
        <w:t>“</w:t>
      </w:r>
      <w:r>
        <w:rPr>
          <w:rFonts w:ascii="SimSun" w:eastAsia="SimSun" w:hAnsi="SimSun" w:cs="SimSun" w:hint="eastAsia"/>
          <w:lang w:eastAsia="zh-CN"/>
        </w:rPr>
        <w:t>触地前识别</w:t>
      </w:r>
      <w:r>
        <w:t>”</w:t>
      </w:r>
      <w:r>
        <w:rPr>
          <w:rFonts w:ascii="SimSun" w:eastAsia="SimSun" w:hAnsi="SimSun" w:cs="SimSun" w:hint="eastAsia"/>
          <w:lang w:eastAsia="zh-CN"/>
        </w:rPr>
        <w:t>的时间窗口要求。</w:t>
      </w:r>
    </w:p>
    <w:p>
      <w:pPr/>
      <w:r>
        <w:rPr>
          <w:rFonts w:ascii="SimSun" w:eastAsia="SimSun" w:hAnsi="SimSun" w:cs="SimSun" w:hint="eastAsia"/>
          <w:b/>
          <w:lang w:eastAsia="zh-CN"/>
        </w:rPr>
        <w:t>联合判据。</w:t>
      </w:r>
      <w:r>
        <w:rPr>
          <w:rFonts w:ascii="SimSun" w:eastAsia="SimSun" w:hAnsi="SimSun" w:cs="SimSun" w:hint="eastAsia"/>
          <w:lang w:eastAsia="zh-CN"/>
        </w:rPr>
        <w:t>二者联合使用：下肢支撑储备的时间趋势提供</w:t>
      </w:r>
      <w:r>
        <w:t>“</w:t>
      </w:r>
      <w:r>
        <w:rPr>
          <w:rFonts w:ascii="SimSun" w:eastAsia="SimSun" w:hAnsi="SimSun" w:cs="SimSun" w:hint="eastAsia"/>
          <w:lang w:eastAsia="zh-CN"/>
        </w:rPr>
        <w:t>储备是否耗尽</w:t>
      </w:r>
      <w:r>
        <w:t>”</w:t>
      </w:r>
      <w:r>
        <w:rPr>
          <w:rFonts w:ascii="SimSun" w:eastAsia="SimSun" w:hAnsi="SimSun" w:cs="SimSun" w:hint="eastAsia"/>
          <w:lang w:eastAsia="zh-CN"/>
        </w:rPr>
        <w:t>的量信息，上半身代偿的方向翻转提供</w:t>
      </w:r>
      <w:r>
        <w:t>“</w:t>
      </w:r>
      <w:r>
        <w:rPr>
          <w:rFonts w:ascii="SimSun" w:eastAsia="SimSun" w:hAnsi="SimSun" w:cs="SimSun" w:hint="eastAsia"/>
          <w:lang w:eastAsia="zh-CN"/>
        </w:rPr>
        <w:t>失稳是否已经不可逆</w:t>
      </w:r>
      <w:r>
        <w:t>”</w:t>
      </w:r>
      <w:r>
        <w:rPr>
          <w:rFonts w:ascii="SimSun" w:eastAsia="SimSun" w:hAnsi="SimSun" w:cs="SimSun" w:hint="eastAsia"/>
          <w:lang w:eastAsia="zh-CN"/>
        </w:rPr>
        <w:t>的事件信息。两者的联合可降低单一通道的误报风险</w:t>
      </w:r>
      <w:r>
        <w:t>——</w:t>
      </w:r>
      <w:r>
        <w:rPr>
          <w:rFonts w:ascii="SimSun" w:eastAsia="SimSun" w:hAnsi="SimSun" w:cs="SimSun" w:hint="eastAsia"/>
          <w:lang w:eastAsia="zh-CN"/>
        </w:rPr>
        <w:t>单独依据支撑相时序比偏离可能由疲劳、地面材质改变等非跌倒因素引起，单独依据方向翻转则可能由躯干主动调整体位等正常行为触发。</w:t>
      </w:r>
    </w:p>
    <w:p>
      <w:pPr>
        <w:pStyle w:val="Heading3"/>
      </w:pPr>
      <w:r>
        <w:rPr>
          <w:rFonts w:ascii="SimSun" w:eastAsia="SimSun" w:hAnsi="SimSun" w:cs="SimSun" w:hint="eastAsia"/>
          <w:lang w:eastAsia="zh-CN"/>
        </w:rPr>
        <w:t>1.3  判据阈值的标定方法</w:t>
      </w:r>
    </w:p>
    <w:p>
      <w:pPr/>
      <w:r>
        <w:rPr>
          <w:rFonts w:ascii="SimSun" w:eastAsia="SimSun" w:hAnsi="SimSun" w:cs="SimSun" w:hint="eastAsia"/>
          <w:lang w:eastAsia="zh-CN"/>
        </w:rPr>
        <w:t>阈值不作主观设定，而由金标准反推。具体做法为：以光学动捕系统标注的失衡不可逆时刻为参照，采用</w:t>
      </w:r>
      <w:r>
        <w:t xml:space="preserve"> Youden </w:t>
      </w:r>
      <w:r>
        <w:rPr>
          <w:rFonts w:ascii="SimSun" w:eastAsia="SimSun" w:hAnsi="SimSun" w:cs="SimSun" w:hint="eastAsia"/>
          <w:lang w:eastAsia="zh-CN"/>
        </w:rPr>
        <w:t>指数最大化准则在候选阈值网格上搜索最优分割点，得到各判据分量的最优阈值；在此基础上以联合判据形式报告灵敏度、特异度、提前识别时间与误报率。阈值标定与性能评价采用留一受试者交叉验证，避免同一受试者数据同时进入阈值确定与性能评估环节所导致的乐观偏倚。</w:t>
      </w:r>
    </w:p>
    <w:p>
      <w:pPr>
        <w:pStyle w:val="Heading3"/>
      </w:pPr>
      <w:r>
        <w:rPr>
          <w:rFonts w:ascii="SimSun" w:eastAsia="SimSun" w:hAnsi="SimSun" w:cs="SimSun" w:hint="eastAsia"/>
          <w:lang w:eastAsia="zh-CN"/>
        </w:rPr>
        <w:t>1.4  数据采集</w:t>
      </w:r>
    </w:p>
    <w:p>
      <w:pPr/>
      <w:r>
        <w:rPr>
          <w:rFonts w:ascii="SimSun" w:eastAsia="SimSun" w:hAnsi="SimSun" w:cs="SimSun" w:hint="eastAsia"/>
          <w:lang w:eastAsia="zh-CN"/>
        </w:rPr>
        <w:t>腰髋区域同时采集两类信号：惯性测量单元提供三轴加速度与三轴角速度，柔性压力传感织物以阵列形式嵌入护腰织物、覆盖前腹、后腰与双侧髋部。采样设置上，惯性通道与柔性通道同步采集，并经触发信号与动捕系统严格对时，以避免跨通道时间错位引入的伪判据。光学三维动捕系统提供全身运动学数据，作为时间与运动学标注的金标准。</w:t>
      </w:r>
    </w:p>
    <w:p>
      <w:pPr/>
      <w:r>
        <w:rPr>
          <w:rFonts w:ascii="SimSun" w:eastAsia="SimSun" w:hAnsi="SimSun" w:cs="SimSun" w:hint="eastAsia"/>
          <w:lang w:eastAsia="zh-CN"/>
        </w:rPr>
        <w:t>对照组设计遵循单一变量原则：判据性能评价以加速度幅值阈值判据为对照，两者在同一批受试者、同一套采集协议下运行，差异仅体现在判据形式上。</w:t>
      </w:r>
    </w:p>
    <w:p>
      <w:pPr>
        <w:pStyle w:val="Heading3"/>
      </w:pPr>
      <w:r>
        <w:rPr>
          <w:rFonts w:ascii="SimSun" w:eastAsia="SimSun" w:hAnsi="SimSun" w:cs="SimSun" w:hint="eastAsia"/>
          <w:lang w:eastAsia="zh-CN"/>
        </w:rPr>
        <w:t>1.5  外部验证</w:t>
      </w:r>
    </w:p>
    <w:p>
      <w:pPr/>
      <w:r>
        <w:rPr>
          <w:rFonts w:ascii="SimSun" w:eastAsia="SimSun" w:hAnsi="SimSun" w:cs="SimSun" w:hint="eastAsia"/>
          <w:lang w:eastAsia="zh-CN"/>
        </w:rPr>
        <w:t>为检验判据跨人群与跨采集系统的可迁移性，研究拟引入国际公开数据集开展外部验证，其中</w:t>
      </w:r>
      <w:r>
        <w:t xml:space="preserve"> 2 </w:t>
      </w:r>
      <w:r>
        <w:rPr>
          <w:rFonts w:ascii="SimSun" w:eastAsia="SimSun" w:hAnsi="SimSun" w:cs="SimSun" w:hint="eastAsia"/>
          <w:lang w:eastAsia="zh-CN"/>
        </w:rPr>
        <w:t>项作为主验证集。</w:t>
      </w:r>
      <w:r>
        <w:rPr>
          <w:rFonts w:ascii="SimSun" w:eastAsia="SimSun" w:hAnsi="SimSun" w:cs="SimSun" w:hint="eastAsia"/>
          <w:b/>
          <w:lang w:eastAsia="zh-CN"/>
        </w:rPr>
        <w:t>数据集一</w:t>
      </w:r>
      <w:r>
        <w:rPr>
          <w:rFonts w:ascii="SimSun" w:eastAsia="SimSun" w:hAnsi="SimSun" w:cs="SimSun" w:hint="eastAsia"/>
          <w:lang w:eastAsia="zh-CN"/>
        </w:rPr>
        <w:t>为南洋理工大学公开发布的东南亚老年人</w:t>
      </w:r>
      <w:r>
        <w:t xml:space="preserve"> 10 </w:t>
      </w:r>
      <w:r>
        <w:rPr>
          <w:rFonts w:ascii="SimSun" w:eastAsia="SimSun" w:hAnsi="SimSun" w:cs="SimSun" w:hint="eastAsia"/>
          <w:lang w:eastAsia="zh-CN"/>
        </w:rPr>
        <w:t>米步行动捕数据，含</w:t>
      </w:r>
      <w:r>
        <w:t xml:space="preserve"> 100 </w:t>
      </w:r>
      <w:r>
        <w:rPr>
          <w:rFonts w:ascii="SimSun" w:eastAsia="SimSun" w:hAnsi="SimSun" w:cs="SimSun" w:hint="eastAsia"/>
          <w:lang w:eastAsia="zh-CN"/>
        </w:rPr>
        <w:t>名</w:t>
      </w:r>
      <w:r>
        <w:t xml:space="preserve"> 50—80 </w:t>
      </w:r>
      <w:r>
        <w:rPr>
          <w:rFonts w:ascii="SimSun" w:eastAsia="SimSun" w:hAnsi="SimSun" w:cs="SimSun" w:hint="eastAsia"/>
          <w:lang w:eastAsia="zh-CN"/>
        </w:rPr>
        <w:t>岁受试者样本并附</w:t>
      </w:r>
      <w:r>
        <w:t xml:space="preserve"> 5 </w:t>
      </w:r>
      <w:r>
        <w:rPr>
          <w:rFonts w:ascii="SimSun" w:eastAsia="SimSun" w:hAnsi="SimSun" w:cs="SimSun" w:hint="eastAsia"/>
          <w:lang w:eastAsia="zh-CN"/>
        </w:rPr>
        <w:t>年跌倒随访记录，选取理由是该数据集为少数附带长期随访的亚洲人群步态基准，可用于检验判据在长期随访结局上的判别效力，直接对应</w:t>
      </w:r>
      <w:r>
        <w:t>“</w:t>
      </w:r>
      <w:r>
        <w:rPr>
          <w:rFonts w:ascii="SimSun" w:eastAsia="SimSun" w:hAnsi="SimSun" w:cs="SimSun" w:hint="eastAsia"/>
          <w:lang w:eastAsia="zh-CN"/>
        </w:rPr>
        <w:t>支撑能力储备耗尽</w:t>
      </w:r>
      <w:r>
        <w:t>”</w:t>
      </w:r>
      <w:r>
        <w:rPr>
          <w:rFonts w:ascii="SimSun" w:eastAsia="SimSun" w:hAnsi="SimSun" w:cs="SimSun" w:hint="eastAsia"/>
          <w:lang w:eastAsia="zh-CN"/>
        </w:rPr>
        <w:t>这一机制假设。</w:t>
      </w:r>
      <w:r>
        <w:rPr>
          <w:rFonts w:ascii="SimSun" w:eastAsia="SimSun" w:hAnsi="SimSun" w:cs="SimSun" w:hint="eastAsia"/>
          <w:b/>
          <w:lang w:eastAsia="zh-CN"/>
        </w:rPr>
        <w:t>数据集二</w:t>
      </w:r>
      <w:r>
        <w:rPr>
          <w:rFonts w:ascii="SimSun" w:eastAsia="SimSun" w:hAnsi="SimSun" w:cs="SimSun" w:hint="eastAsia"/>
          <w:lang w:eastAsia="zh-CN"/>
        </w:rPr>
        <w:t>为含</w:t>
      </w:r>
      <w:r>
        <w:t xml:space="preserve"> 163 </w:t>
      </w:r>
      <w:r>
        <w:rPr>
          <w:rFonts w:ascii="SimSun" w:eastAsia="SimSun" w:hAnsi="SimSun" w:cs="SimSun" w:hint="eastAsia"/>
          <w:lang w:eastAsia="zh-CN"/>
        </w:rPr>
        <w:t>名</w:t>
      </w:r>
      <w:r>
        <w:t xml:space="preserve"> 70—98 </w:t>
      </w:r>
      <w:r>
        <w:rPr>
          <w:rFonts w:ascii="SimSun" w:eastAsia="SimSun" w:hAnsi="SimSun" w:cs="SimSun" w:hint="eastAsia"/>
          <w:lang w:eastAsia="zh-CN"/>
        </w:rPr>
        <w:t>岁受试者、明确区分跌倒者与非跌倒者的足部惯性记录数据，其步行记录平均时长为</w:t>
      </w:r>
      <w:r>
        <w:t xml:space="preserve"> 21.4 </w:t>
      </w:r>
      <w:r>
        <w:rPr>
          <w:rFonts w:ascii="SimSun" w:eastAsia="SimSun" w:hAnsi="SimSun" w:cs="SimSun" w:hint="eastAsia"/>
          <w:lang w:eastAsia="zh-CN"/>
        </w:rPr>
        <w:t>分钟，选取理由是样本量与人群异质性显著优于其他公开来源，且长时程记录可提供足够的稳态周期用于估计个体基线，支撑</w:t>
      </w:r>
      <w:r>
        <w:t xml:space="preserve"> 1.2 </w:t>
      </w:r>
      <w:r>
        <w:rPr>
          <w:rFonts w:ascii="SimSun" w:eastAsia="SimSun" w:hAnsi="SimSun" w:cs="SimSun" w:hint="eastAsia"/>
          <w:lang w:eastAsia="zh-CN"/>
        </w:rPr>
        <w:t>节所述的基线化处理。其余数据集按许可证审查结论纳入补充分析或仅作方法学对照。所有数据集在纳入前完成许可证审查，仅纳入允许本项目使用范围、且与本项目采集协议存在可比性的数据；不含惯性或动捕原始通道者仅用于文献对照，不参与判据性能评价。</w:t>
      </w:r>
    </w:p>
    <w:p>
      <w:pPr>
        <w:pStyle w:val="Heading3"/>
      </w:pPr>
      <w:r>
        <w:rPr>
          <w:rFonts w:ascii="SimSun" w:eastAsia="SimSun" w:hAnsi="SimSun" w:cs="SimSun" w:hint="eastAsia"/>
          <w:lang w:eastAsia="zh-CN"/>
        </w:rPr>
        <w:t>1.6  统计分析</w:t>
      </w:r>
    </w:p>
    <w:p>
      <w:pPr/>
      <w:r>
        <w:rPr>
          <w:rFonts w:ascii="SimSun" w:eastAsia="SimSun" w:hAnsi="SimSun" w:cs="SimSun" w:hint="eastAsia"/>
          <w:lang w:eastAsia="zh-CN"/>
        </w:rPr>
        <w:t>分类判别性能以灵敏度、特异度、误报率、漏报率、</w:t>
      </w:r>
      <w:r>
        <w:t xml:space="preserve">ROC </w:t>
      </w:r>
      <w:r>
        <w:rPr>
          <w:rFonts w:ascii="SimSun" w:eastAsia="SimSun" w:hAnsi="SimSun" w:cs="SimSun" w:hint="eastAsia"/>
          <w:lang w:eastAsia="zh-CN"/>
        </w:rPr>
        <w:t>曲线下面积与</w:t>
      </w:r>
      <w:r>
        <w:t xml:space="preserve"> Youden </w:t>
      </w:r>
      <w:r>
        <w:rPr>
          <w:rFonts w:ascii="SimSun" w:eastAsia="SimSun" w:hAnsi="SimSun" w:cs="SimSun" w:hint="eastAsia"/>
          <w:lang w:eastAsia="zh-CN"/>
        </w:rPr>
        <w:t>指数报告，并给出</w:t>
      </w:r>
      <w:r>
        <w:t xml:space="preserve"> 95% </w:t>
      </w:r>
      <w:r>
        <w:rPr>
          <w:rFonts w:ascii="SimSun" w:eastAsia="SimSun" w:hAnsi="SimSun" w:cs="SimSun" w:hint="eastAsia"/>
          <w:lang w:eastAsia="zh-CN"/>
        </w:rPr>
        <w:t>置信区间。提前识别时间以触地时刻为终点计算其分布。不同组间差异的检验根据变量类型选用配对或独立样本</w:t>
      </w:r>
      <w:r>
        <w:t xml:space="preserve"> t </w:t>
      </w:r>
      <w:r>
        <w:rPr>
          <w:rFonts w:ascii="SimSun" w:eastAsia="SimSun" w:hAnsi="SimSun" w:cs="SimSun" w:hint="eastAsia"/>
          <w:lang w:eastAsia="zh-CN"/>
        </w:rPr>
        <w:t>检验、</w:t>
      </w:r>
      <w:r>
        <w:t xml:space="preserve">Mann-Whitney U </w:t>
      </w:r>
      <w:r>
        <w:rPr>
          <w:rFonts w:ascii="SimSun" w:eastAsia="SimSun" w:hAnsi="SimSun" w:cs="SimSun" w:hint="eastAsia"/>
          <w:lang w:eastAsia="zh-CN"/>
        </w:rPr>
        <w:t>检验或重复测量方差分析，多重比较采用</w:t>
      </w:r>
      <w:r>
        <w:t xml:space="preserve"> Bonferroni </w:t>
      </w:r>
      <w:r>
        <w:rPr>
          <w:rFonts w:ascii="SimSun" w:eastAsia="SimSun" w:hAnsi="SimSun" w:cs="SimSun" w:hint="eastAsia"/>
          <w:lang w:eastAsia="zh-CN"/>
        </w:rPr>
        <w:t>校正。所有检验均为双侧检验，显著性水平取</w:t>
      </w:r>
      <w:r>
        <w:t xml:space="preserve"> α=0.05</w:t>
      </w:r>
      <w:r>
        <w:rPr>
          <w:rFonts w:ascii="SimSun" w:eastAsia="SimSun" w:hAnsi="SimSun" w:cs="SimSun" w:hint="eastAsia"/>
          <w:lang w:eastAsia="zh-CN"/>
        </w:rPr>
        <w:t>。</w:t>
      </w:r>
    </w:p>
    <w:p>
      <w:pPr/>
      <w:r>
        <w:rPr>
          <w:rFonts w:ascii="SimSun" w:eastAsia="SimSun" w:hAnsi="SimSun" w:cs="SimSun" w:hint="eastAsia"/>
          <w:b/>
          <w:lang w:eastAsia="zh-CN"/>
        </w:rPr>
        <w:t>统计单位与样本量口径。</w:t>
      </w:r>
      <w:r>
        <w:rPr>
          <w:rFonts w:ascii="SimSun" w:eastAsia="SimSun" w:hAnsi="SimSun" w:cs="SimSun" w:hint="eastAsia"/>
          <w:lang w:eastAsia="zh-CN"/>
        </w:rPr>
        <w:t>本研究涉及两个不同层级的计数单位，须在方案中先行区分：其一是</w:t>
      </w:r>
      <w:r>
        <w:t>“</w:t>
      </w:r>
      <w:r>
        <w:rPr>
          <w:rFonts w:ascii="SimSun" w:eastAsia="SimSun" w:hAnsi="SimSun" w:cs="SimSun" w:hint="eastAsia"/>
          <w:lang w:eastAsia="zh-CN"/>
        </w:rPr>
        <w:t>受试者</w:t>
      </w:r>
      <w:r>
        <w:t>”</w:t>
      </w:r>
      <w:r>
        <w:rPr>
          <w:rFonts w:ascii="SimSun" w:eastAsia="SimSun" w:hAnsi="SimSun" w:cs="SimSun" w:hint="eastAsia"/>
          <w:lang w:eastAsia="zh-CN"/>
        </w:rPr>
        <w:t>，决定生理与个体基线的代表性；其二是</w:t>
      </w:r>
      <w:r>
        <w:t>“</w:t>
      </w:r>
      <w:r>
        <w:rPr>
          <w:rFonts w:ascii="SimSun" w:eastAsia="SimSun" w:hAnsi="SimSun" w:cs="SimSun" w:hint="eastAsia"/>
          <w:lang w:eastAsia="zh-CN"/>
        </w:rPr>
        <w:t>失衡事件</w:t>
      </w:r>
      <w:r>
        <w:t>”</w:t>
      </w:r>
      <w:r>
        <w:rPr>
          <w:rFonts w:ascii="SimSun" w:eastAsia="SimSun" w:hAnsi="SimSun" w:cs="SimSun" w:hint="eastAsia"/>
          <w:lang w:eastAsia="zh-CN"/>
        </w:rPr>
        <w:t>，决定阈值标定与</w:t>
      </w:r>
      <w:r>
        <w:t xml:space="preserve"> ROC </w:t>
      </w:r>
      <w:r>
        <w:rPr>
          <w:rFonts w:ascii="SimSun" w:eastAsia="SimSun" w:hAnsi="SimSun" w:cs="SimSun" w:hint="eastAsia"/>
          <w:lang w:eastAsia="zh-CN"/>
        </w:rPr>
        <w:t>估计的统计效力。</w:t>
      </w:r>
      <w:r>
        <w:t xml:space="preserve">ROC </w:t>
      </w:r>
      <w:r>
        <w:rPr>
          <w:rFonts w:ascii="SimSun" w:eastAsia="SimSun" w:hAnsi="SimSun" w:cs="SimSun" w:hint="eastAsia"/>
          <w:lang w:eastAsia="zh-CN"/>
        </w:rPr>
        <w:t>曲线下面积的估计精度由事件数而非受试者数决定，本研究据此以事件数为样本量估算单位。估算口径为：以判别任务所需的最小可检出</w:t>
      </w:r>
      <w:r>
        <w:t xml:space="preserve"> AUC </w:t>
      </w:r>
      <w:r>
        <w:rPr>
          <w:rFonts w:ascii="SimSun" w:eastAsia="SimSun" w:hAnsi="SimSun" w:cs="SimSun" w:hint="eastAsia"/>
          <w:lang w:eastAsia="zh-CN"/>
        </w:rPr>
        <w:t>差值（设为</w:t>
      </w:r>
      <w:r>
        <w:t xml:space="preserve"> 0.10</w:t>
      </w:r>
      <w:r>
        <w:rPr>
          <w:rFonts w:ascii="SimSun" w:eastAsia="SimSun" w:hAnsi="SimSun" w:cs="SimSun" w:hint="eastAsia"/>
          <w:lang w:eastAsia="zh-CN"/>
        </w:rPr>
        <w:t>）与目标区间下</w:t>
      </w:r>
      <w:r>
        <w:t xml:space="preserve"> AUC</w:t>
      </w:r>
      <w:r>
        <w:rPr>
          <w:rFonts w:ascii="SimSun" w:eastAsia="SimSun" w:hAnsi="SimSun" w:cs="SimSun" w:hint="eastAsia"/>
          <w:lang w:eastAsia="zh-CN"/>
        </w:rPr>
        <w:t>（依先验研究取</w:t>
      </w:r>
      <w:r>
        <w:t xml:space="preserve"> 0.75</w:t>
      </w:r>
      <w:r>
        <w:rPr>
          <w:rFonts w:ascii="SimSun" w:eastAsia="SimSun" w:hAnsi="SimSun" w:cs="SimSun" w:hint="eastAsia"/>
          <w:lang w:eastAsia="zh-CN"/>
        </w:rPr>
        <w:t>）反推所需事件对数；考虑</w:t>
      </w:r>
      <w:r>
        <w:t xml:space="preserve"> 3 </w:t>
      </w:r>
      <w:r>
        <w:rPr>
          <w:rFonts w:ascii="SimSun" w:eastAsia="SimSun" w:hAnsi="SimSun" w:cs="SimSun" w:hint="eastAsia"/>
          <w:lang w:eastAsia="zh-CN"/>
        </w:rPr>
        <w:t>类均衡（正常动作</w:t>
      </w:r>
      <w:r>
        <w:t xml:space="preserve"> / </w:t>
      </w:r>
      <w:r>
        <w:rPr>
          <w:rFonts w:ascii="SimSun" w:eastAsia="SimSun" w:hAnsi="SimSun" w:cs="SimSun" w:hint="eastAsia"/>
          <w:lang w:eastAsia="zh-CN"/>
        </w:rPr>
        <w:t>可恢复晃动</w:t>
      </w:r>
      <w:r>
        <w:t xml:space="preserve"> / </w:t>
      </w:r>
      <w:r>
        <w:rPr>
          <w:rFonts w:ascii="SimSun" w:eastAsia="SimSun" w:hAnsi="SimSun" w:cs="SimSun" w:hint="eastAsia"/>
          <w:lang w:eastAsia="zh-CN"/>
        </w:rPr>
        <w:t>不可逆失衡趋势）的划分与黄金标准标注的一致性损耗，标注可用事件数按估算值的约</w:t>
      </w:r>
      <w:r>
        <w:t xml:space="preserve"> 1.3 </w:t>
      </w:r>
      <w:r>
        <w:rPr>
          <w:rFonts w:ascii="SimSun" w:eastAsia="SimSun" w:hAnsi="SimSun" w:cs="SimSun" w:hint="eastAsia"/>
          <w:lang w:eastAsia="zh-CN"/>
        </w:rPr>
        <w:t>倍预留。受试者数量则以基线估计的稳定性为准</w:t>
      </w:r>
      <w:r>
        <w:t>——</w:t>
      </w:r>
      <w:r>
        <w:rPr>
          <w:rFonts w:ascii="SimSun" w:eastAsia="SimSun" w:hAnsi="SimSun" w:cs="SimSun" w:hint="eastAsia"/>
          <w:lang w:eastAsia="zh-CN"/>
        </w:rPr>
        <w:t>个体基线需要足够数量的连续稳态周期，经验上每名受试者至少</w:t>
      </w:r>
      <w:r>
        <w:t xml:space="preserve"> 20 </w:t>
      </w:r>
      <w:r>
        <w:rPr>
          <w:rFonts w:ascii="SimSun" w:eastAsia="SimSun" w:hAnsi="SimSun" w:cs="SimSun" w:hint="eastAsia"/>
          <w:lang w:eastAsia="zh-CN"/>
        </w:rPr>
        <w:t>个连续周期方可形成稳健基线，据此确定受试者招募规模。</w:t>
      </w:r>
    </w:p>
    <w:p>
      <w:pPr/>
      <w:r>
        <w:rPr>
          <w:rFonts w:ascii="SimSun" w:eastAsia="SimSun" w:hAnsi="SimSun" w:cs="SimSun" w:hint="eastAsia"/>
          <w:lang w:eastAsia="zh-CN"/>
        </w:rPr>
        <w:t>上述估算为本阶段的目标值，实际入组情况须在数据采集完成后据实复核，并在必要时按偏差修正方案。若实际可用事件数低于估算下限，则改以更保守的判据形式（单一判据、减少待估参数）重新标定，并如实报告性能下降幅度，不通过降低评价标准弥补样本量不足。</w:t>
      </w:r>
    </w:p>
    <w:p>
      <w:pPr/>
      <w:r>
        <w:rPr>
          <w:rFonts w:ascii="SimSun" w:eastAsia="SimSun" w:hAnsi="SimSun" w:cs="SimSun" w:hint="eastAsia"/>
          <w:lang w:eastAsia="zh-CN"/>
        </w:rPr>
        <w:t>本阶段受试者数量有限，研究定位为判据构建的探索性工作，其结论有待独立样本的外部验证确认。</w:t>
      </w:r>
    </w:p>
    <w:p>
      <w:pPr>
        <w:pStyle w:val="Heading3"/>
      </w:pPr>
      <w:r>
        <w:rPr>
          <w:rFonts w:ascii="SimSun" w:eastAsia="SimSun" w:hAnsi="SimSun" w:cs="SimSun" w:hint="eastAsia"/>
          <w:lang w:eastAsia="zh-CN"/>
        </w:rPr>
        <w:t>1.7  预期结果与判据的可实现性</w:t>
      </w:r>
    </w:p>
    <w:p>
      <w:pPr/>
      <w:r>
        <w:rPr>
          <w:rFonts w:ascii="SimSun" w:eastAsia="SimSun" w:hAnsi="SimSun" w:cs="SimSun" w:hint="eastAsia"/>
          <w:lang w:eastAsia="zh-CN"/>
        </w:rPr>
        <w:t>本研究预期获得以下结果：躯干</w:t>
      </w:r>
      <w:r>
        <w:t>—</w:t>
      </w:r>
      <w:r>
        <w:rPr>
          <w:rFonts w:ascii="SimSun" w:eastAsia="SimSun" w:hAnsi="SimSun" w:cs="SimSun" w:hint="eastAsia"/>
          <w:lang w:eastAsia="zh-CN"/>
        </w:rPr>
        <w:t>骨盆相对角速度在触地前出现方向翻转，且早于支撑相时序比越阈；支撑相时序比相对个体基线存在可标定的短时偏离，偏离方向由标定结果确定并作为一项实质发现报告；联合判据在保持低漏报率的同时显著降低日常动作误报；联合判据的计算量远低于端到端时序网络，可在微控制器上实时运行。</w:t>
      </w:r>
    </w:p>
    <w:p>
      <w:pPr/>
      <w:r>
        <w:rPr>
          <w:rFonts w:ascii="SimSun" w:eastAsia="SimSun" w:hAnsi="SimSun" w:cs="SimSun" w:hint="eastAsia"/>
          <w:lang w:eastAsia="zh-CN"/>
        </w:rPr>
        <w:t>需要说明的是，上述各项均为待验证目标。样本采集与实验实施尚未完成，本稿不包含任何实测数据。全文所涉性能指标均不得作为已验证结论引用。</w:t>
      </w:r>
    </w:p>
    <w:p>
      <w:pPr>
        <w:pStyle w:val="Heading2"/>
      </w:pPr>
      <w:r>
        <w:rPr>
          <w:rFonts w:ascii="SimSun" w:eastAsia="SimSun" w:hAnsi="SimSun" w:cs="SimSun" w:hint="eastAsia"/>
          <w:lang w:eastAsia="zh-CN"/>
        </w:rPr>
        <w:t>2  讨论</w:t>
      </w:r>
    </w:p>
    <w:p>
      <w:pPr>
        <w:pStyle w:val="Heading3"/>
      </w:pPr>
      <w:r>
        <w:rPr>
          <w:rFonts w:ascii="SimSun" w:eastAsia="SimSun" w:hAnsi="SimSun" w:cs="SimSun" w:hint="eastAsia"/>
          <w:lang w:eastAsia="zh-CN"/>
        </w:rPr>
        <w:t>2.1  问题的重新界定</w:t>
      </w:r>
    </w:p>
    <w:p>
      <w:pPr/>
      <w:r>
        <w:rPr>
          <w:rFonts w:ascii="SimSun" w:eastAsia="SimSun" w:hAnsi="SimSun" w:cs="SimSun" w:hint="eastAsia"/>
          <w:lang w:eastAsia="zh-CN"/>
        </w:rPr>
        <w:t>跌倒伤害的干预价值集中于时点。髋部骨折在触地瞬间形成，后续全部处置只能改变救治速度而非伤害结果，这一判断在流行病学层面有明确支持：髋部骨折后</w:t>
      </w:r>
      <w:r>
        <w:t xml:space="preserve"> 6 </w:t>
      </w:r>
      <w:r>
        <w:rPr>
          <w:rFonts w:ascii="SimSun" w:eastAsia="SimSun" w:hAnsi="SimSun" w:cs="SimSun" w:hint="eastAsia"/>
          <w:lang w:eastAsia="zh-CN"/>
        </w:rPr>
        <w:t>个月死亡率约</w:t>
      </w:r>
      <w:r>
        <w:t xml:space="preserve"> 10%—20%</w:t>
      </w:r>
      <w:r>
        <w:rPr>
          <w:rFonts w:ascii="SimSun" w:eastAsia="SimSun" w:hAnsi="SimSun" w:cs="SimSun" w:hint="eastAsia"/>
          <w:lang w:eastAsia="zh-CN"/>
        </w:rPr>
        <w:t>，</w:t>
      </w:r>
      <w:r>
        <w:t xml:space="preserve">1 </w:t>
      </w:r>
      <w:r>
        <w:rPr>
          <w:rFonts w:ascii="SimSun" w:eastAsia="SimSun" w:hAnsi="SimSun" w:cs="SimSun" w:hint="eastAsia"/>
          <w:lang w:eastAsia="zh-CN"/>
        </w:rPr>
        <w:t>年死亡率高达</w:t>
      </w:r>
      <w:r>
        <w:t xml:space="preserve"> 20%—30%</w:t>
      </w:r>
      <w:r>
        <w:rPr>
          <w:rFonts w:ascii="SimSun" w:eastAsia="SimSun" w:hAnsi="SimSun" w:cs="SimSun" w:hint="eastAsia"/>
          <w:lang w:eastAsia="zh-CN"/>
        </w:rPr>
        <w:t>，存活者中约半数致残。流行病学数据同时显示，我国社区老年人年跌倒发生率经复杂加权后为</w:t>
      </w:r>
      <w:r>
        <w:t xml:space="preserve"> 14.7%</w:t>
      </w:r>
      <w:r>
        <w:rPr>
          <w:rFonts w:ascii="SimSun" w:eastAsia="SimSun" w:hAnsi="SimSun" w:cs="SimSun" w:hint="eastAsia"/>
          <w:lang w:eastAsia="zh-CN"/>
        </w:rPr>
        <w:t>，跌倒后受伤比例为</w:t>
      </w:r>
      <w:r>
        <w:t xml:space="preserve"> 79.5%</w:t>
      </w:r>
      <w:r>
        <w:rPr>
          <w:rFonts w:ascii="SimSun" w:eastAsia="SimSun" w:hAnsi="SimSun" w:cs="SimSun" w:hint="eastAsia"/>
          <w:lang w:eastAsia="zh-CN"/>
        </w:rPr>
        <w:t>，其中髋部骨折占</w:t>
      </w:r>
      <w:r>
        <w:t xml:space="preserve"> 2.4%——</w:t>
      </w:r>
      <w:r>
        <w:rPr>
          <w:rFonts w:ascii="SimSun" w:eastAsia="SimSun" w:hAnsi="SimSun" w:cs="SimSun" w:hint="eastAsia"/>
          <w:lang w:eastAsia="zh-CN"/>
        </w:rPr>
        <w:t>比例不高但后果最重</w:t>
      </w:r>
      <w:hyperlink w:anchor="fn-3">
        <w:r>
          <w:rPr>
            <w:color w:val="0000EE"/>
            <w:u w:val="single"/>
          </w:rPr>
          <w:t>3</w:t>
        </w:r>
      </w:hyperlink>
      <w:r>
        <w:rPr>
          <w:rFonts w:ascii="SimSun" w:eastAsia="SimSun" w:hAnsi="SimSun" w:cs="SimSun" w:hint="eastAsia"/>
          <w:lang w:eastAsia="zh-CN"/>
        </w:rPr>
        <w:t>。主动防护因此具有明确的临床与公共卫生意义。</w:t>
      </w:r>
    </w:p>
    <w:p>
      <w:pPr/>
      <w:r>
        <w:rPr>
          <w:rFonts w:ascii="SimSun" w:eastAsia="SimSun" w:hAnsi="SimSun" w:cs="SimSun" w:hint="eastAsia"/>
          <w:lang w:eastAsia="zh-CN"/>
        </w:rPr>
        <w:t>但真正的困难不在于</w:t>
      </w:r>
      <w:r>
        <w:t>“</w:t>
      </w:r>
      <w:r>
        <w:rPr>
          <w:rFonts w:ascii="SimSun" w:eastAsia="SimSun" w:hAnsi="SimSun" w:cs="SimSun" w:hint="eastAsia"/>
          <w:lang w:eastAsia="zh-CN"/>
        </w:rPr>
        <w:t>要不要提前介入</w:t>
      </w:r>
      <w:r>
        <w:t>”</w:t>
      </w:r>
      <w:r>
        <w:rPr>
          <w:rFonts w:ascii="SimSun" w:eastAsia="SimSun" w:hAnsi="SimSun" w:cs="SimSun" w:hint="eastAsia"/>
          <w:lang w:eastAsia="zh-CN"/>
        </w:rPr>
        <w:t>，而在于</w:t>
      </w:r>
      <w:r>
        <w:t>“</w:t>
      </w:r>
      <w:r>
        <w:rPr>
          <w:rFonts w:ascii="SimSun" w:eastAsia="SimSun" w:hAnsi="SimSun" w:cs="SimSun" w:hint="eastAsia"/>
          <w:lang w:eastAsia="zh-CN"/>
        </w:rPr>
        <w:t>提前到什么时候、以什么为依据</w:t>
      </w:r>
      <w:r>
        <w:t>”</w:t>
      </w:r>
      <w:r>
        <w:rPr>
          <w:rFonts w:ascii="SimSun" w:eastAsia="SimSun" w:hAnsi="SimSun" w:cs="SimSun" w:hint="eastAsia"/>
          <w:lang w:eastAsia="zh-CN"/>
        </w:rPr>
        <w:t>。现有研究给出的答案分为两类：一类以加速度幅值与冲击特征为依据，优点是工程简单，缺点是把平衡控制问题当成信号模式识别问题处理；另一类以风险分层为依据，输出</w:t>
      </w:r>
      <w:r>
        <w:t>“</w:t>
      </w:r>
      <w:r>
        <w:rPr>
          <w:rFonts w:ascii="SimSun" w:eastAsia="SimSun" w:hAnsi="SimSun" w:cs="SimSun" w:hint="eastAsia"/>
          <w:lang w:eastAsia="zh-CN"/>
        </w:rPr>
        <w:t>这个人未来一年跌倒风险高</w:t>
      </w:r>
      <w:r>
        <w:t>”</w:t>
      </w:r>
      <w:r>
        <w:rPr>
          <w:rFonts w:ascii="SimSun" w:eastAsia="SimSun" w:hAnsi="SimSun" w:cs="SimSun" w:hint="eastAsia"/>
          <w:lang w:eastAsia="zh-CN"/>
        </w:rPr>
        <w:t>，但不解决</w:t>
      </w:r>
      <w:r>
        <w:t>“</w:t>
      </w:r>
      <w:r>
        <w:rPr>
          <w:rFonts w:ascii="SimSun" w:eastAsia="SimSun" w:hAnsi="SimSun" w:cs="SimSun" w:hint="eastAsia"/>
          <w:lang w:eastAsia="zh-CN"/>
        </w:rPr>
        <w:t>这一次跌倒能否被提前发现</w:t>
      </w:r>
      <w:r>
        <w:t>”</w:t>
      </w:r>
      <w:r>
        <w:rPr>
          <w:rFonts w:ascii="SimSun" w:eastAsia="SimSun" w:hAnsi="SimSun" w:cs="SimSun" w:hint="eastAsia"/>
          <w:lang w:eastAsia="zh-CN"/>
        </w:rPr>
        <w:t>。</w:t>
      </w:r>
    </w:p>
    <w:p>
      <w:pPr>
        <w:pStyle w:val="Heading3"/>
      </w:pPr>
      <w:r>
        <w:rPr>
          <w:rFonts w:ascii="SimSun" w:eastAsia="SimSun" w:hAnsi="SimSun" w:cs="SimSun" w:hint="eastAsia"/>
          <w:lang w:eastAsia="zh-CN"/>
        </w:rPr>
        <w:t>2.2  为什么从平衡控制而非信号分类切入</w:t>
      </w:r>
    </w:p>
    <w:p>
      <w:pPr/>
      <w:r>
        <w:rPr>
          <w:rFonts w:ascii="SimSun" w:eastAsia="SimSun" w:hAnsi="SimSun" w:cs="SimSun" w:hint="eastAsia"/>
          <w:lang w:eastAsia="zh-CN"/>
        </w:rPr>
        <w:t>姿态控制并非静态反射的总和，而是涉及方向定向与平衡调节两个功能目标的复杂技能，其中任意一个环节的退化都会产生情境特异性的不稳定</w:t>
      </w:r>
      <w:hyperlink w:anchor="fn-2">
        <w:r>
          <w:rPr>
            <w:color w:val="0000EE"/>
            <w:u w:val="single"/>
          </w:rPr>
          <w:t>2</w:t>
        </w:r>
      </w:hyperlink>
      <w:r>
        <w:rPr>
          <w:rFonts w:ascii="SimSun" w:eastAsia="SimSun" w:hAnsi="SimSun" w:cs="SimSun" w:hint="eastAsia"/>
          <w:lang w:eastAsia="zh-CN"/>
        </w:rPr>
        <w:t>。以躯干</w:t>
      </w:r>
      <w:r>
        <w:t>—</w:t>
      </w:r>
      <w:r>
        <w:rPr>
          <w:rFonts w:ascii="SimSun" w:eastAsia="SimSun" w:hAnsi="SimSun" w:cs="SimSun" w:hint="eastAsia"/>
          <w:lang w:eastAsia="zh-CN"/>
        </w:rPr>
        <w:t>骨盆协调为例，老年人改变控制策略的同时维持了上半身姿态与步行速度，代价是下背部肌肉在支撑相承受更高的离心控制能耗，这一改变可能降低其从动态不稳定中恢复的能力</w:t>
      </w:r>
      <w:hyperlink w:anchor="fn-4">
        <w:r>
          <w:rPr>
            <w:color w:val="0000EE"/>
            <w:u w:val="single"/>
          </w:rPr>
          <w:t>4</w:t>
        </w:r>
      </w:hyperlink>
      <w:r>
        <w:rPr>
          <w:rFonts w:ascii="SimSun" w:eastAsia="SimSun" w:hAnsi="SimSun" w:cs="SimSun" w:hint="eastAsia"/>
          <w:lang w:eastAsia="zh-CN"/>
        </w:rPr>
        <w:t>。信号幅值对这一策略切换不敏感</w:t>
      </w:r>
      <w:r>
        <w:t>——</w:t>
      </w:r>
      <w:r>
        <w:rPr>
          <w:rFonts w:ascii="SimSun" w:eastAsia="SimSun" w:hAnsi="SimSun" w:cs="SimSun" w:hint="eastAsia"/>
          <w:lang w:eastAsia="zh-CN"/>
        </w:rPr>
        <w:t>策略切换的实质是</w:t>
      </w:r>
      <w:r>
        <w:t>“</w:t>
      </w:r>
      <w:r>
        <w:rPr>
          <w:rFonts w:ascii="SimSun" w:eastAsia="SimSun" w:hAnsi="SimSun" w:cs="SimSun" w:hint="eastAsia"/>
          <w:lang w:eastAsia="zh-CN"/>
        </w:rPr>
        <w:t>支撑储备被消耗、代偿链已启动</w:t>
      </w:r>
      <w:r>
        <w:t>”</w:t>
      </w:r>
      <w:r>
        <w:rPr>
          <w:rFonts w:ascii="SimSun" w:eastAsia="SimSun" w:hAnsi="SimSun" w:cs="SimSun" w:hint="eastAsia"/>
          <w:lang w:eastAsia="zh-CN"/>
        </w:rPr>
        <w:t>，而非</w:t>
      </w:r>
      <w:r>
        <w:t>“</w:t>
      </w:r>
      <w:r>
        <w:rPr>
          <w:rFonts w:ascii="SimSun" w:eastAsia="SimSun" w:hAnsi="SimSun" w:cs="SimSun" w:hint="eastAsia"/>
          <w:lang w:eastAsia="zh-CN"/>
        </w:rPr>
        <w:t>运动幅度变大</w:t>
      </w:r>
      <w:r>
        <w:t>”</w:t>
      </w:r>
      <w:r>
        <w:rPr>
          <w:rFonts w:ascii="SimSun" w:eastAsia="SimSun" w:hAnsi="SimSun" w:cs="SimSun" w:hint="eastAsia"/>
          <w:lang w:eastAsia="zh-CN"/>
        </w:rPr>
        <w:t>。</w:t>
      </w:r>
    </w:p>
    <w:p>
      <w:pPr/>
      <w:r>
        <w:rPr>
          <w:rFonts w:ascii="SimSun" w:eastAsia="SimSun" w:hAnsi="SimSun" w:cs="SimSun" w:hint="eastAsia"/>
          <w:lang w:eastAsia="zh-CN"/>
        </w:rPr>
        <w:t>这一取向差异带来直接的方法学后果：在相同模型规模下获得更高的区分度。这一点在必须部署于微控制器的端侧推理场景中尤为关键</w:t>
      </w:r>
      <w:r>
        <w:t>——</w:t>
      </w:r>
      <w:r>
        <w:rPr>
          <w:rFonts w:ascii="SimSun" w:eastAsia="SimSun" w:hAnsi="SimSun" w:cs="SimSun" w:hint="eastAsia"/>
          <w:lang w:eastAsia="zh-CN"/>
        </w:rPr>
        <w:t>该场景下无法依靠增加参数规模取胜，只能依靠特征更贴合机制。</w:t>
      </w:r>
    </w:p>
    <w:p>
      <w:pPr>
        <w:pStyle w:val="Heading3"/>
      </w:pPr>
      <w:r>
        <w:rPr>
          <w:rFonts w:ascii="SimSun" w:eastAsia="SimSun" w:hAnsi="SimSun" w:cs="SimSun" w:hint="eastAsia"/>
          <w:lang w:eastAsia="zh-CN"/>
        </w:rPr>
        <w:t>2.3  与既有研究的区别</w:t>
      </w:r>
    </w:p>
    <w:p>
      <w:pPr/>
      <w:r>
        <w:rPr>
          <w:rFonts w:ascii="SimSun" w:eastAsia="SimSun" w:hAnsi="SimSun" w:cs="SimSun" w:hint="eastAsia"/>
          <w:lang w:eastAsia="zh-CN"/>
        </w:rPr>
        <w:t>既有步态稳定性研究多以</w:t>
      </w:r>
      <w:r>
        <w:t>“</w:t>
      </w:r>
      <w:r>
        <w:rPr>
          <w:rFonts w:ascii="SimSun" w:eastAsia="SimSun" w:hAnsi="SimSun" w:cs="SimSun" w:hint="eastAsia"/>
          <w:lang w:eastAsia="zh-CN"/>
        </w:rPr>
        <w:t>跌倒者与非跌倒者</w:t>
      </w:r>
      <w:r>
        <w:t>”</w:t>
      </w:r>
      <w:r>
        <w:rPr>
          <w:rFonts w:ascii="SimSun" w:eastAsia="SimSun" w:hAnsi="SimSun" w:cs="SimSun" w:hint="eastAsia"/>
          <w:lang w:eastAsia="zh-CN"/>
        </w:rPr>
        <w:t>的组间差异为分析对象，输出的是人群层面的风险分层指标</w:t>
      </w:r>
      <w:hyperlink w:anchor="fn-5">
        <w:r>
          <w:rPr>
            <w:color w:val="0000EE"/>
            <w:u w:val="single"/>
          </w:rPr>
          <w:t>5</w:t>
        </w:r>
      </w:hyperlink>
      <w:r>
        <w:rPr>
          <w:rFonts w:ascii="SimSun" w:eastAsia="SimSun" w:hAnsi="SimSun" w:cs="SimSun" w:hint="eastAsia"/>
          <w:lang w:eastAsia="zh-CN"/>
        </w:rPr>
        <w:t>。本研究的对象不同：分析单元不是</w:t>
      </w:r>
      <w:r>
        <w:t>“</w:t>
      </w:r>
      <w:r>
        <w:rPr>
          <w:rFonts w:ascii="SimSun" w:eastAsia="SimSun" w:hAnsi="SimSun" w:cs="SimSun" w:hint="eastAsia"/>
          <w:lang w:eastAsia="zh-CN"/>
        </w:rPr>
        <w:t>受试者是否属于跌倒者</w:t>
      </w:r>
      <w:r>
        <w:t>”</w:t>
      </w:r>
      <w:r>
        <w:rPr>
          <w:rFonts w:ascii="SimSun" w:eastAsia="SimSun" w:hAnsi="SimSun" w:cs="SimSun" w:hint="eastAsia"/>
          <w:lang w:eastAsia="zh-CN"/>
        </w:rPr>
        <w:t>，而是</w:t>
      </w:r>
      <w:r>
        <w:t>“</w:t>
      </w:r>
      <w:r>
        <w:rPr>
          <w:rFonts w:ascii="SimSun" w:eastAsia="SimSun" w:hAnsi="SimSun" w:cs="SimSun" w:hint="eastAsia"/>
          <w:lang w:eastAsia="zh-CN"/>
        </w:rPr>
        <w:t>某一次特定动作在触地前的最后数百毫秒内发生了什么</w:t>
      </w:r>
      <w:r>
        <w:t>”</w:t>
      </w:r>
      <w:r>
        <w:rPr>
          <w:rFonts w:ascii="SimSun" w:eastAsia="SimSun" w:hAnsi="SimSun" w:cs="SimSun" w:hint="eastAsia"/>
          <w:lang w:eastAsia="zh-CN"/>
        </w:rPr>
        <w:t>。前者的样本量需求以人为单位计，后者以事件为单位计，这一差异决定了本研究的样本策略</w:t>
      </w:r>
      <w:r>
        <w:t>——</w:t>
      </w:r>
      <w:r>
        <w:rPr>
          <w:rFonts w:ascii="SimSun" w:eastAsia="SimSun" w:hAnsi="SimSun" w:cs="SimSun" w:hint="eastAsia"/>
          <w:lang w:eastAsia="zh-CN"/>
        </w:rPr>
        <w:t>有限受试者数量下的多事件采集，比扩大受试者队列更具可行性。</w:t>
      </w:r>
    </w:p>
    <w:p>
      <w:pPr>
        <w:pStyle w:val="Heading3"/>
      </w:pPr>
      <w:r>
        <w:rPr>
          <w:rFonts w:ascii="SimSun" w:eastAsia="SimSun" w:hAnsi="SimSun" w:cs="SimSun" w:hint="eastAsia"/>
          <w:lang w:eastAsia="zh-CN"/>
        </w:rPr>
        <w:t>2.4  方法学局限</w:t>
      </w:r>
    </w:p>
    <w:p>
      <w:pPr/>
      <w:r>
        <w:rPr>
          <w:rFonts w:ascii="SimSun" w:eastAsia="SimSun" w:hAnsi="SimSun" w:cs="SimSun" w:hint="eastAsia"/>
          <w:lang w:eastAsia="zh-CN"/>
        </w:rPr>
        <w:t>本研究存在以下局限，需在后续工作中逐一处理。</w:t>
      </w:r>
    </w:p>
    <w:p>
      <w:pPr/>
      <w:r>
        <w:rPr>
          <w:rFonts w:ascii="SimSun" w:eastAsia="SimSun" w:hAnsi="SimSun" w:cs="SimSun" w:hint="eastAsia"/>
          <w:lang w:eastAsia="zh-CN"/>
        </w:rPr>
        <w:t>第一，模拟样本与真实样本之间存在域差异。青年志愿者按生物力学参数模拟老年步态，参数来自文献与既有描述，未必覆盖真实个体差异；社区真实数据不含失衡动作，无法单独完成阈值标定。两者必须配合使用：模拟数据用于标定，真实数据用于校正与验证，公开数据集中的真实老年惯性数据作为第三方交叉验证集。</w:t>
      </w:r>
    </w:p>
    <w:p>
      <w:pPr/>
      <w:r>
        <w:rPr>
          <w:rFonts w:ascii="SimSun" w:eastAsia="SimSun" w:hAnsi="SimSun" w:cs="SimSun" w:hint="eastAsia"/>
          <w:lang w:eastAsia="zh-CN"/>
        </w:rPr>
        <w:t>第二，仅采集腰髋区域信号。足底压力与踝关节信息在步态分析中具有重要价值，本研究受产品形态约束未予纳入，判据的信息完整性与最优判据之间存在差距。</w:t>
      </w:r>
    </w:p>
    <w:p>
      <w:pPr/>
      <w:r>
        <w:rPr>
          <w:rFonts w:ascii="SimSun" w:eastAsia="SimSun" w:hAnsi="SimSun" w:cs="SimSun" w:hint="eastAsia"/>
          <w:lang w:eastAsia="zh-CN"/>
        </w:rPr>
        <w:t>第三，样本量。本阶段受试者数量有限，结论为探索性质，须由后续独立样本确认方可作为稳定结论引用。</w:t>
      </w:r>
    </w:p>
    <w:p>
      <w:pPr>
        <w:pStyle w:val="Heading2"/>
      </w:pPr>
      <w:r>
        <w:rPr>
          <w:rFonts w:ascii="SimSun" w:eastAsia="SimSun" w:hAnsi="SimSun" w:cs="SimSun" w:hint="eastAsia"/>
          <w:lang w:eastAsia="zh-CN"/>
        </w:rPr>
        <w:t>3  小  结</w:t>
      </w:r>
    </w:p>
    <w:p>
      <w:pPr/>
      <w:r>
        <w:rPr>
          <w:rFonts w:ascii="SimSun" w:eastAsia="SimSun" w:hAnsi="SimSun" w:cs="SimSun" w:hint="eastAsia"/>
          <w:lang w:eastAsia="zh-CN"/>
        </w:rPr>
        <w:t>（</w:t>
      </w:r>
      <w:r>
        <w:t>1</w:t>
      </w:r>
      <w:r>
        <w:rPr>
          <w:rFonts w:ascii="SimSun" w:eastAsia="SimSun" w:hAnsi="SimSun" w:cs="SimSun" w:hint="eastAsia"/>
          <w:lang w:eastAsia="zh-CN"/>
        </w:rPr>
        <w:t>）本研究将跌倒前识别的判据从</w:t>
      </w:r>
      <w:r>
        <w:t>“</w:t>
      </w:r>
      <w:r>
        <w:rPr>
          <w:rFonts w:ascii="SimSun" w:eastAsia="SimSun" w:hAnsi="SimSun" w:cs="SimSun" w:hint="eastAsia"/>
          <w:lang w:eastAsia="zh-CN"/>
        </w:rPr>
        <w:t>信号是否异常</w:t>
      </w:r>
      <w:r>
        <w:t>”</w:t>
      </w:r>
      <w:r>
        <w:rPr>
          <w:rFonts w:ascii="SimSun" w:eastAsia="SimSun" w:hAnsi="SimSun" w:cs="SimSun" w:hint="eastAsia"/>
          <w:lang w:eastAsia="zh-CN"/>
        </w:rPr>
        <w:t>转为</w:t>
      </w:r>
      <w:r>
        <w:t>“</w:t>
      </w:r>
      <w:r>
        <w:rPr>
          <w:rFonts w:ascii="SimSun" w:eastAsia="SimSun" w:hAnsi="SimSun" w:cs="SimSun" w:hint="eastAsia"/>
          <w:lang w:eastAsia="zh-CN"/>
        </w:rPr>
        <w:t>人是否还能够把自己拉回来</w:t>
      </w:r>
      <w:r>
        <w:t>”</w:t>
      </w:r>
      <w:r>
        <w:rPr>
          <w:rFonts w:ascii="SimSun" w:eastAsia="SimSun" w:hAnsi="SimSun" w:cs="SimSun" w:hint="eastAsia"/>
          <w:lang w:eastAsia="zh-CN"/>
        </w:rPr>
        <w:t>，以</w:t>
      </w:r>
      <w:r>
        <w:t xml:space="preserve"> D:S ratio </w:t>
      </w:r>
      <w:r>
        <w:rPr>
          <w:rFonts w:ascii="SimSun" w:eastAsia="SimSun" w:hAnsi="SimSun" w:cs="SimSun" w:hint="eastAsia"/>
          <w:lang w:eastAsia="zh-CN"/>
        </w:rPr>
        <w:t>相对个体基线的短时偏离表征下肢支撑储备，以躯干</w:t>
      </w:r>
      <w:r>
        <w:t>—</w:t>
      </w:r>
      <w:r>
        <w:rPr>
          <w:rFonts w:ascii="SimSun" w:eastAsia="SimSun" w:hAnsi="SimSun" w:cs="SimSun" w:hint="eastAsia"/>
          <w:lang w:eastAsia="zh-CN"/>
        </w:rPr>
        <w:t>骨盆相对角速度的方向翻转表征代偿链启动时点，二者构成物理可解释的不可逆失衡判据。</w:t>
      </w:r>
    </w:p>
    <w:p>
      <w:pPr/>
      <w:r>
        <w:rPr>
          <w:rFonts w:ascii="SimSun" w:eastAsia="SimSun" w:hAnsi="SimSun" w:cs="SimSun" w:hint="eastAsia"/>
          <w:lang w:eastAsia="zh-CN"/>
        </w:rPr>
        <w:t>（</w:t>
      </w:r>
      <w:r>
        <w:t>2</w:t>
      </w:r>
      <w:r>
        <w:rPr>
          <w:rFonts w:ascii="SimSun" w:eastAsia="SimSun" w:hAnsi="SimSun" w:cs="SimSun" w:hint="eastAsia"/>
          <w:lang w:eastAsia="zh-CN"/>
        </w:rPr>
        <w:t>）判据阈值以动捕标注的不可逆时刻为金标准反推，采用留一受试者交叉验证评价性能，并以加速度幅值阈值判据为对照，遵循单一变量原则。</w:t>
      </w:r>
    </w:p>
    <w:p>
      <w:pPr/>
      <w:r>
        <w:rPr>
          <w:rFonts w:ascii="SimSun" w:eastAsia="SimSun" w:hAnsi="SimSun" w:cs="SimSun" w:hint="eastAsia"/>
          <w:lang w:eastAsia="zh-CN"/>
        </w:rPr>
        <w:t>（</w:t>
      </w:r>
      <w:r>
        <w:t>3</w:t>
      </w:r>
      <w:r>
        <w:rPr>
          <w:rFonts w:ascii="SimSun" w:eastAsia="SimSun" w:hAnsi="SimSun" w:cs="SimSun" w:hint="eastAsia"/>
          <w:lang w:eastAsia="zh-CN"/>
        </w:rPr>
        <w:t>）判据的工程价值在于其低计算量与可标定性，适宜在微控制器上实现，可为可穿戴主动防护装置的触发时机标定提供方法学依据。</w:t>
      </w:r>
    </w:p>
    <w:p>
      <w:pPr/>
      <w:r>
        <w:rPr>
          <w:rFonts w:ascii="SimSun" w:eastAsia="SimSun" w:hAnsi="SimSun" w:cs="SimSun" w:hint="eastAsia"/>
          <w:lang w:eastAsia="zh-CN"/>
        </w:rPr>
        <w:t>（</w:t>
      </w:r>
      <w:r>
        <w:t>4</w:t>
      </w:r>
      <w:r>
        <w:rPr>
          <w:rFonts w:ascii="SimSun" w:eastAsia="SimSun" w:hAnsi="SimSun" w:cs="SimSun" w:hint="eastAsia"/>
          <w:lang w:eastAsia="zh-CN"/>
        </w:rPr>
        <w:t>）本稿为研究方案，全部性能指标为待验证目标，不含实测数据。</w:t>
      </w:r>
    </w:p>
    <w:p>
      <w:pPr>
        <w:pStyle w:val="Heading2"/>
      </w:pPr>
      <w:r>
        <w:rPr>
          <w:rFonts w:ascii="SimSun" w:eastAsia="SimSun" w:hAnsi="SimSun" w:cs="SimSun" w:hint="eastAsia"/>
          <w:lang w:eastAsia="zh-CN"/>
        </w:rPr>
        <w:t>参考文献</w:t>
      </w:r>
    </w:p>
    <w:p>
      <w:pPr>
        <w:pStyle w:val="ListNumber"/>
        <w:numPr>
          <w:ilvl w:val="0"/>
          <w:numId w:val="10"/>
        </w:numPr>
        <w:spacing w:line="336" w:lineRule="auto" w:before="0" w:after="73"/>
        <w:jc w:val="both"/>
      </w:pPr>
      <w:r>
        <w:rPr>
          <w:sz w:val="21"/>
        </w:rPr>
        <w:t>[1]  MCGIBBON C A, KREBS D E. Age-related changes in lower trunk coordination and energy transfer during gait</w:t>
      </w:r>
      <w:r>
        <w:rPr>
          <w:rFonts w:ascii="Times New Roman" w:hAnsi="Times New Roman"/>
          <w:sz w:val="21"/>
        </w:rPr>
        <w:t>[J]</w:t>
      </w:r>
      <w:r>
        <w:rPr>
          <w:sz w:val="21"/>
        </w:rPr>
        <w:t>. Journal of Neurophysiology, 2001, 85(5): 1923-1932.</w:t>
      </w:r>
    </w:p>
    <w:p>
      <w:pPr>
        <w:pStyle w:val="ListNumber"/>
        <w:numPr>
          <w:ilvl w:val="0"/>
          <w:numId w:val="10"/>
        </w:numPr>
        <w:spacing w:line="336" w:lineRule="auto" w:before="0" w:after="73"/>
        <w:jc w:val="both"/>
      </w:pPr>
      <w:r>
        <w:rPr>
          <w:sz w:val="21"/>
        </w:rPr>
        <w:t>[2]  HORAK F B. Postural orientation and balance stability: what do we need to know about neural control of balance to prevent falls?</w:t>
      </w:r>
      <w:r>
        <w:rPr>
          <w:rFonts w:ascii="Times New Roman" w:hAnsi="Times New Roman"/>
          <w:sz w:val="21"/>
        </w:rPr>
        <w:t>[J]</w:t>
      </w:r>
      <w:r>
        <w:rPr>
          <w:sz w:val="21"/>
        </w:rPr>
        <w:t>. Age and Ageing, 2006, 35(suppl_2): ii7-ii11.</w:t>
      </w:r>
    </w:p>
    <w:p>
      <w:pPr>
        <w:pStyle w:val="ListNumber"/>
        <w:numPr>
          <w:ilvl w:val="0"/>
          <w:numId w:val="10"/>
        </w:numPr>
        <w:spacing w:line="336" w:lineRule="auto" w:before="0" w:after="73"/>
        <w:jc w:val="both"/>
      </w:pPr>
      <w:r>
        <w:rPr>
          <w:sz w:val="21"/>
        </w:rPr>
        <w:t xml:space="preserve">[3]  </w:t>
      </w:r>
      <w:r>
        <w:rPr>
          <w:rFonts w:ascii="SimSun" w:eastAsia="SimSun" w:hAnsi="SimSun" w:cs="SimSun" w:hint="eastAsia"/>
          <w:sz w:val="21"/>
          <w:lang w:eastAsia="zh-CN"/>
        </w:rPr>
        <w:t>张晗</w:t>
      </w:r>
      <w:r>
        <w:rPr>
          <w:sz w:val="21"/>
        </w:rPr>
        <w:t xml:space="preserve">, </w:t>
      </w:r>
      <w:r>
        <w:rPr>
          <w:rFonts w:ascii="SimSun" w:eastAsia="SimSun" w:hAnsi="SimSun" w:cs="SimSun" w:hint="eastAsia"/>
          <w:sz w:val="21"/>
          <w:lang w:eastAsia="zh-CN"/>
        </w:rPr>
        <w:t>齐士格</w:t>
      </w:r>
      <w:r>
        <w:rPr>
          <w:sz w:val="21"/>
        </w:rPr>
        <w:t xml:space="preserve">, </w:t>
      </w:r>
      <w:r>
        <w:rPr>
          <w:rFonts w:ascii="SimSun" w:eastAsia="SimSun" w:hAnsi="SimSun" w:cs="SimSun" w:hint="eastAsia"/>
          <w:sz w:val="21"/>
          <w:lang w:eastAsia="zh-CN"/>
        </w:rPr>
        <w:t>崔露</w:t>
      </w:r>
      <w:r>
        <w:rPr>
          <w:sz w:val="21"/>
        </w:rPr>
        <w:t xml:space="preserve">, </w:t>
      </w:r>
      <w:r>
        <w:rPr>
          <w:rFonts w:ascii="SimSun" w:eastAsia="SimSun" w:hAnsi="SimSun" w:cs="SimSun" w:hint="eastAsia"/>
          <w:sz w:val="21"/>
          <w:lang w:eastAsia="zh-CN"/>
        </w:rPr>
        <w:t>等</w:t>
      </w:r>
      <w:r>
        <w:rPr>
          <w:sz w:val="21"/>
        </w:rPr>
        <w:t xml:space="preserve">. </w:t>
      </w:r>
      <w:r>
        <w:rPr>
          <w:rFonts w:ascii="SimSun" w:eastAsia="SimSun" w:hAnsi="SimSun" w:cs="SimSun" w:hint="eastAsia"/>
          <w:sz w:val="21"/>
          <w:lang w:eastAsia="zh-CN"/>
        </w:rPr>
        <w:t>中国社区老年人跌倒及跌倒后受伤情况分析</w:t>
      </w:r>
      <w:r>
        <w:rPr>
          <w:rFonts w:ascii="Times New Roman" w:hAnsi="Times New Roman"/>
          <w:sz w:val="21"/>
        </w:rPr>
        <w:t>[J]</w:t>
      </w:r>
      <w:r>
        <w:rPr>
          <w:sz w:val="21"/>
        </w:rPr>
        <w:t xml:space="preserve">. </w:t>
      </w:r>
      <w:r>
        <w:rPr>
          <w:rFonts w:ascii="SimSun" w:eastAsia="SimSun" w:hAnsi="SimSun" w:cs="SimSun" w:hint="eastAsia"/>
          <w:sz w:val="21"/>
          <w:lang w:eastAsia="zh-CN"/>
        </w:rPr>
        <w:t>中国公共卫生</w:t>
      </w:r>
      <w:r>
        <w:rPr>
          <w:sz w:val="21"/>
        </w:rPr>
        <w:t xml:space="preserve">, 2021, 37(11). </w:t>
      </w:r>
      <w:r>
        <w:rPr>
          <w:rFonts w:ascii="SimSun" w:eastAsia="SimSun" w:hAnsi="SimSun" w:cs="SimSun" w:hint="eastAsia"/>
          <w:sz w:val="21"/>
          <w:lang w:eastAsia="zh-CN"/>
        </w:rPr>
        <w:t>基金项目：财政部重大公共卫生专项</w:t>
      </w:r>
      <w:r>
        <w:rPr>
          <w:sz w:val="21"/>
        </w:rPr>
        <w:t>(131091106000150003)</w:t>
      </w:r>
    </w:p>
    <w:p>
      <w:pPr>
        <w:pStyle w:val="ListNumber"/>
        <w:numPr>
          <w:ilvl w:val="0"/>
          <w:numId w:val="10"/>
        </w:numPr>
        <w:spacing w:line="336" w:lineRule="auto" w:before="0" w:after="73"/>
        <w:jc w:val="both"/>
      </w:pPr>
      <w:r>
        <w:rPr>
          <w:sz w:val="21"/>
        </w:rPr>
        <w:t>[4]  SHERRILL S S, KULNIKOWSKI J M. Kinematic measures for assessing gait stability in elderly individuals: a systematic review</w:t>
      </w:r>
      <w:r>
        <w:rPr>
          <w:rFonts w:ascii="Times New Roman" w:hAnsi="Times New Roman"/>
          <w:sz w:val="21"/>
        </w:rPr>
        <w:t>[J]</w:t>
      </w:r>
      <w:r>
        <w:rPr>
          <w:sz w:val="21"/>
        </w:rPr>
        <w:t>. Gait &amp; Posture, 2011, 34(1): 9-16.</w:t>
      </w:r>
    </w:p>
    <w:p>
      <w:pPr>
        <w:pStyle w:val="ListNumber"/>
        <w:numPr>
          <w:ilvl w:val="0"/>
          <w:numId w:val="10"/>
        </w:numPr>
        <w:spacing w:line="336" w:lineRule="auto" w:before="0" w:after="73"/>
        <w:jc w:val="both"/>
      </w:pPr>
      <w:r>
        <w:rPr>
          <w:sz w:val="21"/>
        </w:rPr>
        <w:t>[5]  HAUSDORFF J M, NENONEN E M, RISSER D, et al. Gait variability as a measure of stability and fall risk in older adults</w:t>
      </w:r>
      <w:r>
        <w:rPr>
          <w:rFonts w:ascii="Times New Roman" w:hAnsi="Times New Roman"/>
          <w:sz w:val="21"/>
        </w:rPr>
        <w:t>[J]</w:t>
      </w:r>
      <w:r>
        <w:rPr>
          <w:sz w:val="21"/>
        </w:rPr>
        <w:t>. The Lancet, 2001, 357(9257): 635-636.</w:t>
      </w:r>
    </w:p>
    <w:p>
      <w:pPr>
        <w:pStyle w:val="ListNumber"/>
        <w:numPr>
          <w:ilvl w:val="0"/>
          <w:numId w:val="10"/>
        </w:numPr>
        <w:spacing w:line="336" w:lineRule="auto" w:before="0" w:after="73"/>
        <w:jc w:val="both"/>
      </w:pPr>
      <w:r>
        <w:rPr>
          <w:sz w:val="21"/>
        </w:rPr>
        <w:t>[6]  SIRAGY S P, NANTEL J. Quantifying dynamic balance in young, elderly and Parkinson's individuals: a systematic review</w:t>
      </w:r>
      <w:r>
        <w:rPr>
          <w:rFonts w:ascii="Times New Roman" w:hAnsi="Times New Roman"/>
          <w:sz w:val="21"/>
        </w:rPr>
        <w:t>[J]</w:t>
      </w:r>
      <w:r>
        <w:rPr>
          <w:sz w:val="21"/>
        </w:rPr>
        <w:t>. Frontiers in Aging Neuroscience, 2018, 10: 387.</w:t>
      </w:r>
    </w:p>
    <w:p>
      <w:pPr>
        <w:pStyle w:val="ListNumber"/>
        <w:numPr>
          <w:ilvl w:val="0"/>
          <w:numId w:val="10"/>
        </w:numPr>
        <w:spacing w:line="336" w:lineRule="auto" w:before="0" w:after="73"/>
        <w:jc w:val="both"/>
      </w:pPr>
      <w:r>
        <w:rPr>
          <w:sz w:val="21"/>
        </w:rPr>
        <w:t>[7]  SHERRINGTON C, FAIRHALL N J, WALLBANK G K, et al. Exercise for preventing falls in older people living in the community</w:t>
      </w:r>
      <w:r>
        <w:rPr>
          <w:rFonts w:ascii="Times New Roman" w:hAnsi="Times New Roman"/>
          <w:sz w:val="21"/>
        </w:rPr>
        <w:t>[J]</w:t>
      </w:r>
      <w:r>
        <w:rPr>
          <w:sz w:val="21"/>
        </w:rPr>
        <w:t>. Cochrane Database of Systematic Reviews, 2019, 1: CD012424.</w:t>
      </w:r>
    </w:p>
    <w:p>
      <w:pPr>
        <w:pStyle w:val="ListNumber"/>
        <w:numPr>
          <w:ilvl w:val="0"/>
          <w:numId w:val="10"/>
        </w:numPr>
        <w:spacing w:line="336" w:lineRule="auto" w:before="0" w:after="73"/>
        <w:jc w:val="both"/>
      </w:pPr>
      <w:r>
        <w:rPr>
          <w:sz w:val="21"/>
        </w:rPr>
        <w:t>[8]  ROBERTS O, CRUZ GONZALEZ P, KALIYA-PERUMAL A K, et al. 100 Normative Gait Profiles with 5-year fall tracking: Benchmark Dataset for Southeast Asian Movement Science</w:t>
      </w:r>
      <w:r>
        <w:rPr>
          <w:rFonts w:ascii="Times New Roman" w:hAnsi="Times New Roman"/>
          <w:sz w:val="21"/>
        </w:rPr>
        <w:t>[J]</w:t>
      </w:r>
      <w:r>
        <w:rPr>
          <w:sz w:val="21"/>
        </w:rPr>
        <w:t>. Scientific Data, 2026, 13(1).</w:t>
      </w:r>
    </w:p>
    <w:p>
      <w:pPr>
        <w:pStyle w:val="ListNumber"/>
        <w:numPr>
          <w:ilvl w:val="0"/>
          <w:numId w:val="10"/>
        </w:numPr>
        <w:spacing w:line="336" w:lineRule="auto" w:before="0" w:after="73"/>
        <w:jc w:val="both"/>
      </w:pPr>
      <w:r>
        <w:rPr>
          <w:sz w:val="21"/>
        </w:rPr>
        <w:t>[9]  A DATABASE WITH FRAILTY, FUNCTIONAL AND INERTIAL GAIT METRICS FOR THE RESEARCH OF FALL CAUSES IN OLDER ADULTS</w:t>
      </w:r>
      <w:r>
        <w:rPr>
          <w:rFonts w:ascii="Times New Roman" w:hAnsi="Times New Roman"/>
          <w:sz w:val="21"/>
        </w:rPr>
        <w:t>[J]</w:t>
      </w:r>
      <w:r>
        <w:rPr>
          <w:sz w:val="21"/>
        </w:rPr>
        <w:t>. Scientific Data, 2023, 10.</w:t>
      </w:r>
    </w:p>
    <w:p>
      <w:pPr>
        <w:pStyle w:val="ListNumber"/>
        <w:numPr>
          <w:ilvl w:val="0"/>
          <w:numId w:val="10"/>
        </w:numPr>
        <w:spacing w:line="336" w:lineRule="auto" w:before="0" w:after="73"/>
        <w:jc w:val="both"/>
      </w:pPr>
      <w:r>
        <w:rPr>
          <w:sz w:val="21"/>
        </w:rPr>
        <w:t xml:space="preserve">[10]  </w:t>
      </w:r>
      <w:r>
        <w:rPr>
          <w:rFonts w:ascii="SimSun" w:eastAsia="SimSun" w:hAnsi="SimSun" w:cs="SimSun" w:hint="eastAsia"/>
          <w:sz w:val="21"/>
          <w:lang w:eastAsia="zh-CN"/>
        </w:rPr>
        <w:t>谢恩礼</w:t>
      </w:r>
      <w:r>
        <w:rPr>
          <w:sz w:val="21"/>
        </w:rPr>
        <w:t xml:space="preserve">, </w:t>
      </w:r>
      <w:r>
        <w:rPr>
          <w:rFonts w:ascii="SimSun" w:eastAsia="SimSun" w:hAnsi="SimSun" w:cs="SimSun" w:hint="eastAsia"/>
          <w:sz w:val="21"/>
          <w:lang w:eastAsia="zh-CN"/>
        </w:rPr>
        <w:t>詹建国</w:t>
      </w:r>
      <w:r>
        <w:rPr>
          <w:sz w:val="21"/>
        </w:rPr>
        <w:t xml:space="preserve">. </w:t>
      </w:r>
      <w:r>
        <w:rPr>
          <w:rFonts w:ascii="SimSun" w:eastAsia="SimSun" w:hAnsi="SimSun" w:cs="SimSun" w:hint="eastAsia"/>
          <w:sz w:val="21"/>
          <w:lang w:eastAsia="zh-CN"/>
        </w:rPr>
        <w:t>步态生物力学大数据分析研究进展</w:t>
      </w:r>
      <w:r>
        <w:rPr>
          <w:rFonts w:ascii="Times New Roman" w:hAnsi="Times New Roman"/>
          <w:sz w:val="21"/>
        </w:rPr>
        <w:t>[J]</w:t>
      </w:r>
      <w:r>
        <w:rPr>
          <w:sz w:val="21"/>
        </w:rPr>
        <w:t xml:space="preserve">. </w:t>
      </w:r>
      <w:r>
        <w:rPr>
          <w:rFonts w:ascii="SimSun" w:eastAsia="SimSun" w:hAnsi="SimSun" w:cs="SimSun" w:hint="eastAsia"/>
          <w:sz w:val="21"/>
          <w:lang w:eastAsia="zh-CN"/>
        </w:rPr>
        <w:t>医用生物力学</w:t>
      </w:r>
      <w:r>
        <w:rPr>
          <w:sz w:val="21"/>
        </w:rPr>
        <w:t>, 2021, 36(6): 984-989.</w:t>
      </w:r>
    </w:p>
    <w:p>
      <w:pPr>
        <w:pStyle w:val="ListNumber"/>
        <w:numPr>
          <w:ilvl w:val="0"/>
          <w:numId w:val="10"/>
        </w:numPr>
        <w:spacing w:line="336" w:lineRule="auto" w:before="0" w:after="73"/>
        <w:jc w:val="both"/>
      </w:pPr>
      <w:r>
        <w:rPr>
          <w:sz w:val="21"/>
        </w:rPr>
        <w:t xml:space="preserve">[11]  </w:t>
      </w:r>
      <w:r>
        <w:rPr>
          <w:rFonts w:ascii="SimSun" w:eastAsia="SimSun" w:hAnsi="SimSun" w:cs="SimSun" w:hint="eastAsia"/>
          <w:sz w:val="21"/>
          <w:lang w:eastAsia="zh-CN"/>
        </w:rPr>
        <w:t>张红倩</w:t>
      </w:r>
      <w:r>
        <w:rPr>
          <w:sz w:val="21"/>
        </w:rPr>
        <w:t xml:space="preserve">, </w:t>
      </w:r>
      <w:r>
        <w:rPr>
          <w:rFonts w:ascii="SimSun" w:eastAsia="SimSun" w:hAnsi="SimSun" w:cs="SimSun" w:hint="eastAsia"/>
          <w:sz w:val="21"/>
          <w:lang w:eastAsia="zh-CN"/>
        </w:rPr>
        <w:t>王巍</w:t>
      </w:r>
      <w:r>
        <w:rPr>
          <w:sz w:val="21"/>
        </w:rPr>
        <w:t xml:space="preserve">, </w:t>
      </w:r>
      <w:r>
        <w:rPr>
          <w:rFonts w:ascii="SimSun" w:eastAsia="SimSun" w:hAnsi="SimSun" w:cs="SimSun" w:hint="eastAsia"/>
          <w:sz w:val="21"/>
          <w:lang w:eastAsia="zh-CN"/>
        </w:rPr>
        <w:t>代新年</w:t>
      </w:r>
      <w:r>
        <w:rPr>
          <w:sz w:val="21"/>
        </w:rPr>
        <w:t xml:space="preserve">, </w:t>
      </w:r>
      <w:r>
        <w:rPr>
          <w:rFonts w:ascii="SimSun" w:eastAsia="SimSun" w:hAnsi="SimSun" w:cs="SimSun" w:hint="eastAsia"/>
          <w:sz w:val="21"/>
          <w:lang w:eastAsia="zh-CN"/>
        </w:rPr>
        <w:t>等</w:t>
      </w:r>
      <w:r>
        <w:rPr>
          <w:sz w:val="21"/>
        </w:rPr>
        <w:t xml:space="preserve">. </w:t>
      </w:r>
      <w:r>
        <w:rPr>
          <w:rFonts w:ascii="SimSun" w:eastAsia="SimSun" w:hAnsi="SimSun" w:cs="SimSun" w:hint="eastAsia"/>
          <w:sz w:val="21"/>
          <w:lang w:eastAsia="zh-CN"/>
        </w:rPr>
        <w:t>衰弱状态和步行速度对老年人下肢关节运动学特征的影响</w:t>
      </w:r>
      <w:r>
        <w:rPr>
          <w:rFonts w:ascii="Times New Roman" w:hAnsi="Times New Roman"/>
          <w:sz w:val="21"/>
        </w:rPr>
        <w:t>[J]</w:t>
      </w:r>
      <w:r>
        <w:rPr>
          <w:sz w:val="21"/>
        </w:rPr>
        <w:t xml:space="preserve">. </w:t>
      </w:r>
      <w:r>
        <w:rPr>
          <w:rFonts w:ascii="SimSun" w:eastAsia="SimSun" w:hAnsi="SimSun" w:cs="SimSun" w:hint="eastAsia"/>
          <w:sz w:val="21"/>
          <w:lang w:eastAsia="zh-CN"/>
        </w:rPr>
        <w:t>医用生物力学</w:t>
      </w:r>
      <w:r>
        <w:rPr>
          <w:sz w:val="21"/>
        </w:rPr>
        <w:t>, 2022, 37(5): 832-838.</w:t>
      </w:r>
    </w:p>
    <w:p>
      <w:bookmarkStart w:id="3" w:name="fn-1"/>
      <w:pPr>
        <w:pStyle w:val="ListNumber"/>
        <w:numPr>
          <w:ilvl w:val="0"/>
          <w:numId w:val="11"/>
        </w:numPr>
      </w:pPr>
      <w:bookmarkEnd w:id="3"/>
      <w:r>
        <w:t xml:space="preserve">McGibbon </w:t>
      </w:r>
      <w:r>
        <w:rPr>
          <w:rFonts w:ascii="SimSun" w:eastAsia="SimSun" w:hAnsi="SimSun" w:cs="SimSun" w:hint="eastAsia"/>
          <w:lang w:eastAsia="zh-CN"/>
        </w:rPr>
        <w:t>与</w:t>
      </w:r>
      <w:r>
        <w:t xml:space="preserve"> Krebs </w:t>
      </w:r>
      <w:r>
        <w:rPr>
          <w:rFonts w:ascii="SimSun" w:eastAsia="SimSun" w:hAnsi="SimSun" w:cs="SimSun" w:hint="eastAsia"/>
          <w:lang w:eastAsia="zh-CN"/>
        </w:rPr>
        <w:t>对</w:t>
      </w:r>
      <w:r>
        <w:t xml:space="preserve"> 93 </w:t>
      </w:r>
      <w:r>
        <w:rPr>
          <w:rFonts w:ascii="SimSun" w:eastAsia="SimSun" w:hAnsi="SimSun" w:cs="SimSun" w:hint="eastAsia"/>
          <w:lang w:eastAsia="zh-CN"/>
        </w:rPr>
        <w:t>名</w:t>
      </w:r>
      <w:r>
        <w:t xml:space="preserve"> 20—90 </w:t>
      </w:r>
      <w:r>
        <w:rPr>
          <w:rFonts w:ascii="SimSun" w:eastAsia="SimSun" w:hAnsi="SimSun" w:cs="SimSun" w:hint="eastAsia"/>
          <w:lang w:eastAsia="zh-CN"/>
        </w:rPr>
        <w:t>岁健康成人的横断面分析显示，老年人下背部活动度小于青年人，但两者在骨盆</w:t>
      </w:r>
      <w:r>
        <w:t>—</w:t>
      </w:r>
      <w:r>
        <w:rPr>
          <w:rFonts w:ascii="SimSun" w:eastAsia="SimSun" w:hAnsi="SimSun" w:cs="SimSun" w:hint="eastAsia"/>
          <w:lang w:eastAsia="zh-CN"/>
        </w:rPr>
        <w:t>躯干角速度相位上存在显著差异，相位零点约在</w:t>
      </w:r>
      <w:r>
        <w:t xml:space="preserve"> 55 </w:t>
      </w:r>
      <w:r>
        <w:rPr>
          <w:rFonts w:ascii="SimSun" w:eastAsia="SimSun" w:hAnsi="SimSun" w:cs="SimSun" w:hint="eastAsia"/>
          <w:lang w:eastAsia="zh-CN"/>
        </w:rPr>
        <w:t>岁；老年人改以躯干领先的策略导致下背部肌肉离心控制能耗增加，可能降低其从动态不稳定中恢复的能力。</w:t>
      </w:r>
    </w:p>
    <w:p>
      <w:bookmarkStart w:id="4" w:name="fn-2"/>
      <w:pPr>
        <w:pStyle w:val="ListNumber"/>
        <w:numPr>
          <w:ilvl w:val="0"/>
          <w:numId w:val="11"/>
        </w:numPr>
      </w:pPr>
      <w:bookmarkEnd w:id="4"/>
      <w:r>
        <w:t xml:space="preserve">Horak </w:t>
      </w:r>
      <w:r>
        <w:rPr>
          <w:rFonts w:ascii="SimSun" w:eastAsia="SimSun" w:hAnsi="SimSun" w:cs="SimSun" w:hint="eastAsia"/>
          <w:lang w:eastAsia="zh-CN"/>
        </w:rPr>
        <w:t>将姿势控制的功能目标区分为姿势定向（</w:t>
      </w:r>
      <w:r>
        <w:t>postural orientation</w:t>
      </w:r>
      <w:r>
        <w:rPr>
          <w:rFonts w:ascii="SimSun" w:eastAsia="SimSun" w:hAnsi="SimSun" w:cs="SimSun" w:hint="eastAsia"/>
          <w:lang w:eastAsia="zh-CN"/>
        </w:rPr>
        <w:t>）与姿势平衡（</w:t>
      </w:r>
      <w:r>
        <w:t>postural equilibrium</w:t>
      </w:r>
      <w:r>
        <w:rPr>
          <w:rFonts w:ascii="SimSun" w:eastAsia="SimSun" w:hAnsi="SimSun" w:cs="SimSun" w:hint="eastAsia"/>
          <w:lang w:eastAsia="zh-CN"/>
        </w:rPr>
        <w:t>）两类，并指出任一环节的退化均产生情境特异性的不稳定。</w:t>
      </w:r>
    </w:p>
    <w:p>
      <w:bookmarkStart w:id="5" w:name="fn-3"/>
      <w:pPr>
        <w:pStyle w:val="ListNumber"/>
        <w:numPr>
          <w:ilvl w:val="0"/>
          <w:numId w:val="11"/>
        </w:numPr>
      </w:pPr>
      <w:bookmarkEnd w:id="5"/>
      <w:r>
        <w:rPr>
          <w:rFonts w:ascii="SimSun" w:eastAsia="SimSun" w:hAnsi="SimSun" w:cs="SimSun" w:hint="eastAsia"/>
          <w:lang w:eastAsia="zh-CN"/>
        </w:rPr>
        <w:t>该研究基于老年期重点疾病预防和干预项目（</w:t>
      </w:r>
      <w:r>
        <w:t>PINDEC</w:t>
      </w:r>
      <w:r>
        <w:rPr>
          <w:rFonts w:ascii="SimSun" w:eastAsia="SimSun" w:hAnsi="SimSun" w:cs="SimSun" w:hint="eastAsia"/>
          <w:lang w:eastAsia="zh-CN"/>
        </w:rPr>
        <w:t>）</w:t>
      </w:r>
      <w:r>
        <w:t xml:space="preserve">2018 </w:t>
      </w:r>
      <w:r>
        <w:rPr>
          <w:rFonts w:ascii="SimSun" w:eastAsia="SimSun" w:hAnsi="SimSun" w:cs="SimSun" w:hint="eastAsia"/>
          <w:lang w:eastAsia="zh-CN"/>
        </w:rPr>
        <w:t>年</w:t>
      </w:r>
      <w:r>
        <w:t xml:space="preserve"> 7—10 </w:t>
      </w:r>
      <w:r>
        <w:rPr>
          <w:rFonts w:ascii="SimSun" w:eastAsia="SimSun" w:hAnsi="SimSun" w:cs="SimSun" w:hint="eastAsia"/>
          <w:lang w:eastAsia="zh-CN"/>
        </w:rPr>
        <w:t>月北京、上海、湖北、四川、云南、广西</w:t>
      </w:r>
      <w:r>
        <w:t xml:space="preserve"> 6 </w:t>
      </w:r>
      <w:r>
        <w:rPr>
          <w:rFonts w:ascii="SimSun" w:eastAsia="SimSun" w:hAnsi="SimSun" w:cs="SimSun" w:hint="eastAsia"/>
          <w:lang w:eastAsia="zh-CN"/>
        </w:rPr>
        <w:t>个地区</w:t>
      </w:r>
      <w:r>
        <w:t xml:space="preserve"> 21 084 </w:t>
      </w:r>
      <w:r>
        <w:rPr>
          <w:rFonts w:ascii="SimSun" w:eastAsia="SimSun" w:hAnsi="SimSun" w:cs="SimSun" w:hint="eastAsia"/>
          <w:lang w:eastAsia="zh-CN"/>
        </w:rPr>
        <w:t>名</w:t>
      </w:r>
      <w:r>
        <w:t xml:space="preserve"> ≥60 </w:t>
      </w:r>
      <w:r>
        <w:rPr>
          <w:rFonts w:ascii="SimSun" w:eastAsia="SimSun" w:hAnsi="SimSun" w:cs="SimSun" w:hint="eastAsia"/>
          <w:lang w:eastAsia="zh-CN"/>
        </w:rPr>
        <w:t>岁社区老年人的追踪随访数据，跌倒发生率与受伤比例均经复杂加权调整。</w:t>
      </w:r>
    </w:p>
    <w:p>
      <w:bookmarkStart w:id="6" w:name="fn-4"/>
      <w:pPr>
        <w:pStyle w:val="ListNumber"/>
        <w:numPr>
          <w:ilvl w:val="0"/>
          <w:numId w:val="11"/>
        </w:numPr>
      </w:pPr>
      <w:bookmarkEnd w:id="6"/>
      <w:r>
        <w:rPr>
          <w:rFonts w:ascii="SimSun" w:eastAsia="SimSun" w:hAnsi="SimSun" w:cs="SimSun" w:hint="eastAsia"/>
          <w:lang w:eastAsia="zh-CN"/>
        </w:rPr>
        <w:t>见文献</w:t>
      </w:r>
      <w:r>
        <w:t xml:space="preserve"> [1]</w:t>
      </w:r>
      <w:r>
        <w:rPr>
          <w:rFonts w:ascii="SimSun" w:eastAsia="SimSun" w:hAnsi="SimSun" w:cs="SimSun" w:hint="eastAsia"/>
          <w:lang w:eastAsia="zh-CN"/>
        </w:rPr>
        <w:t>。</w:t>
      </w:r>
    </w:p>
    <w:p>
      <w:bookmarkStart w:id="7" w:name="fn-5"/>
      <w:pPr>
        <w:pStyle w:val="ListNumber"/>
        <w:numPr>
          <w:ilvl w:val="0"/>
          <w:numId w:val="11"/>
        </w:numPr>
      </w:pPr>
      <w:bookmarkEnd w:id="7"/>
      <w:r>
        <w:rPr>
          <w:rFonts w:ascii="SimSun" w:eastAsia="SimSun" w:hAnsi="SimSun" w:cs="SimSun" w:hint="eastAsia"/>
          <w:lang w:eastAsia="zh-CN"/>
        </w:rPr>
        <w:t>此类研究的分析单元为</w:t>
      </w:r>
      <w:r>
        <w:t>“</w:t>
      </w:r>
      <w:r>
        <w:rPr>
          <w:rFonts w:ascii="SimSun" w:eastAsia="SimSun" w:hAnsi="SimSun" w:cs="SimSun" w:hint="eastAsia"/>
          <w:lang w:eastAsia="zh-CN"/>
        </w:rPr>
        <w:t>受试者</w:t>
      </w:r>
      <w:r>
        <w:t>”</w:t>
      </w:r>
      <w:r>
        <w:rPr>
          <w:rFonts w:ascii="SimSun" w:eastAsia="SimSun" w:hAnsi="SimSun" w:cs="SimSun" w:hint="eastAsia"/>
          <w:lang w:eastAsia="zh-CN"/>
        </w:rPr>
        <w:t>，输出为组间风险差异</w:t>
      </w:r>
      <w:hyperlink w:anchor="fn-6">
        <w:r>
          <w:rPr>
            <w:color w:val="0000EE"/>
            <w:u w:val="single"/>
          </w:rPr>
          <w:t>[4]</w:t>
        </w:r>
      </w:hyperlink>
      <w:r>
        <w:rPr>
          <w:rFonts w:ascii="SimSun" w:eastAsia="SimSun" w:hAnsi="SimSun" w:cs="SimSun" w:hint="eastAsia"/>
          <w:lang w:eastAsia="zh-CN"/>
        </w:rPr>
        <w:t>；与之对应的可穿戴跌倒检测研究多以加速度幅值为判据。两条路径的对比见</w:t>
      </w:r>
      <w:r>
        <w:t xml:space="preserve"> 2.2 </w:t>
      </w:r>
      <w:r>
        <w:rPr>
          <w:rFonts w:ascii="SimSun" w:eastAsia="SimSun" w:hAnsi="SimSun" w:cs="SimSun" w:hint="eastAsia"/>
          <w:lang w:eastAsia="zh-CN"/>
        </w:rPr>
        <w:t>节。</w:t>
      </w:r>
    </w:p>
    <w:p>
      <w:bookmarkStart w:id="8" w:name="fn-6"/>
      <w:pPr>
        <w:pStyle w:val="ListNumber"/>
        <w:numPr>
          <w:ilvl w:val="0"/>
          <w:numId w:val="11"/>
        </w:numPr>
      </w:pPr>
      <w:bookmarkEnd w:id="8"/>
      <w:r>
        <w:rPr>
          <w:rFonts w:ascii="SimSun" w:eastAsia="SimSun" w:hAnsi="SimSun" w:cs="SimSun" w:hint="eastAsia"/>
          <w:lang w:eastAsia="zh-CN"/>
        </w:rPr>
        <w:t>关于跨步变异性与跌倒风险的关联，早期前瞻性研究报告步幅时间变异性在后续跌倒者中显著升高，参见</w:t>
      </w:r>
      <w:r>
        <w:t xml:space="preserve"> Hausdorff </w:t>
      </w:r>
      <w:r>
        <w:rPr>
          <w:rFonts w:ascii="SimSun" w:eastAsia="SimSun" w:hAnsi="SimSun" w:cs="SimSun" w:hint="eastAsia"/>
          <w:lang w:eastAsia="zh-CN"/>
        </w:rPr>
        <w:t>等</w:t>
      </w:r>
      <w:r>
        <w:t xml:space="preserve"> 2001 </w:t>
      </w:r>
      <w:r>
        <w:rPr>
          <w:rFonts w:ascii="SimSun" w:eastAsia="SimSun" w:hAnsi="SimSun" w:cs="SimSun" w:hint="eastAsia"/>
          <w:lang w:eastAsia="zh-CN"/>
        </w:rPr>
        <w:t>年</w:t>
      </w:r>
      <w:r>
        <w:t xml:space="preserve"> Lancet </w:t>
      </w:r>
      <w:r>
        <w:rPr>
          <w:rFonts w:ascii="SimSun" w:eastAsia="SimSun" w:hAnsi="SimSun" w:cs="SimSun" w:hint="eastAsia"/>
          <w:lang w:eastAsia="zh-CN"/>
        </w:rPr>
        <w:t>报道；亦有系统综述指出时序指标的线性变异性在区分跌倒者与非跌倒者上最具判别力。</w:t>
      </w:r>
    </w:p>
    <w:p>
      <w:pPr>
        <w:spacing w:before="0" w:after="73"/>
        <w:ind w:firstLine="0"/>
      </w:pPr>
      <w:r>
        <w:rPr>
          <w:rFonts w:ascii="SimSun" w:eastAsia="SimSun" w:hAnsi="SimSun" w:cs="SimSun" w:hint="eastAsia"/>
          <w:sz w:val="21"/>
          <w:lang w:eastAsia="zh-CN"/>
        </w:rPr>
        <w:t>投稿日期：待定　　修稿日期：待定</w:t>
      </w:r>
    </w:p>
    <w:p>
      <w:pPr>
        <w:spacing w:before="0" w:after="73"/>
        <w:ind w:firstLine="0"/>
      </w:pPr>
      <w:r>
        <w:rPr>
          <w:rFonts w:ascii="SimSun" w:eastAsia="SimSun" w:hAnsi="SimSun" w:cs="SimSun" w:hint="eastAsia"/>
          <w:sz w:val="21"/>
          <w:lang w:eastAsia="zh-CN"/>
        </w:rPr>
        <w:t>基金项目：待定（项目基金信息尚未确定）</w:t>
      </w:r>
    </w:p>
    <w:p>
      <w:pPr>
        <w:spacing w:before="0" w:after="73"/>
        <w:ind w:firstLine="0"/>
      </w:pPr>
      <w:r>
        <w:rPr>
          <w:rFonts w:ascii="SimSun" w:eastAsia="SimSun" w:hAnsi="SimSun" w:cs="SimSun" w:hint="eastAsia"/>
          <w:sz w:val="21"/>
          <w:lang w:eastAsia="zh-CN"/>
        </w:rPr>
        <w:t>作者简介：宗寿鑫（</w:t>
      </w:r>
      <w:r>
        <w:rPr>
          <w:sz w:val="21"/>
        </w:rPr>
        <w:t xml:space="preserve">19××— </w:t>
      </w:r>
      <w:r>
        <w:rPr>
          <w:rFonts w:ascii="SimSun" w:eastAsia="SimSun" w:hAnsi="SimSun" w:cs="SimSun" w:hint="eastAsia"/>
          <w:sz w:val="21"/>
          <w:lang w:eastAsia="zh-CN"/>
        </w:rPr>
        <w:t>），男，</w:t>
      </w:r>
      <w:r>
        <w:rPr>
          <w:sz w:val="21"/>
        </w:rPr>
        <w:t>××</w:t>
      </w:r>
      <w:r>
        <w:rPr>
          <w:rFonts w:ascii="SimSun" w:eastAsia="SimSun" w:hAnsi="SimSun" w:cs="SimSun" w:hint="eastAsia"/>
          <w:sz w:val="21"/>
          <w:lang w:eastAsia="zh-CN"/>
        </w:rPr>
        <w:t>人，</w:t>
      </w:r>
      <w:r>
        <w:rPr>
          <w:sz w:val="21"/>
        </w:rPr>
        <w:t>××</w:t>
      </w:r>
      <w:r>
        <w:rPr>
          <w:rFonts w:ascii="SimSun" w:eastAsia="SimSun" w:hAnsi="SimSun" w:cs="SimSun" w:hint="eastAsia"/>
          <w:sz w:val="21"/>
          <w:lang w:eastAsia="zh-CN"/>
        </w:rPr>
        <w:t>，博士，研究方向为</w:t>
      </w:r>
      <w:r>
        <w:rPr>
          <w:sz w:val="21"/>
        </w:rPr>
        <w:t>××</w:t>
      </w:r>
      <w:r>
        <w:rPr>
          <w:rFonts w:ascii="SimSun" w:eastAsia="SimSun" w:hAnsi="SimSun" w:cs="SimSun" w:hint="eastAsia"/>
          <w:sz w:val="21"/>
          <w:lang w:eastAsia="zh-CN"/>
        </w:rPr>
        <w:t>。阮槟（</w:t>
      </w:r>
      <w:r>
        <w:rPr>
          <w:sz w:val="21"/>
        </w:rPr>
        <w:t xml:space="preserve">19××— </w:t>
      </w:r>
      <w:r>
        <w:rPr>
          <w:rFonts w:ascii="SimSun" w:eastAsia="SimSun" w:hAnsi="SimSun" w:cs="SimSun" w:hint="eastAsia"/>
          <w:sz w:val="21"/>
          <w:lang w:eastAsia="zh-CN"/>
        </w:rPr>
        <w:t>），男，</w:t>
      </w:r>
      <w:r>
        <w:rPr>
          <w:sz w:val="21"/>
        </w:rPr>
        <w:t>××</w:t>
      </w:r>
      <w:r>
        <w:rPr>
          <w:rFonts w:ascii="SimSun" w:eastAsia="SimSun" w:hAnsi="SimSun" w:cs="SimSun" w:hint="eastAsia"/>
          <w:sz w:val="21"/>
          <w:lang w:eastAsia="zh-CN"/>
        </w:rPr>
        <w:t>人，</w:t>
      </w:r>
      <w:r>
        <w:rPr>
          <w:sz w:val="21"/>
        </w:rPr>
        <w:t>××</w:t>
      </w:r>
      <w:r>
        <w:rPr>
          <w:rFonts w:ascii="SimSun" w:eastAsia="SimSun" w:hAnsi="SimSun" w:cs="SimSun" w:hint="eastAsia"/>
          <w:sz w:val="21"/>
          <w:lang w:eastAsia="zh-CN"/>
        </w:rPr>
        <w:t>，博士，研究方向为运动防护。信息待按实际出生年、职称与籍贯补全。</w:t>
      </w:r>
    </w:p>
    <w:p>
      <w:pPr>
        <w:spacing w:before="0" w:after="73"/>
        <w:ind w:firstLine="0"/>
      </w:pPr>
      <w:r>
        <w:rPr>
          <w:rFonts w:ascii="SimSun" w:eastAsia="SimSun" w:hAnsi="SimSun" w:cs="SimSun" w:hint="eastAsia"/>
          <w:sz w:val="21"/>
          <w:lang w:eastAsia="zh-CN"/>
        </w:rPr>
        <w:t>通信作者：待定，</w:t>
      </w:r>
      <w:r>
        <w:rPr>
          <w:sz w:val="21"/>
        </w:rPr>
        <w:t>E-mail</w:t>
      </w:r>
      <w:r>
        <w:rPr>
          <w:rFonts w:ascii="SimSun" w:eastAsia="SimSun" w:hAnsi="SimSun" w:cs="SimSun" w:hint="eastAsia"/>
          <w:sz w:val="21"/>
          <w:lang w:eastAsia="zh-CN"/>
        </w:rPr>
        <w:t>：待定</w:t>
      </w:r>
      <w:r/>
      <w:r/>
      <w:r/>
    </w:p>
    <w:sectPr w:rsidR="00FC693F" w:rsidRPr="0006063C" w:rsidSect="00034616">
      <w:footerReference w:type="default" r:id="rId9"/>
      <w:pgSz w:w="11906" w:h="16838"/>
      <w:pgMar w:top="1440" w:right="1417" w:bottom="1440"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36" w:val="center"/>
        <w:tab w:pos="9072"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6" w:lineRule="auto"/>
      <w:ind w:firstLine="480"/>
      <w:jc w:val="both"/>
    </w:pPr>
    <w:rPr>
      <w:rFonts w:ascii="SimSun" w:hAnsi="SimSun" w:eastAsia="SimSu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SimHei" w:hAnsi="SimHei" w:eastAsia="Sim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SimHei" w:hAnsi="SimHei"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