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264" w:lineRule="auto" w:before="0" w:after="80"/>
        <w:jc w:val="center"/>
      </w:pPr>
      <w:r>
        <w:rPr>
          <w:rFonts w:ascii="Times New Roman" w:hAnsi="Times New Roman" w:eastAsia="黑体"/>
          <w:b/>
          <w:color w:val="1A2E3C"/>
          <w:sz w:val="52"/>
        </w:rPr>
        <w:t>安行护腰</w:t>
      </w:r>
    </w:p>
    <w:p>
      <w:pPr>
        <w:spacing w:line="288" w:lineRule="auto" w:before="0" w:after="120"/>
        <w:jc w:val="center"/>
      </w:pPr>
      <w:r>
        <w:rPr>
          <w:rFonts w:ascii="Times New Roman" w:hAnsi="Times New Roman" w:eastAsia="黑体"/>
          <w:b/>
          <w:color w:val="0E6FA8"/>
          <w:sz w:val="38"/>
        </w:rPr>
        <w:t>社区落地标准化作业手册</w:t>
      </w:r>
    </w:p>
    <w:p>
      <w:pPr>
        <w:spacing w:line="360" w:lineRule="auto" w:before="0" w:after="520"/>
        <w:jc w:val="center"/>
      </w:pPr>
      <w:r>
        <w:rPr>
          <w:rFonts w:ascii="Times New Roman" w:hAnsi="Times New Roman" w:eastAsia="宋体"/>
          <w:b w:val="0"/>
          <w:color w:val="606670"/>
          <w:sz w:val="20"/>
        </w:rPr>
        <w:t>Community Landing Standard Operating Manual</w:t>
      </w:r>
    </w:p>
    <w:p>
      <w:pPr>
        <w:spacing w:line="360" w:lineRule="auto" w:before="0" w:after="80"/>
        <w:jc w:val="center"/>
      </w:pPr>
      <w:r>
        <w:rPr>
          <w:rFonts w:ascii="Times New Roman" w:hAnsi="Times New Roman" w:eastAsia="宋体"/>
          <w:b w:val="0"/>
          <w:color w:val="1A2E3C"/>
          <w:sz w:val="24"/>
        </w:rPr>
        <w:t>面向社区居家养老的主动防跌服务体系</w:t>
      </w:r>
    </w:p>
    <w:p>
      <w:pPr>
        <w:spacing w:line="360" w:lineRule="auto" w:before="0" w:after="800"/>
        <w:jc w:val="center"/>
      </w:pPr>
      <w:r>
        <w:rPr>
          <w:rFonts w:ascii="Times New Roman" w:hAnsi="Times New Roman" w:eastAsia="宋体"/>
          <w:b w:val="0"/>
          <w:color w:val="606670"/>
          <w:sz w:val="21"/>
        </w:rPr>
        <w:t>—— 一套不依赖个人经验、可被他人照做的标准动作 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/>
                <w:color w:val="1A2E3C"/>
                <w:sz w:val="21"/>
              </w:rPr>
              <w:t>文件名称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sz w:val="21"/>
              </w:rPr>
              <w:t>安行护腰 · 社区落地标准化作业手册</w:t>
            </w:r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/>
                <w:color w:val="1A2E3C"/>
                <w:sz w:val="21"/>
              </w:rPr>
              <w:t>版本号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/>
                <w:color w:val="1A2E3C"/>
                <w:sz w:val="21"/>
              </w:rPr>
              <w:t>编制单位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sz w:val="21"/>
              </w:rPr>
              <w:t>安行护腰项目组 × 北京体育大学体育工程学院</w:t>
            </w:r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/>
                <w:color w:val="1A2E3C"/>
                <w:sz w:val="21"/>
              </w:rPr>
              <w:t>适用范围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sz w:val="21"/>
              </w:rPr>
              <w:t>社区养老服务驿站、区域养老服务中心及其运营方</w:t>
            </w:r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/>
                <w:color w:val="1A2E3C"/>
                <w:sz w:val="21"/>
              </w:rPr>
              <w:t>对应业务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sz w:val="21"/>
              </w:rPr>
              <w:t>社区防跌安全服务（对应服务闭环七环节）</w:t>
            </w:r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/>
                <w:color w:val="1A2E3C"/>
                <w:sz w:val="21"/>
              </w:rPr>
              <w:t>单点位工时基准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sz w:val="21"/>
              </w:rPr>
              <w:t>约 8 人日 / 社区 / 年（与单位经济模型一致）</w:t>
            </w:r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/>
                <w:color w:val="1A2E3C"/>
                <w:sz w:val="21"/>
              </w:rPr>
              <w:t>项目阶段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sz w:val="21"/>
              </w:rPr>
              <w:t>概念验证阶段，技术成熟度 TRL 3–4</w:t>
            </w:r>
          </w:p>
        </w:tc>
      </w:tr>
      <w:tr>
        <w:tc>
          <w:tcPr>
            <w:tcW w:type="dxa" w:w="1928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/>
                <w:color w:val="1A2E3C"/>
                <w:sz w:val="21"/>
              </w:rPr>
              <w:t>编制日期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年 10 月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519"/>
      </w:tblGrid>
      <w:tr>
        <w:tc>
          <w:tcPr>
            <w:tcW w:type="dxa" w:w="9519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文件性质声明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本手册为安行护腰项目的服务流程标准化文档，用于证明社区防跌安全服务模式具备被他人照做执行的条件。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本手册不含任何医学诊断、治疗或疾病风险预警内容。手册中涉及的风险分级结果，其性质是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照护资源配置建议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，用于帮助社区区分需每日探访、需助行辅具适配、仅需月度回访的不同人群，不构成对任何个体的健康结论。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手册引用的性能数值（冲击值、识别准确率、误报率等）性质均为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设计目标或待验证指标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，而非实测结果。项目当前处于概念验证阶段，集成样机试制尚未开展。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目录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408" w:lineRule="auto" w:after="20"/>
      </w:pPr>
      <w:r>
        <w:rPr>
          <w:rFonts w:ascii="Times New Roman" w:hAnsi="Times New Roman" w:eastAsia="宋体"/>
          <w:b/>
          <w:color w:val="1A2E3C"/>
          <w:sz w:val="21"/>
        </w:rPr>
        <w:t>0　手册说明：为什么可复制性不等于机构数量</w:t>
      </w:r>
    </w:p>
    <w:p>
      <w:pPr>
        <w:spacing w:line="408" w:lineRule="auto" w:after="20"/>
      </w:pPr>
      <w:r>
        <w:rPr>
          <w:rFonts w:ascii="Times New Roman" w:hAnsi="Times New Roman" w:eastAsia="宋体"/>
          <w:b/>
          <w:color w:val="1A2E3C"/>
          <w:sz w:val="21"/>
        </w:rPr>
        <w:t>1　适用范围与角色分工</w:t>
      </w:r>
    </w:p>
    <w:p>
      <w:pPr>
        <w:spacing w:line="408" w:lineRule="auto" w:after="20"/>
      </w:pPr>
      <w:r>
        <w:rPr>
          <w:rFonts w:ascii="Times New Roman" w:hAnsi="Times New Roman" w:eastAsia="宋体"/>
          <w:b/>
          <w:color w:val="1A2E3C"/>
          <w:sz w:val="21"/>
        </w:rPr>
        <w:t>2　五阶段作业流程总览</w:t>
      </w:r>
    </w:p>
    <w:p>
      <w:pPr>
        <w:spacing w:line="408" w:lineRule="auto" w:after="20"/>
      </w:pPr>
      <w:r>
        <w:rPr>
          <w:rFonts w:ascii="Times New Roman" w:hAnsi="Times New Roman" w:eastAsia="宋体"/>
          <w:sz w:val="21"/>
        </w:rPr>
        <w:t>2.1　进场期（第 1–4 周）</w:t>
      </w:r>
    </w:p>
    <w:p>
      <w:pPr>
        <w:spacing w:line="408" w:lineRule="auto" w:after="20"/>
      </w:pPr>
      <w:r>
        <w:rPr>
          <w:rFonts w:ascii="Times New Roman" w:hAnsi="Times New Roman" w:eastAsia="宋体"/>
          <w:sz w:val="21"/>
        </w:rPr>
        <w:t>2.2　评估期（第 5–8 周）</w:t>
      </w:r>
    </w:p>
    <w:p>
      <w:pPr>
        <w:spacing w:line="408" w:lineRule="auto" w:after="20"/>
      </w:pPr>
      <w:r>
        <w:rPr>
          <w:rFonts w:ascii="Times New Roman" w:hAnsi="Times New Roman" w:eastAsia="宋体"/>
          <w:sz w:val="21"/>
        </w:rPr>
        <w:t>2.3　部署期（第 9–12 周）</w:t>
      </w:r>
    </w:p>
    <w:p>
      <w:pPr>
        <w:spacing w:line="408" w:lineRule="auto" w:after="20"/>
      </w:pPr>
      <w:r>
        <w:rPr>
          <w:rFonts w:ascii="Times New Roman" w:hAnsi="Times New Roman" w:eastAsia="宋体"/>
          <w:sz w:val="21"/>
        </w:rPr>
        <w:t>2.4　运行期（第 4 个月起）</w:t>
      </w:r>
    </w:p>
    <w:p>
      <w:pPr>
        <w:spacing w:line="408" w:lineRule="auto" w:after="20"/>
      </w:pPr>
      <w:r>
        <w:rPr>
          <w:rFonts w:ascii="Times New Roman" w:hAnsi="Times New Roman" w:eastAsia="宋体"/>
          <w:sz w:val="21"/>
        </w:rPr>
        <w:t>2.5　复盘期（每季度）</w:t>
      </w:r>
    </w:p>
    <w:p>
      <w:pPr>
        <w:spacing w:line="408" w:lineRule="auto" w:after="20"/>
      </w:pPr>
      <w:r>
        <w:rPr>
          <w:rFonts w:ascii="Times New Roman" w:hAnsi="Times New Roman" w:eastAsia="宋体"/>
          <w:b/>
          <w:color w:val="1A2E3C"/>
          <w:sz w:val="21"/>
        </w:rPr>
        <w:t>3　工时预算：8 人日如何分解</w:t>
      </w:r>
    </w:p>
    <w:p>
      <w:pPr>
        <w:spacing w:line="408" w:lineRule="auto" w:after="20"/>
      </w:pPr>
      <w:r>
        <w:rPr>
          <w:rFonts w:ascii="Times New Roman" w:hAnsi="Times New Roman" w:eastAsia="宋体"/>
          <w:b/>
          <w:color w:val="1A2E3C"/>
          <w:sz w:val="21"/>
        </w:rPr>
        <w:t>4　交付物清单与验收标准</w:t>
      </w:r>
    </w:p>
    <w:p>
      <w:pPr>
        <w:spacing w:line="408" w:lineRule="auto" w:after="20"/>
      </w:pPr>
      <w:r>
        <w:rPr>
          <w:rFonts w:ascii="Times New Roman" w:hAnsi="Times New Roman" w:eastAsia="宋体"/>
          <w:b/>
          <w:color w:val="1A2E3C"/>
          <w:sz w:val="21"/>
        </w:rPr>
        <w:t>5　质量红线：十条不可越过的判定</w:t>
      </w:r>
    </w:p>
    <w:p>
      <w:pPr>
        <w:spacing w:line="408" w:lineRule="auto" w:after="20"/>
      </w:pPr>
      <w:r>
        <w:rPr>
          <w:rFonts w:ascii="Times New Roman" w:hAnsi="Times New Roman" w:eastAsia="宋体"/>
          <w:b/>
          <w:color w:val="1A2E3C"/>
          <w:sz w:val="21"/>
        </w:rPr>
        <w:t>6　异常处置与升级路径</w:t>
      </w:r>
    </w:p>
    <w:p>
      <w:pPr>
        <w:spacing w:line="408" w:lineRule="auto" w:after="20"/>
      </w:pPr>
      <w:r>
        <w:rPr>
          <w:rFonts w:ascii="Times New Roman" w:hAnsi="Times New Roman" w:eastAsia="宋体"/>
          <w:b/>
          <w:color w:val="1A2E3C"/>
          <w:sz w:val="21"/>
        </w:rPr>
        <w:t>7　风险提示与合规边界</w:t>
      </w:r>
    </w:p>
    <w:p>
      <w:pPr>
        <w:spacing w:line="408" w:lineRule="auto" w:after="20"/>
      </w:pPr>
      <w:r>
        <w:rPr>
          <w:rFonts w:ascii="Times New Roman" w:hAnsi="Times New Roman" w:eastAsia="宋体"/>
          <w:b/>
          <w:color w:val="1A2E3C"/>
          <w:sz w:val="21"/>
        </w:rPr>
        <w:t>附录 A　社区落地工具包清单</w:t>
      </w:r>
    </w:p>
    <w:p>
      <w:pPr>
        <w:spacing w:line="408" w:lineRule="auto" w:after="20"/>
      </w:pPr>
      <w:r>
        <w:rPr>
          <w:rFonts w:ascii="Times New Roman" w:hAnsi="Times New Roman" w:eastAsia="宋体"/>
          <w:b/>
          <w:color w:val="1A2E3C"/>
          <w:sz w:val="21"/>
        </w:rPr>
        <w:t>附录 B　第二点位意向与执行资源证明（表单说明）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color w:val="606670"/>
          <w:sz w:val="19"/>
        </w:rPr>
        <w:t>本手册全部动作条目均给出可判定的验收标准。凡无法判定完成与否的表述，一律不作为作业要求。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0　手册说明：为什么可复制性不等于机构数量</w:t>
      </w:r>
    </w:p>
    <w:p>
      <w:pPr>
        <w:pStyle w:val="Heading2"/>
      </w:pPr>
      <w:r>
        <w:rPr>
          <w:rFonts w:ascii="Times New Roman" w:hAnsi="Times New Roman" w:eastAsia="黑体"/>
        </w:rPr>
        <w:t>0.1　需要先回答的质疑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在讨论可复制时，最容易被误用的证据是机构数量。签约点位越多，似乎越能证明模式成立。但这个论证有一个明显漏洞：数量的增长可能来自团队成员个人能力的持续投入，而不是模式本身可被他人执行。极端情况下，一个点位靠成员手把手盯一年，换一个点位又要重新摸一遍——这类模式即使签了一百家，也谈不上可复制。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因此本手册不复用机构数量作为可复制性证据。可复制性指的是另一件事：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8D8BF"/>
          <w:left w:val="single" w:sz="6" w:color="A8D8BF"/>
          <w:bottom w:val="single" w:sz="6" w:color="A8D8BF"/>
          <w:right w:val="single" w:sz="6" w:color="A8D8BF"/>
          <w:insideH w:val="single" w:sz="6" w:color="A8D8BF"/>
          <w:insideV w:val="single" w:sz="6" w:color="A8D8BF"/>
        </w:tblBorders>
      </w:tblPr>
      <w:tblGrid>
        <w:gridCol w:w="9519"/>
      </w:tblGrid>
      <w:tr>
        <w:tc>
          <w:tcPr>
            <w:tcW w:type="dxa" w:w="9519"/>
            <w:shd w:val="clear" w:fill="EDF7F1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可复制性的定义（本手册采用的口径）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1E7A52"/>
                <w:sz w:val="19"/>
              </w:rPr>
              <w:t>在</w:t>
            </w:r>
            <w:r>
              <w:rPr>
                <w:rFonts w:ascii="Times New Roman" w:hAnsi="Times New Roman" w:eastAsia="宋体"/>
                <w:b/>
                <w:color w:val="1E7A52"/>
                <w:sz w:val="19"/>
              </w:rPr>
              <w:t>不增加团队规模</w:t>
            </w:r>
            <w:r>
              <w:rPr>
                <w:rFonts w:ascii="Times New Roman" w:hAnsi="Times New Roman" w:eastAsia="宋体"/>
                <w:b w:val="0"/>
                <w:color w:val="1E7A52"/>
                <w:sz w:val="19"/>
              </w:rPr>
              <w:t>、</w:t>
            </w:r>
            <w:r>
              <w:rPr>
                <w:rFonts w:ascii="Times New Roman" w:hAnsi="Times New Roman" w:eastAsia="宋体"/>
                <w:b/>
                <w:color w:val="1E7A52"/>
                <w:sz w:val="19"/>
              </w:rPr>
              <w:t>不依赖特定成员个人经验</w:t>
            </w:r>
            <w:r>
              <w:rPr>
                <w:rFonts w:ascii="Times New Roman" w:hAnsi="Times New Roman" w:eastAsia="宋体"/>
                <w:b w:val="0"/>
                <w:color w:val="1E7A52"/>
                <w:sz w:val="19"/>
              </w:rPr>
              <w:t>的前提下，由一名新成员按本手册的既定动作，在一个新社区独立完成全部七个环节的服务交付，并达到与首个点位相同的质量水平。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1E7A52"/>
                <w:sz w:val="19"/>
              </w:rPr>
              <w:t>判据落在两处：①每一步都有可判定的验收标准，不依赖「做得好不好」的主观评价；②全部工时已被分解到可预算的数值（8 人日/社区/年），不存在隐性投入。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0.2　三个可验证的支撑条件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0-1　可复制性的三个支撑条件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支撑条件</w:t>
            </w:r>
          </w:p>
        </w:tc>
        <w:tc>
          <w:tcPr>
            <w:tcW w:type="dxa" w:w="30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具体含义</w:t>
            </w:r>
          </w:p>
        </w:tc>
        <w:tc>
          <w:tcPr>
            <w:tcW w:type="dxa" w:w="294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可核验的判据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对应章节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动作标准化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全部作业动作写成本手册的步骤条目，每条含动作、话术、时长、责任人、验收标准五要素</w:t>
            </w:r>
          </w:p>
        </w:tc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随机抽取任一动作条目，第三方能判断是否已完成、做完了没有两个问题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2 章</w:t>
            </w:r>
          </w:p>
        </w:tc>
      </w:tr>
      <w:tr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工时定额化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单点位年度服务投入已分解为 8.2 人日，按阶段与动作分配，无隐性投入</w:t>
            </w:r>
          </w:p>
        </w:tc>
        <w:tc>
          <w:tcPr>
            <w:tcW w:type="dxa" w:w="294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用工时预算表逐条对照实际投入，偏差可解释且不超 10%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3 章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工具包齐备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宣讲讲义、评估表单、培训脚本、报告模板、运维清单五类材料已定型，新成员不需自行设计</w:t>
            </w:r>
          </w:p>
        </w:tc>
        <w:tc>
          <w:tcPr>
            <w:tcW w:type="dxa" w:w="294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五类材料齐备且有版本号，新成员可独立使用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附录 A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0.3　手册的边界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本手册覆盖的是</w:t>
      </w:r>
      <w:r>
        <w:rPr>
          <w:rFonts w:ascii="Times New Roman" w:hAnsi="Times New Roman" w:eastAsia="宋体"/>
          <w:b/>
          <w:sz w:val="21"/>
        </w:rPr>
        <w:t>服务交付流程</w:t>
      </w:r>
      <w:r>
        <w:rPr>
          <w:rFonts w:ascii="Times New Roman" w:hAnsi="Times New Roman" w:eastAsia="宋体"/>
          <w:b w:val="0"/>
          <w:sz w:val="21"/>
        </w:rPr>
        <w:t>，不覆盖硬件研发、算法训练与生产制造。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本手册不替代属地行政流程。涉及民政补贴发放、机构准入、数据备案的环节，以属地要求为准。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本手册中的评估阈值、风险分级规则为首个点位验证所得，在第二个点位执行时</w:t>
      </w:r>
      <w:r>
        <w:rPr>
          <w:rFonts w:ascii="Times New Roman" w:hAnsi="Times New Roman" w:eastAsia="宋体"/>
          <w:b/>
          <w:sz w:val="21"/>
        </w:rPr>
        <w:t>应先做一次复核</w:t>
      </w:r>
      <w:r>
        <w:rPr>
          <w:rFonts w:ascii="Times New Roman" w:hAnsi="Times New Roman" w:eastAsia="宋体"/>
          <w:b w:val="0"/>
          <w:sz w:val="21"/>
        </w:rPr>
        <w:t>，复核不通过则暂停推广、回到首个点位重新标定。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　适用范围与角色分工</w:t>
      </w:r>
    </w:p>
    <w:p>
      <w:pPr>
        <w:pStyle w:val="Heading2"/>
      </w:pPr>
      <w:r>
        <w:rPr>
          <w:rFonts w:ascii="Times New Roman" w:hAnsi="Times New Roman" w:eastAsia="黑体"/>
        </w:rPr>
        <w:t>1.1　适用范围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本手册适用于安行护腰社区防跌安全服务在以下场景的交付：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1-1　本手册的适用场景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场景类型</w:t>
            </w:r>
          </w:p>
        </w:tc>
        <w:tc>
          <w:tcPr>
            <w:tcW w:type="dxa" w:w="36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典型委托方</w:t>
            </w:r>
          </w:p>
        </w:tc>
        <w:tc>
          <w:tcPr>
            <w:tcW w:type="dxa" w:w="3402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本手册是否直接适用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新建合作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社区养老服务驿站、区域养老服务中心首次引入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直接适用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，按五阶段全流程执行</w:t>
            </w:r>
          </w:p>
        </w:tc>
      </w:tr>
      <w:tr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复制拓展</w:t>
            </w:r>
          </w:p>
        </w:tc>
        <w:tc>
          <w:tcPr>
            <w:tcW w:type="dxa" w:w="36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同一街道内第二个及以后点位</w:t>
            </w:r>
          </w:p>
        </w:tc>
        <w:tc>
          <w:tcPr>
            <w:tcW w:type="dxa" w:w="3402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直接适用</w:t>
            </w:r>
            <w:r>
              <w:rPr>
                <w:rFonts w:ascii="Times New Roman" w:hAnsi="Times New Roman" w:eastAsia="宋体"/>
                <w:b w:val="0"/>
                <w:sz w:val="18"/>
              </w:rPr>
              <w:t>，进场期可压缩至 2 周（见 2.1.2）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区域推广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跨街道或跨城区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适用，但需增加属地合规核查环节（见第 7 章）</w:t>
            </w:r>
          </w:p>
        </w:tc>
      </w:tr>
      <w:tr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家庭版自购</w:t>
            </w:r>
          </w:p>
        </w:tc>
        <w:tc>
          <w:tcPr>
            <w:tcW w:type="dxa" w:w="36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个人通过子女端购买</w:t>
            </w:r>
          </w:p>
        </w:tc>
        <w:tc>
          <w:tcPr>
            <w:tcW w:type="dxa" w:w="3402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不适用。家庭版无社区依赖，不走本手册流程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1.2　角色与责任边界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一个点位至少需要四类角色。复制到新点位时，前三类可由外部人员担任，第四类是本项目必须自持的能力。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1-2　角色分工与可外包性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3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角色</w:t>
            </w:r>
          </w:p>
        </w:tc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谁担任</w:t>
            </w:r>
          </w:p>
        </w:tc>
        <w:tc>
          <w:tcPr>
            <w:tcW w:type="dxa" w:w="3969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在本手册中的职责</w:t>
            </w:r>
          </w:p>
        </w:tc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可否外包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项目负责人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项目组指定成员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统筹进度、把关评估结论、撰写季度报告、核校后提交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C03939"/>
                <w:sz w:val="18"/>
              </w:rPr>
              <w:t>否。涉专业判断与对外承诺</w:t>
            </w:r>
          </w:p>
        </w:tc>
      </w:tr>
      <w:tr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社区对接人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驿站/服务中心指派</w:t>
            </w:r>
          </w:p>
        </w:tc>
        <w:tc>
          <w:tcPr>
            <w:tcW w:type="dxa" w:w="3969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提供辖区名册、组织宣讲、协调网格员、开通激励资源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可</w:t>
            </w:r>
            <w:r>
              <w:rPr>
                <w:rFonts w:ascii="Times New Roman" w:hAnsi="Times New Roman" w:eastAsia="宋体"/>
                <w:b w:val="0"/>
                <w:sz w:val="18"/>
              </w:rPr>
              <w:t>，由社区方担任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社区网格员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社区网格/驻场社工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接收事件、接单到场、现场处置、反馈处置结果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可</w:t>
            </w:r>
            <w:r>
              <w:rPr>
                <w:rFonts w:ascii="Times New Roman" w:hAnsi="Times New Roman" w:eastAsia="宋体"/>
                <w:b w:val="0"/>
                <w:sz w:val="18"/>
              </w:rPr>
              <w:t>，属社区自有资源</w:t>
            </w:r>
          </w:p>
        </w:tc>
      </w:tr>
      <w:tr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驻场服务专员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项目组或受托服务方</w:t>
            </w:r>
          </w:p>
        </w:tc>
        <w:tc>
          <w:tcPr>
            <w:tcW w:type="dxa" w:w="3969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穿戴培训、依从性回访、设备回充、例行巡检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部分可，但首次进场须项目组带教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CCCCC"/>
          <w:left w:val="single" w:sz="6" w:color="CCCCCC"/>
          <w:bottom w:val="single" w:sz="6" w:color="CCCCCC"/>
          <w:right w:val="single" w:sz="6" w:color="CCCCCC"/>
          <w:insideH w:val="single" w:sz="6" w:color="CCCCCC"/>
          <w:insideV w:val="single" w:sz="6" w:color="CCCCCC"/>
        </w:tblBorders>
      </w:tblPr>
      <w:tblGrid>
        <w:gridCol w:w="9519"/>
      </w:tblGrid>
      <w:tr>
        <w:tc>
          <w:tcPr>
            <w:tcW w:type="dxa" w:w="9519"/>
            <w:shd w:val="clear" w:fill="F6F6F6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角色设置的一条硬约束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606670"/>
                <w:sz w:val="19"/>
              </w:rPr>
              <w:t>社区网格员与社区对接人由</w:t>
            </w:r>
            <w:r>
              <w:rPr>
                <w:rFonts w:ascii="Times New Roman" w:hAnsi="Times New Roman" w:eastAsia="宋体"/>
                <w:b/>
                <w:color w:val="606670"/>
                <w:sz w:val="19"/>
              </w:rPr>
              <w:t>社区方担任</w:t>
            </w:r>
            <w:r>
              <w:rPr>
                <w:rFonts w:ascii="Times New Roman" w:hAnsi="Times New Roman" w:eastAsia="宋体"/>
                <w:b w:val="0"/>
                <w:color w:val="606670"/>
                <w:sz w:val="19"/>
              </w:rPr>
              <w:t>，不计入项目组人力成本——这是本模式能把单点位服务投入压到 8 人日的前提。若点位无法提供网格员协同，</w:t>
            </w:r>
            <w:r>
              <w:rPr>
                <w:rFonts w:ascii="Times New Roman" w:hAnsi="Times New Roman" w:eastAsia="宋体"/>
                <w:b/>
                <w:color w:val="606670"/>
                <w:sz w:val="19"/>
              </w:rPr>
              <w:t>该点位不具备交付条件，不应签约</w:t>
            </w:r>
            <w:r>
              <w:rPr>
                <w:rFonts w:ascii="Times New Roman" w:hAnsi="Times New Roman" w:eastAsia="宋体"/>
                <w:b w:val="0"/>
                <w:color w:val="606670"/>
                <w:sz w:val="19"/>
              </w:rPr>
              <w:t>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2　五阶段作业流程总览</w:t>
      </w:r>
    </w:p>
    <w:p>
      <w:pPr>
        <w:pStyle w:val="Heading2"/>
      </w:pPr>
      <w:r>
        <w:rPr>
          <w:rFonts w:ascii="Times New Roman" w:hAnsi="Times New Roman" w:eastAsia="黑体"/>
        </w:rPr>
        <w:t>2.0　全流程一览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社区防跌安全服务对应服务闭环七环节，按时间组织为五个阶段。每个阶段有明确周期、明确交付物、明确验收标准。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2-1　五阶段作业流程总览（对应服务闭环七环节）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96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阶段</w:t>
            </w:r>
          </w:p>
        </w:tc>
        <w:tc>
          <w:tcPr>
            <w:tcW w:type="dxa" w:w="119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周期</w:t>
            </w:r>
          </w:p>
        </w:tc>
        <w:tc>
          <w:tcPr>
            <w:tcW w:type="dxa" w:w="226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主要工作</w:t>
            </w:r>
          </w:p>
        </w:tc>
        <w:tc>
          <w:tcPr>
            <w:tcW w:type="dxa" w:w="226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阶段交付物</w:t>
            </w:r>
          </w:p>
        </w:tc>
        <w:tc>
          <w:tcPr>
            <w:tcW w:type="dxa" w:w="238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本阶段验收标准</w:t>
            </w:r>
          </w:p>
        </w:tc>
      </w:tr>
      <w:tr>
        <w:tc>
          <w:tcPr>
            <w:tcW w:type="dxa" w:w="96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进场期</w:t>
            </w:r>
          </w:p>
        </w:tc>
        <w:tc>
          <w:tcPr>
            <w:tcW w:type="dxa" w:w="119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 1–4 周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合作洽谈、名册对接、防跌安全宣讲、基础档案建立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合作协议、辖区名册、基础档案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档案录入率 100%，名册与社区台账一致</w:t>
            </w:r>
          </w:p>
        </w:tc>
      </w:tr>
      <w:tr>
        <w:tc>
          <w:tcPr>
            <w:tcW w:type="dxa" w:w="96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评估期</w:t>
            </w:r>
          </w:p>
        </w:tc>
        <w:tc>
          <w:tcPr>
            <w:tcW w:type="dxa" w:w="119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 5–8 周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防跌安全评估与风险分级、确定配发名单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风险分级名单、配发建议书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高风险对象 100% 有评估依据可查</w:t>
            </w:r>
          </w:p>
        </w:tc>
      </w:tr>
      <w:tr>
        <w:tc>
          <w:tcPr>
            <w:tcW w:type="dxa" w:w="96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部署期</w:t>
            </w:r>
          </w:p>
        </w:tc>
        <w:tc>
          <w:tcPr>
            <w:tcW w:type="dxa" w:w="119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 9–12 周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设备配发、穿戴培训、家属与网格员端开通、激励机制上线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设备台账、培训签到、双通道开通回执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配发对象穿戴培训通过率 100%</w:t>
            </w:r>
          </w:p>
        </w:tc>
      </w:tr>
      <w:tr>
        <w:tc>
          <w:tcPr>
            <w:tcW w:type="dxa" w:w="96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运行期</w:t>
            </w:r>
          </w:p>
        </w:tc>
        <w:tc>
          <w:tcPr>
            <w:tcW w:type="dxa" w:w="119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 4 个月起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日常运行、依从性维护、事件响应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月度依从性报表、事件响应记录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事件响应闭环率 100%</w:t>
            </w:r>
          </w:p>
        </w:tc>
      </w:tr>
      <w:tr>
        <w:tc>
          <w:tcPr>
            <w:tcW w:type="dxa" w:w="96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复盘期</w:t>
            </w:r>
          </w:p>
        </w:tc>
        <w:tc>
          <w:tcPr>
            <w:tcW w:type="dxa" w:w="119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每季度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社区跌倒风险报告、适老化改造建议、服务对象复评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季度报告、改造建议清单、复评记录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报告经人工核校后输出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2.0.1　阶段间的硬性衔接条件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下列条件不满足则</w:t>
      </w:r>
      <w:r>
        <w:rPr>
          <w:rFonts w:ascii="Times New Roman" w:hAnsi="Times New Roman" w:eastAsia="宋体"/>
          <w:b/>
          <w:sz w:val="21"/>
        </w:rPr>
        <w:t>不得进入下一阶段</w:t>
      </w:r>
      <w:r>
        <w:rPr>
          <w:rFonts w:ascii="Times New Roman" w:hAnsi="Times New Roman" w:eastAsia="宋体"/>
          <w:b w:val="0"/>
          <w:sz w:val="21"/>
        </w:rPr>
        <w:t>。这一约束的作用是把问题暴露在早期，而不是等到季度复盘才发现流程没跑通。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2-2　阶段衔接条件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81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衔接点</w:t>
            </w:r>
          </w:p>
        </w:tc>
        <w:tc>
          <w:tcPr>
            <w:tcW w:type="dxa" w:w="5329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进入下一阶段的前提</w:t>
            </w:r>
          </w:p>
        </w:tc>
        <w:tc>
          <w:tcPr>
            <w:tcW w:type="dxa" w:w="13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由谁确认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进场期 → 评估期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辖区名册已交接，且已明确独居、高龄等重点对象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</w:t>
            </w:r>
          </w:p>
        </w:tc>
      </w:tr>
      <w:tr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评估期 → 部署期</w:t>
            </w:r>
          </w:p>
        </w:tc>
        <w:tc>
          <w:tcPr>
            <w:tcW w:type="dxa" w:w="5329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配发名单经社区确认，且家属告知授权已签署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 + 社区对接人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部署期 → 运行期</w:t>
            </w:r>
          </w:p>
        </w:tc>
        <w:tc>
          <w:tcPr>
            <w:tcW w:type="dxa" w:w="5329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双通道已验证</w:t>
            </w:r>
            <w:r>
              <w:rPr>
                <w:rFonts w:ascii="Times New Roman" w:hAnsi="Times New Roman" w:eastAsia="宋体"/>
                <w:b w:val="0"/>
                <w:sz w:val="18"/>
              </w:rPr>
              <w:t>：网格员与家属各收到一次测试告警并回执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</w:t>
            </w:r>
          </w:p>
        </w:tc>
      </w:tr>
      <w:tr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运行期 → 复盘期</w:t>
            </w:r>
          </w:p>
        </w:tc>
        <w:tc>
          <w:tcPr>
            <w:tcW w:type="dxa" w:w="5329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满一个季度且事件数据完整（含险跌与误报）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F0C896"/>
          <w:left w:val="single" w:sz="6" w:color="F0C896"/>
          <w:bottom w:val="single" w:sz="6" w:color="F0C896"/>
          <w:right w:val="single" w:sz="6" w:color="F0C896"/>
          <w:insideH w:val="single" w:sz="6" w:color="F0C896"/>
          <w:insideV w:val="single" w:sz="6" w:color="F0C896"/>
        </w:tblBorders>
      </w:tblPr>
      <w:tblGrid>
        <w:gridCol w:w="9519"/>
      </w:tblGrid>
      <w:tr>
        <w:tc>
          <w:tcPr>
            <w:tcW w:type="dxa" w:w="9519"/>
            <w:shd w:val="clear" w:fill="FFF6E8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部署期到运行期的衔接为什么最关键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双通道验证是</w:t>
            </w:r>
            <w:r>
              <w:rPr>
                <w:rFonts w:ascii="Times New Roman" w:hAnsi="Times New Roman" w:eastAsia="宋体"/>
                <w:b/>
                <w:color w:val="C96A1C"/>
                <w:sz w:val="19"/>
              </w:rPr>
              <w:t>一次必须做的实弹测试</w:t>
            </w: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：由项目组手动触发一条测试告警，要求网格员与家属两端都在平台留有送达、已读、确认三段回执。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未完成该测试即进入运行期，是链路中断最常见的原因——事件发生时才发现消息没到，而此时已经错过了救援的黄金时间。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2.1　进场期（第 1–4 周）</w:t>
      </w:r>
    </w:p>
    <w:p>
      <w:pPr>
        <w:pStyle w:val="Heading2"/>
      </w:pPr>
      <w:r>
        <w:rPr>
          <w:rFonts w:ascii="Times New Roman" w:hAnsi="Times New Roman" w:eastAsia="黑体"/>
        </w:rPr>
        <w:t>2.1.1　阶段目标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建立可运营的合作关系与可用的基础档案。本阶段不涉及任何设备动作，也不承诺任何防护效果。</w:t>
      </w:r>
    </w:p>
    <w:p>
      <w:pPr>
        <w:pStyle w:val="Heading2"/>
      </w:pPr>
      <w:r>
        <w:rPr>
          <w:rFonts w:ascii="Times New Roman" w:hAnsi="Times New Roman" w:eastAsia="黑体"/>
        </w:rPr>
        <w:t>2.1.2　作业步骤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2-3　进场期作业步骤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62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编号</w:t>
            </w:r>
          </w:p>
        </w:tc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作业动作</w:t>
            </w:r>
          </w:p>
        </w:tc>
        <w:tc>
          <w:tcPr>
            <w:tcW w:type="dxa" w:w="3402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话术要点 / 执行要点</w:t>
            </w:r>
          </w:p>
        </w:tc>
        <w:tc>
          <w:tcPr>
            <w:tcW w:type="dxa" w:w="85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标准时长</w:t>
            </w:r>
          </w:p>
        </w:tc>
        <w:tc>
          <w:tcPr>
            <w:tcW w:type="dxa" w:w="107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责任人</w:t>
            </w:r>
          </w:p>
        </w:tc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验收标准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J-01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合作洽谈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向站点负责人说明服务内容边界：提供物理防护与应急响应，不提供医疗诊断与治疗。明确设备按个人防护用品定位，现阶段不申报医疗器械注册。</w:t>
            </w:r>
          </w:p>
        </w:tc>
        <w:tc>
          <w:tcPr>
            <w:tcW w:type="dxa" w:w="85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1.5 h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合作协议签署，双方明确服务边界条款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J-02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确认协同资源</w:t>
            </w:r>
          </w:p>
        </w:tc>
        <w:tc>
          <w:tcPr>
            <w:tcW w:type="dxa" w:w="3402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当场落实三件事：①辖区高龄独居名册的获取渠道；②网格员或驻场社工的姓名与联系方式；③可对接的社区激励资源（助餐折扣/服务积分/体检名额）。</w:t>
            </w:r>
          </w:p>
        </w:tc>
        <w:tc>
          <w:tcPr>
            <w:tcW w:type="dxa" w:w="85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 h</w:t>
            </w:r>
          </w:p>
        </w:tc>
        <w:tc>
          <w:tcPr>
            <w:tcW w:type="dxa" w:w="107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 + 社区对接人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三项均有明确对接人姓名与联系方式，记入台账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J-03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防跌安全宣讲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使用《跌倒防护科普讲义》（附录 A-1）。核心讲三件事：跌倒伤害在触地瞬间已形成；护腰形态不显老、不像病患用品；佩戴越久防护越有效。</w:t>
            </w:r>
            <w:r>
              <w:rPr>
                <w:rFonts w:ascii="Times New Roman" w:hAnsi="Times New Roman" w:eastAsia="宋体"/>
                <w:b/>
                <w:sz w:val="16"/>
              </w:rPr>
              <w:t>不演示气囊展开</w:t>
            </w:r>
            <w:r>
              <w:rPr>
                <w:rFonts w:ascii="Times New Roman" w:hAnsi="Times New Roman" w:eastAsia="宋体"/>
                <w:b w:val="0"/>
                <w:sz w:val="16"/>
              </w:rPr>
              <w:t>，避免引发恐慌或不当期待。</w:t>
            </w:r>
          </w:p>
        </w:tc>
        <w:tc>
          <w:tcPr>
            <w:tcW w:type="dxa" w:w="85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1.5 h / 场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到场人数留签到表；现场发放讲义并留存发放数量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J-04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名册对接与建档</w:t>
            </w:r>
          </w:p>
        </w:tc>
        <w:tc>
          <w:tcPr>
            <w:tcW w:type="dxa" w:w="3402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按名册逐人录入平台：姓名脱敏（姓氏+</w:t>
            </w:r>
            <w:r>
              <w:rPr>
                <w:rFonts w:ascii="Times New Roman" w:hAnsi="Times New Roman" w:eastAsia="宋体"/>
                <w:b/>
                <w:sz w:val="16"/>
              </w:rPr>
              <w:t>）、年龄、居住情况、紧急联系人及关系、是否有既往跌倒史。居住情况须区分独居/与配偶同住/与子女同住。</w:t>
            </w:r>
          </w:p>
        </w:tc>
        <w:tc>
          <w:tcPr>
            <w:tcW w:type="dxa" w:w="85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 人日 / 100 人</w:t>
            </w:r>
          </w:p>
        </w:tc>
        <w:tc>
          <w:tcPr>
            <w:tcW w:type="dxa" w:w="107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档案录入率 100%，与社区台账逐条核对无差异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J-05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知情告知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采集佩戴授权与数据处理告知。</w:t>
            </w:r>
            <w:r>
              <w:rPr>
                <w:rFonts w:ascii="Times New Roman" w:hAnsi="Times New Roman" w:eastAsia="宋体"/>
                <w:b/>
                <w:sz w:val="16"/>
              </w:rPr>
              <w:t>必读三条</w:t>
            </w:r>
            <w:r>
              <w:rPr>
                <w:rFonts w:ascii="Times New Roman" w:hAnsi="Times New Roman" w:eastAsia="宋体"/>
                <w:b w:val="0"/>
                <w:sz w:val="16"/>
              </w:rPr>
              <w:t>：①AI 推理在设备本地完成，步态数据默认不上传；②事件发生时将向网格员与家属双通道推送位置信息；③风险分级不构成医学诊断。</w:t>
            </w:r>
          </w:p>
        </w:tc>
        <w:tc>
          <w:tcPr>
            <w:tcW w:type="dxa" w:w="85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随 J-04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授权书签署率 100%，留存原件或扫描件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2.1.3　阶段交付物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合作协议（含服务边界与责任条款）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辖区服务对象名册（社区方交接，含交接签字）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老人基础档案（平台导出，含脱敏处理）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知情告知与授权文件（逐人签署）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宣讲签到表与讲义发放记录</w:t>
      </w:r>
    </w:p>
    <w:p>
      <w:pPr>
        <w:pStyle w:val="Heading2"/>
      </w:pPr>
      <w:r>
        <w:rPr>
          <w:rFonts w:ascii="Times New Roman" w:hAnsi="Times New Roman" w:eastAsia="黑体"/>
        </w:rPr>
        <w:t>2.1.4　复制到新点位时的差异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同一街道内的第二个及以后点位，进场期可由 4 周压缩至 2 周，依据是三项工作可复用：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2-4　复制时的复用与重做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可复用项</w:t>
            </w:r>
          </w:p>
        </w:tc>
        <w:tc>
          <w:tcPr>
            <w:tcW w:type="dxa" w:w="36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复用方式</w:t>
            </w:r>
          </w:p>
        </w:tc>
        <w:tc>
          <w:tcPr>
            <w:tcW w:type="dxa" w:w="317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压缩后仍需重做的部分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合作协议模板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改站点名称、点位编号、网格员名单后使用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须社区方重新签署</w:t>
            </w:r>
          </w:p>
        </w:tc>
      </w:tr>
      <w:tr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宣讲讲义与脚本</w:t>
            </w:r>
          </w:p>
        </w:tc>
        <w:tc>
          <w:tcPr>
            <w:tcW w:type="dxa" w:w="36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直接使用，仅替换案例点位名称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宣讲场次需重新组织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告知与授权文本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直接使用，补充本点位联系人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须逐人重新签署</w:t>
            </w:r>
          </w:p>
        </w:tc>
      </w:tr>
      <w:tr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评估阈值</w:t>
            </w:r>
          </w:p>
        </w:tc>
        <w:tc>
          <w:tcPr>
            <w:tcW w:type="dxa" w:w="36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C03939"/>
                <w:sz w:val="18"/>
              </w:rPr>
              <w:t>沿用首个点位标定值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color w:val="C03939"/>
                <w:sz w:val="18"/>
              </w:rPr>
              <w:t>须做一次复核</w:t>
            </w:r>
            <w:r>
              <w:rPr>
                <w:rFonts w:ascii="Times New Roman" w:hAnsi="Times New Roman" w:eastAsia="宋体"/>
                <w:b w:val="0"/>
                <w:color w:val="C03939"/>
                <w:sz w:val="18"/>
              </w:rPr>
              <w:t>（见下）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F0C896"/>
          <w:left w:val="single" w:sz="6" w:color="F0C896"/>
          <w:bottom w:val="single" w:sz="6" w:color="F0C896"/>
          <w:right w:val="single" w:sz="6" w:color="F0C896"/>
          <w:insideH w:val="single" w:sz="6" w:color="F0C896"/>
          <w:insideV w:val="single" w:sz="6" w:color="F0C896"/>
        </w:tblBorders>
      </w:tblPr>
      <w:tblGrid>
        <w:gridCol w:w="9519"/>
      </w:tblGrid>
      <w:tr>
        <w:tc>
          <w:tcPr>
            <w:tcW w:type="dxa" w:w="9519"/>
            <w:shd w:val="clear" w:fill="FFF6E8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评估阈值必须复核，这是压缩周期里唯一不可省的动作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首个点位的风险分级阈值来自该社区的老人群体特征。换到新点位，老人的年龄结构、居住楼层、既往跌倒史分布都可能不同，阈值若直接照搬，会出现两种错误：把不该纳入的纳入（浪费资源），或把该纳入的漏掉（防护失效）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复核方式：抽取新点位 10 名老人做全项评估，与首个点位同口径比较分级结果；若 10 人中有 2 人及以上分级不同，则暂停后续流程，回到首个点位重新标定阈值。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2.2　评估期（第 5–8 周）</w:t>
      </w:r>
    </w:p>
    <w:p>
      <w:pPr>
        <w:pStyle w:val="Heading2"/>
      </w:pPr>
      <w:r>
        <w:rPr>
          <w:rFonts w:ascii="Times New Roman" w:hAnsi="Times New Roman" w:eastAsia="黑体"/>
        </w:rPr>
        <w:t>2.2.1　阶段目标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形成可执行的风险分级名单。评估</w:t>
      </w:r>
      <w:r>
        <w:rPr>
          <w:rFonts w:ascii="Times New Roman" w:hAnsi="Times New Roman" w:eastAsia="宋体"/>
          <w:b/>
          <w:sz w:val="21"/>
        </w:rPr>
        <w:t>不采集步态数据</w:t>
      </w:r>
      <w:r>
        <w:rPr>
          <w:rFonts w:ascii="Times New Roman" w:hAnsi="Times New Roman" w:eastAsia="宋体"/>
          <w:b w:val="0"/>
          <w:sz w:val="21"/>
        </w:rPr>
        <w:t>——本阶段的目标是筛出需要配发设备的对象，不是做步态研究。步态相关的数据采集属独立研究流程。</w:t>
      </w:r>
    </w:p>
    <w:p>
      <w:pPr>
        <w:pStyle w:val="Heading2"/>
      </w:pPr>
      <w:r>
        <w:rPr>
          <w:rFonts w:ascii="Times New Roman" w:hAnsi="Times New Roman" w:eastAsia="黑体"/>
        </w:rPr>
        <w:t>2.2.2　评估五项与判定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评估以问卷与日常活动能力观察为主，五项如下。任一项异常即进入重点关注，不以单项结果直接定级，避免误判。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2-5　防跌安全评估五项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3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评估项</w:t>
            </w:r>
          </w:p>
        </w:tc>
        <w:tc>
          <w:tcPr>
            <w:tcW w:type="dxa" w:w="204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方法</w:t>
            </w:r>
          </w:p>
        </w:tc>
        <w:tc>
          <w:tcPr>
            <w:tcW w:type="dxa" w:w="30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异常判定</w:t>
            </w:r>
          </w:p>
        </w:tc>
        <w:tc>
          <w:tcPr>
            <w:tcW w:type="dxa" w:w="204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数据来源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起立测试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次起立计时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耗时 &gt; 15 秒提示下肢力量不足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现场观察计时</w:t>
            </w:r>
          </w:p>
        </w:tc>
      </w:tr>
      <w:tr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步速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常规步行 4 米计时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0.8 m/s 提示跌倒高风险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现场观察计时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平衡能力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Berg 平衡量表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&lt; 45 分提示高风险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量表评估</w:t>
            </w:r>
          </w:p>
        </w:tc>
      </w:tr>
      <w:tr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用药史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核对处方与自述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多药联用，尤其含镇静类或降压类叠加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档案 + 自述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既往跌倒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近 12 个月回溯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≥ 1 次即记录，≥ 2 次提示高风险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自述 + 家属确认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2.2.3　风险分级规则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2-6　风险分级与照护资源配置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等级</w:t>
            </w:r>
          </w:p>
        </w:tc>
        <w:tc>
          <w:tcPr>
            <w:tcW w:type="dxa" w:w="30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判定规则</w:t>
            </w:r>
          </w:p>
        </w:tc>
        <w:tc>
          <w:tcPr>
            <w:tcW w:type="dxa" w:w="249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照护资源配置建议</w:t>
            </w:r>
          </w:p>
        </w:tc>
        <w:tc>
          <w:tcPr>
            <w:tcW w:type="dxa" w:w="13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建议配发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高风险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五项中 ≥ 3 项异常，或近 12 个月跌倒 ≥ 2 次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每日探访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优先配发</w:t>
            </w:r>
          </w:p>
        </w:tc>
      </w:tr>
      <w:tr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中风险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五项中 2 项异常，或近 12 个月跌倒 1 次</w:t>
            </w:r>
          </w:p>
        </w:tc>
        <w:tc>
          <w:tcPr>
            <w:tcW w:type="dxa" w:w="249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需助行辅具适配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建议配发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低风险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五项中 ≤ 1 项异常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仅需月度回访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不主动配发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519"/>
      </w:tblGrid>
      <w:tr>
        <w:tc>
          <w:tcPr>
            <w:tcW w:type="dxa" w:w="9519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这条规则的性质必须说清楚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上表输出的是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照护资源配置建议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，用途是让社区把有限的人力与辅具资源分配到最需要的人身上。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它不构成医学诊断、疾病风险评级或健康状况判定，也不对任何个体作出健康结论。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用于社区画像的数据经匿名化处理，只输出群体层面的分布。向社区交付时须同步说明这一条，避免社区将分级结果当作健康档案使用。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2.2.4　作业步骤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2-7　评估期作业步骤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62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编号</w:t>
            </w:r>
          </w:p>
        </w:tc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作业动作</w:t>
            </w:r>
          </w:p>
        </w:tc>
        <w:tc>
          <w:tcPr>
            <w:tcW w:type="dxa" w:w="30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执行要点</w:t>
            </w:r>
          </w:p>
        </w:tc>
        <w:tc>
          <w:tcPr>
            <w:tcW w:type="dxa" w:w="90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标准时长</w:t>
            </w:r>
          </w:p>
        </w:tc>
        <w:tc>
          <w:tcPr>
            <w:tcW w:type="dxa" w:w="113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责任人</w:t>
            </w:r>
          </w:p>
        </w:tc>
        <w:tc>
          <w:tcPr>
            <w:tcW w:type="dxa" w:w="19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验收标准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P-01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确定评估名单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由社区对接人按年龄、居住、独居情况提供初筛名单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 h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名单含姓名、年龄、居住、独居标记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P-02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逐人五项评估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使用《防跌安全评估表》（附录 A-2），现场逐项测量并记录</w:t>
            </w:r>
          </w:p>
        </w:tc>
        <w:tc>
          <w:tcPr>
            <w:tcW w:type="dxa" w:w="90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0.4 h / 人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表内五项无空缺，异常项有文字描述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P-03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风险分级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按表 2-6 规则定级，</w:t>
            </w:r>
            <w:r>
              <w:rPr>
                <w:rFonts w:ascii="Times New Roman" w:hAnsi="Times New Roman" w:eastAsia="宋体"/>
                <w:b/>
                <w:sz w:val="16"/>
              </w:rPr>
              <w:t>两人独立定级后比对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0.2 h / 人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两人定级不一致的条目 100% 已复核确认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P-04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形成配发建议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按等级生成配发名单，标注需适配辅具的类型</w:t>
            </w:r>
          </w:p>
        </w:tc>
        <w:tc>
          <w:tcPr>
            <w:tcW w:type="dxa" w:w="90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 人日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名单按等级排序，辅具建议逐人具体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P-05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社区确认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与社区共同确认名单，重点确认高风险对象的现实照护条件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 h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 + 社区对接人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社区书面确认，留存确认记录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P-06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家属告知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逐人告知配发结果，取得授权</w:t>
            </w:r>
          </w:p>
        </w:tc>
        <w:tc>
          <w:tcPr>
            <w:tcW w:type="dxa" w:w="90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0.2 h / 人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授权签署率 100%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2.3　部署期（第 9–12 周）</w:t>
      </w:r>
    </w:p>
    <w:p>
      <w:pPr>
        <w:pStyle w:val="Heading2"/>
      </w:pPr>
      <w:r>
        <w:rPr>
          <w:rFonts w:ascii="Times New Roman" w:hAnsi="Times New Roman" w:eastAsia="黑体"/>
        </w:rPr>
        <w:t>2.3.1　阶段目标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完成设备配发与双通道开通。本阶段的成败取决于两件事：老人愿意戴、告警能到人。前者靠佩戴指导，后者靠双通道实弹验证。</w:t>
      </w:r>
    </w:p>
    <w:p>
      <w:pPr>
        <w:pStyle w:val="Heading2"/>
      </w:pPr>
      <w:r>
        <w:rPr>
          <w:rFonts w:ascii="Times New Roman" w:hAnsi="Times New Roman" w:eastAsia="黑体"/>
        </w:rPr>
        <w:t>2.3.2　作业步骤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2-8　部署期作业步骤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62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编号</w:t>
            </w:r>
          </w:p>
        </w:tc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作业动作</w:t>
            </w:r>
          </w:p>
        </w:tc>
        <w:tc>
          <w:tcPr>
            <w:tcW w:type="dxa" w:w="317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执行要点</w:t>
            </w:r>
          </w:p>
        </w:tc>
        <w:tc>
          <w:tcPr>
            <w:tcW w:type="dxa" w:w="90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标准时长</w:t>
            </w:r>
          </w:p>
        </w:tc>
        <w:tc>
          <w:tcPr>
            <w:tcW w:type="dxa" w:w="107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责任人</w:t>
            </w:r>
          </w:p>
        </w:tc>
        <w:tc>
          <w:tcPr>
            <w:tcW w:type="dxa" w:w="181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验收标准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D-01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设备台账建立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每台设备登记 SN、型号、固件、配发对象、充电源，录入平台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0.1 h / 台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台账与实物逐台核对一致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D-02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穿戴培训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使用《穿戴培训脚本》（附录 A-3）。三件事必须讲到：①正确穿戴位置（髋部大转子对齐）；②何时充电、为何每天充；③误报是正常的，误报后仍要继续戴。</w:t>
            </w:r>
          </w:p>
        </w:tc>
        <w:tc>
          <w:tcPr>
            <w:tcW w:type="dxa" w:w="90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 h / 人</w:t>
            </w:r>
          </w:p>
        </w:tc>
        <w:tc>
          <w:tcPr>
            <w:tcW w:type="dxa" w:w="107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培训后现场演示穿戴一次，由服务专员确认位置正确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D-03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依从性约定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与老人约定每日佩戴时段（建议 7:00–21:00），写入档案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随 D-02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档案中佩戴时段已填写，不为空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D-04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家属端开通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指导家属安装子女端 App，完成绑定与消息接收设置</w:t>
            </w:r>
          </w:p>
        </w:tc>
        <w:tc>
          <w:tcPr>
            <w:tcW w:type="dxa" w:w="90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 h / 人</w:t>
            </w:r>
          </w:p>
        </w:tc>
        <w:tc>
          <w:tcPr>
            <w:tcW w:type="dxa" w:w="107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实测</w:t>
            </w:r>
            <w:r>
              <w:rPr>
                <w:rFonts w:ascii="Times New Roman" w:hAnsi="Times New Roman" w:eastAsia="宋体"/>
                <w:b w:val="0"/>
                <w:sz w:val="16"/>
              </w:rPr>
              <w:t>：给该家属发一条测试推送，确认收到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D-05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网格员端开通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为网格员开通账号，完成辖区绑定与接单演练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 h / 站点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实测</w:t>
            </w:r>
            <w:r>
              <w:rPr>
                <w:rFonts w:ascii="Times New Roman" w:hAnsi="Times New Roman" w:eastAsia="宋体"/>
                <w:b w:val="0"/>
                <w:sz w:val="16"/>
              </w:rPr>
              <w:t>：网格员端可收到测试告警并点确认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D-06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双通道实弹验证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由项目组手动触发一条测试告警（险跌等级），要求两端均留有送达、已读、确认三段回执</w:t>
            </w:r>
          </w:p>
        </w:tc>
        <w:tc>
          <w:tcPr>
            <w:tcW w:type="dxa" w:w="90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 h / 站点</w:t>
            </w:r>
          </w:p>
        </w:tc>
        <w:tc>
          <w:tcPr>
            <w:tcW w:type="dxa" w:w="107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C03939"/>
                <w:sz w:val="16"/>
              </w:rPr>
              <w:t>两端回执齐全，缺一不予通过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D-07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激励资源上线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与社区确认佩戴激励规则（助餐折扣/服务积分/体检名额）并公示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 h / 站点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社区对接人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激励规则已公示，兑现流程明确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D-08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首次回充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在充电底座或社区回充站完成首次充气，确认压力回到充足区间</w:t>
            </w:r>
          </w:p>
        </w:tc>
        <w:tc>
          <w:tcPr>
            <w:tcW w:type="dxa" w:w="90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0.3 h / 站点</w:t>
            </w:r>
          </w:p>
        </w:tc>
        <w:tc>
          <w:tcPr>
            <w:tcW w:type="dxa" w:w="107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设备气压自检通过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FC0C0"/>
          <w:left w:val="single" w:sz="6" w:color="EFC0C0"/>
          <w:bottom w:val="single" w:sz="6" w:color="EFC0C0"/>
          <w:right w:val="single" w:sz="6" w:color="EFC0C0"/>
          <w:insideH w:val="single" w:sz="6" w:color="EFC0C0"/>
          <w:insideV w:val="single" w:sz="6" w:color="EFC0C0"/>
        </w:tblBorders>
      </w:tblPr>
      <w:tblGrid>
        <w:gridCol w:w="9519"/>
      </w:tblGrid>
      <w:tr>
        <w:tc>
          <w:tcPr>
            <w:tcW w:type="dxa" w:w="9519"/>
            <w:shd w:val="clear" w:fill="FDEEEE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为什么要单独做双通道实弹验证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03939"/>
                <w:sz w:val="19"/>
              </w:rPr>
              <w:t>家属端与网格员端是两个独立系统，</w:t>
            </w:r>
            <w:r>
              <w:rPr>
                <w:rFonts w:ascii="Times New Roman" w:hAnsi="Times New Roman" w:eastAsia="宋体"/>
                <w:b/>
                <w:color w:val="C03939"/>
                <w:sz w:val="19"/>
              </w:rPr>
              <w:t>开通成功不等于能收到消息</w:t>
            </w:r>
            <w:r>
              <w:rPr>
                <w:rFonts w:ascii="Times New Roman" w:hAnsi="Times New Roman" w:eastAsia="宋体"/>
                <w:b w:val="0"/>
                <w:color w:val="C03939"/>
                <w:sz w:val="19"/>
              </w:rPr>
              <w:t>。实践中出现过：App 绑定成功、家属消息权限未开、网格员在辖区外未授权、消息被系统折叠——四种情况在后台都显示开通成功，只有真发一条告警才能发现。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03939"/>
                <w:sz w:val="19"/>
              </w:rPr>
              <w:t>D-06 是本手册唯一的</w:t>
            </w:r>
            <w:r>
              <w:rPr>
                <w:rFonts w:ascii="Times New Roman" w:hAnsi="Times New Roman" w:eastAsia="宋体"/>
                <w:b/>
                <w:color w:val="C03939"/>
                <w:sz w:val="19"/>
              </w:rPr>
              <w:t>强制性阻断项</w:t>
            </w:r>
            <w:r>
              <w:rPr>
                <w:rFonts w:ascii="Times New Roman" w:hAnsi="Times New Roman" w:eastAsia="宋体"/>
                <w:b w:val="0"/>
                <w:color w:val="C03939"/>
                <w:sz w:val="19"/>
              </w:rPr>
              <w:t>：未完成双通道实弹验证，部署期不得判定完成，不得进入运行期。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2.4　运行期（第 4 个月起）</w:t>
      </w:r>
    </w:p>
    <w:p>
      <w:pPr>
        <w:pStyle w:val="Heading2"/>
      </w:pPr>
      <w:r>
        <w:rPr>
          <w:rFonts w:ascii="Times New Roman" w:hAnsi="Times New Roman" w:eastAsia="黑体"/>
        </w:rPr>
        <w:t>2.4.1　阶段目标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维持防护有效运行。运行期只有两件事需要盯：依从性与事件响应。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防护能力只在设备被佩戴时存在。一件放抽屉里的设备，防护效能为零。因此运行期的第一位指标不是事件数，是佩戴率。</w:t>
      </w:r>
    </w:p>
    <w:p>
      <w:pPr>
        <w:pStyle w:val="Heading2"/>
      </w:pPr>
      <w:r>
        <w:rPr>
          <w:rFonts w:ascii="Times New Roman" w:hAnsi="Times New Roman" w:eastAsia="黑体"/>
        </w:rPr>
        <w:t>2.4.2　日常运行作业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2-9　运行期日常作业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13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频次</w:t>
            </w:r>
          </w:p>
        </w:tc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作业内容</w:t>
            </w:r>
          </w:p>
        </w:tc>
        <w:tc>
          <w:tcPr>
            <w:tcW w:type="dxa" w:w="351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执行要点</w:t>
            </w:r>
          </w:p>
        </w:tc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责任人</w:t>
            </w:r>
          </w:p>
        </w:tc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记录去向</w:t>
            </w:r>
          </w:p>
        </w:tc>
      </w:tr>
      <w:tr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每日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佩戴率监测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查看佩戴时长，识别当日佩戴不足 4 小时的对象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平台自动 + 专员抽查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平台佩戴率看板</w:t>
            </w:r>
          </w:p>
        </w:tc>
      </w:tr>
      <w:tr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每周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依从性回访</w:t>
            </w:r>
          </w:p>
        </w:tc>
        <w:tc>
          <w:tcPr>
            <w:tcW w:type="dxa" w:w="351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对连续两周佩戴率低于 40% 的对象电话回访，了解不佩戴原因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驻场服务专员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依从性回访记录</w:t>
            </w:r>
          </w:p>
        </w:tc>
      </w:tr>
      <w:tr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每周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设备状态巡检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批量查看低电量/低气压/传感异常设备，安排回充或维护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驻场服务专员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设备异常处理单</w:t>
            </w:r>
          </w:p>
        </w:tc>
      </w:tr>
      <w:tr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每月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在位点检</w:t>
            </w:r>
          </w:p>
        </w:tc>
        <w:tc>
          <w:tcPr>
            <w:tcW w:type="dxa" w:w="351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现场或视频核对设备状态、佩戴位置是否移位、储气压力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驻场服务专员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月度巡检表</w:t>
            </w:r>
          </w:p>
        </w:tc>
      </w:tr>
      <w:tr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每月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社区激励结算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按佩戴数据兑现社区激励资源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社区对接人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激励兑现记录</w:t>
            </w:r>
          </w:p>
        </w:tc>
      </w:tr>
      <w:tr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事件发生时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事件响应</w:t>
            </w:r>
          </w:p>
        </w:tc>
        <w:tc>
          <w:tcPr>
            <w:tcW w:type="dxa" w:w="351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见 2.4.3 响应流程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社区网格员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事件与响应记录</w:t>
            </w:r>
          </w:p>
        </w:tc>
      </w:tr>
      <w:tr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每季度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服务对象复评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对高风险对象重做五项评估，对照分级变化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驻场服务专员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复评记录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2.4.3　事件响应流程（关键路径）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这是整套服务中时效要求最高的一段。从设备判定到网格员到场，目标时长如下。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2-10　事件响应时效要求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环节</w:t>
            </w:r>
          </w:p>
        </w:tc>
        <w:tc>
          <w:tcPr>
            <w:tcW w:type="dxa" w:w="13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责任方</w:t>
            </w:r>
          </w:p>
        </w:tc>
        <w:tc>
          <w:tcPr>
            <w:tcW w:type="dxa" w:w="113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目标时长</w:t>
            </w:r>
          </w:p>
        </w:tc>
        <w:tc>
          <w:tcPr>
            <w:tcW w:type="dxa" w:w="260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动作要求</w:t>
            </w:r>
          </w:p>
        </w:tc>
        <w:tc>
          <w:tcPr>
            <w:tcW w:type="dxa" w:w="226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留痕要求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① 设备判定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设备端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百毫秒量级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端侧推理识别失衡，触发气囊（跌倒等级时）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本地声光报警</w:t>
            </w:r>
          </w:p>
        </w:tc>
      </w:tr>
      <w:tr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② 事件上报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 → 平台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 秒内</w:t>
            </w:r>
          </w:p>
        </w:tc>
        <w:tc>
          <w:tcPr>
            <w:tcW w:type="dxa" w:w="260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低功耗链路上报事件与位置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平台事件入库记录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③ 双通道推送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 秒内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同时推送网格员与家属，含位置信息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送达/已读/确认三段回执</w:t>
            </w:r>
          </w:p>
        </w:tc>
      </w:tr>
      <w:tr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④ 接单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社区网格员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5 分钟内</w:t>
            </w:r>
          </w:p>
        </w:tc>
        <w:tc>
          <w:tcPr>
            <w:tcW w:type="dxa" w:w="260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点击确认接单，导航启动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接单时间戳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⑤ 到场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社区网格员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20 分钟内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现场查体，评估是否需要送医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到场时间戳 + 现场记录</w:t>
            </w:r>
          </w:p>
        </w:tc>
      </w:tr>
      <w:tr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⑥ 处置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网格员 / 急救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按现场判断</w:t>
            </w:r>
          </w:p>
        </w:tc>
        <w:tc>
          <w:tcPr>
            <w:tcW w:type="dxa" w:w="260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查体、处置、必要时送医，填写结论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处置记录 + 结论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⑦ 复盘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项目负责人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 个工作日内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根因分析，回流数据，输出改造建议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复盘记录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519"/>
      </w:tblGrid>
      <w:tr>
        <w:tc>
          <w:tcPr>
            <w:tcW w:type="dxa" w:w="9519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为什么本地通道是网格员而不是子女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独居老人的子女往往不在本地。把告警推送给数百公里外的子女，救援的黄金时间依然会被错过。因此接收端设计为双通道：社区网格员、养老服务驿站、签约服务商构成本地响应通道，负责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到场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；成年子女构成知情通道，负责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知情与决策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。两者不可互相替代。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这一设计的直接后果是：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没有网格员协同的点位不具备交付条件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（见 1.2 的硬约束）。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2.4.4　依从性干预动作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依从性下降必须干预，不能只记录。识别到连续两周佩戴率偏低的对象，按下表顺序处理。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2-11　依从性四级干预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干预层级</w:t>
            </w:r>
          </w:p>
        </w:tc>
        <w:tc>
          <w:tcPr>
            <w:tcW w:type="dxa" w:w="249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触发条件</w:t>
            </w:r>
          </w:p>
        </w:tc>
        <w:tc>
          <w:tcPr>
            <w:tcW w:type="dxa" w:w="4082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动作</w:t>
            </w:r>
          </w:p>
        </w:tc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责任人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一级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单日佩戴不足 4 小时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系统提示，专员次日电话确认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驻场服务专员</w:t>
            </w:r>
          </w:p>
        </w:tc>
      </w:tr>
      <w:tr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二级</w:t>
            </w:r>
          </w:p>
        </w:tc>
        <w:tc>
          <w:tcPr>
            <w:tcW w:type="dxa" w:w="249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连续两周佩戴率低于 40%</w:t>
            </w:r>
          </w:p>
        </w:tc>
        <w:tc>
          <w:tcPr>
            <w:tcW w:type="dxa" w:w="4082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上门回访，检查穿戴位置与舒适度，必要时调整松紧带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驻场服务专员</w:t>
            </w:r>
          </w:p>
        </w:tc>
      </w:tr>
      <w:tr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三级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连续四周佩戴率低于 40%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社区上门，联合家属共同沟通，重新做穿戴培训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社区对接人 + 专员</w:t>
            </w:r>
          </w:p>
        </w:tc>
      </w:tr>
      <w:tr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四级</w:t>
            </w:r>
          </w:p>
        </w:tc>
        <w:tc>
          <w:tcPr>
            <w:tcW w:type="dxa" w:w="249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明确拒绝佩戴</w:t>
            </w:r>
          </w:p>
        </w:tc>
        <w:tc>
          <w:tcPr>
            <w:tcW w:type="dxa" w:w="4082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记录拒绝原因与家属意见，转入月度回访名单，不再强推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CCCCCC"/>
          <w:left w:val="single" w:sz="6" w:color="CCCCCC"/>
          <w:bottom w:val="single" w:sz="6" w:color="CCCCCC"/>
          <w:right w:val="single" w:sz="6" w:color="CCCCCC"/>
          <w:insideH w:val="single" w:sz="6" w:color="CCCCCC"/>
          <w:insideV w:val="single" w:sz="6" w:color="CCCCCC"/>
        </w:tblBorders>
      </w:tblPr>
      <w:tblGrid>
        <w:gridCol w:w="9519"/>
      </w:tblGrid>
      <w:tr>
        <w:tc>
          <w:tcPr>
            <w:tcW w:type="dxa" w:w="9519"/>
            <w:shd w:val="clear" w:fill="F6F6F6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四级干预的终点是不再强推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606670"/>
                <w:sz w:val="19"/>
              </w:rPr>
              <w:t>一个反复拒绝佩戴且家属也放弃劝说的高风险老人，若继续推动，只会把压力转嫁到家庭，最终可能导致老人对整个服务的抵触。手册规定四级为终点——记录、转入月度回访，把资源转向能够配合的对象。这是资源约束下的理性选择，也是对老人的尊重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2.5　复盘期（每季度）</w:t>
      </w:r>
    </w:p>
    <w:p>
      <w:pPr>
        <w:pStyle w:val="Heading2"/>
      </w:pPr>
      <w:r>
        <w:rPr>
          <w:rFonts w:ascii="Times New Roman" w:hAnsi="Times New Roman" w:eastAsia="黑体"/>
        </w:rPr>
        <w:t>2.5.1　阶段目标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把单次事件的数据汇总为社区层面的风险画像，输出给街道、物业与社区服务中心，用于确定适老化改造的优先级。这一步是本模式区别于设备卖完就结束的关键。</w:t>
      </w:r>
    </w:p>
    <w:p>
      <w:pPr>
        <w:pStyle w:val="Heading2"/>
      </w:pPr>
      <w:r>
        <w:rPr>
          <w:rFonts w:ascii="Times New Roman" w:hAnsi="Times New Roman" w:eastAsia="黑体"/>
        </w:rPr>
        <w:t>2.5.2　作业步骤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2-12　复盘期作业步骤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62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编号</w:t>
            </w:r>
          </w:p>
        </w:tc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作业动作</w:t>
            </w:r>
          </w:p>
        </w:tc>
        <w:tc>
          <w:tcPr>
            <w:tcW w:type="dxa" w:w="30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执行要点</w:t>
            </w:r>
          </w:p>
        </w:tc>
        <w:tc>
          <w:tcPr>
            <w:tcW w:type="dxa" w:w="90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标准时长</w:t>
            </w:r>
          </w:p>
        </w:tc>
        <w:tc>
          <w:tcPr>
            <w:tcW w:type="dxa" w:w="107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责任人</w:t>
            </w:r>
          </w:p>
        </w:tc>
        <w:tc>
          <w:tcPr>
            <w:tcW w:type="dxa" w:w="204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验收标准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R-01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数据汇总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汇总本季度全部跌倒、险跌、误报事件的时间与点位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 人日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C03939"/>
                <w:sz w:val="16"/>
              </w:rPr>
              <w:t>含险跌，仅统计跌倒会导致点位判定失真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R-02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热力图生成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平台自动生成社区跌倒风险分布图</w:t>
            </w:r>
          </w:p>
        </w:tc>
        <w:tc>
          <w:tcPr>
            <w:tcW w:type="dxa" w:w="90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自动</w:t>
            </w:r>
          </w:p>
        </w:tc>
        <w:tc>
          <w:tcPr>
            <w:tcW w:type="dxa" w:w="107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平台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高发点位已标识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R-03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人工核校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C03939"/>
                <w:sz w:val="16"/>
              </w:rPr>
              <w:t>核对数据准确性、剔除重复与误记，核校通过后方可输出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 人日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核校记录留痕</w:t>
            </w:r>
            <w:r>
              <w:rPr>
                <w:rFonts w:ascii="Times New Roman" w:hAnsi="Times New Roman" w:eastAsia="宋体"/>
                <w:b w:val="0"/>
                <w:sz w:val="16"/>
              </w:rPr>
              <w:t>，注明核校人与日期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R-04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报告撰写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按《季度报告模板》（附录 A-4）撰写初稿</w:t>
            </w:r>
          </w:p>
        </w:tc>
        <w:tc>
          <w:tcPr>
            <w:tcW w:type="dxa" w:w="90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 人日</w:t>
            </w:r>
          </w:p>
        </w:tc>
        <w:tc>
          <w:tcPr>
            <w:tcW w:type="dxa" w:w="107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含事件构成、佩戴情况、高发点位、建议四部分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R-05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改造建议清单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按风险点位输出 P0/P1/P2 分级建议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 人日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每条建议对应具体点位与具体理由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R-06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社区对接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向街道、物业、社区服务中心提交报告与建议</w:t>
            </w:r>
          </w:p>
        </w:tc>
        <w:tc>
          <w:tcPr>
            <w:tcW w:type="dxa" w:w="90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1.0 h</w:t>
            </w:r>
          </w:p>
        </w:tc>
        <w:tc>
          <w:tcPr>
            <w:tcW w:type="dxa" w:w="107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有交接记录，留存签收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R-07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服务对象复评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对全部高风险对象重做五项评估，比对分级变化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1.5 人日</w:t>
            </w:r>
          </w:p>
        </w:tc>
        <w:tc>
          <w:tcPr>
            <w:tcW w:type="dxa" w:w="107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分级变化对象有原因说明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R-08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依从性复盘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统计本季度佩戴率分布，识别低依从性对象</w:t>
            </w:r>
          </w:p>
        </w:tc>
        <w:tc>
          <w:tcPr>
            <w:tcW w:type="dxa" w:w="90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0.5 人日</w:t>
            </w:r>
          </w:p>
        </w:tc>
        <w:tc>
          <w:tcPr>
            <w:tcW w:type="dxa" w:w="107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驻场服务专员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低依从性对象均有干预记录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F0C896"/>
          <w:left w:val="single" w:sz="6" w:color="F0C896"/>
          <w:bottom w:val="single" w:sz="6" w:color="F0C896"/>
          <w:right w:val="single" w:sz="6" w:color="F0C896"/>
          <w:insideH w:val="single" w:sz="6" w:color="F0C896"/>
          <w:insideV w:val="single" w:sz="6" w:color="F0C896"/>
        </w:tblBorders>
      </w:tblPr>
      <w:tblGrid>
        <w:gridCol w:w="9519"/>
      </w:tblGrid>
      <w:tr>
        <w:tc>
          <w:tcPr>
            <w:tcW w:type="dxa" w:w="9519"/>
            <w:shd w:val="clear" w:fill="FFF6E8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为什么必须含险跌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险跌是</w:t>
            </w:r>
            <w:r>
              <w:rPr>
                <w:rFonts w:ascii="Times New Roman" w:hAnsi="Times New Roman" w:eastAsia="宋体"/>
                <w:b/>
                <w:color w:val="C96A1C"/>
                <w:sz w:val="19"/>
              </w:rPr>
              <w:t>未导致跌倒的失衡事件</w:t>
            </w: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。只统计跌倒，会把快要出事的位置漏掉，而这些位置恰恰是改造投入产出比最高的地方——此时尚未发生伤害，改造的干预窗口是敞开的。只统计跌倒的统计口径，得到的改造优先级是偏晚的。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同理，误报也须一并记录：某个点位高频误报，往往意味着该处环境使老人动作变形，本身就是改造线索。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3　工时预算：8 人日如何分解</w:t>
      </w:r>
    </w:p>
    <w:p>
      <w:pPr>
        <w:pStyle w:val="Heading2"/>
      </w:pPr>
      <w:r>
        <w:rPr>
          <w:rFonts w:ascii="Times New Roman" w:hAnsi="Times New Roman" w:eastAsia="黑体"/>
        </w:rPr>
        <w:t>3.1　为什么必须给工时定额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可复制性的本质是成本可预测。若一个新点位的真实投入无法被预算出来，那么签了 10 个点位不代表能管好 10 个点位——团队会在第 4 个点位耗尽。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 xml:space="preserve">本手册给出的定额为 </w:t>
      </w:r>
      <w:r>
        <w:rPr>
          <w:rFonts w:ascii="Times New Roman" w:hAnsi="Times New Roman" w:eastAsia="宋体"/>
          <w:b/>
          <w:sz w:val="21"/>
        </w:rPr>
        <w:t>8 人日 / 社区 / 年</w:t>
      </w:r>
      <w:r>
        <w:rPr>
          <w:rFonts w:ascii="Times New Roman" w:hAnsi="Times New Roman" w:eastAsia="宋体"/>
          <w:b w:val="0"/>
          <w:sz w:val="21"/>
        </w:rPr>
        <w:t>，与单位经济模型中的服务交付成本一致。</w:t>
      </w:r>
    </w:p>
    <w:p>
      <w:pPr>
        <w:pStyle w:val="Heading2"/>
      </w:pPr>
      <w:r>
        <w:rPr>
          <w:rFonts w:ascii="Times New Roman" w:hAnsi="Times New Roman" w:eastAsia="黑体"/>
        </w:rPr>
        <w:t>3.2　首年工时分解（含一次性投入）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3-1　首年一次性工时分解（50 名服务对象）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阶段</w:t>
            </w:r>
          </w:p>
        </w:tc>
        <w:tc>
          <w:tcPr>
            <w:tcW w:type="dxa" w:w="317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作业项</w:t>
            </w:r>
          </w:p>
        </w:tc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工时（人日）</w:t>
            </w:r>
          </w:p>
        </w:tc>
        <w:tc>
          <w:tcPr>
            <w:tcW w:type="dxa" w:w="283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进场期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合作洽谈与资源确认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首次点位含站点踏勘与方案沟通</w:t>
            </w:r>
          </w:p>
        </w:tc>
      </w:tr>
      <w:tr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进场期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防跌安全宣讲（3 场）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每场 1.5 h，含准备与记录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进场期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名册对接与建档（50 人）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约 20 min/人</w:t>
            </w:r>
          </w:p>
        </w:tc>
      </w:tr>
      <w:tr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评估期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五项评估（50 人）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2.0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约 20 min/人 + 定级复核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部署期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设备台账与穿戴培训（50 人）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1.5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约 18 min/人 + 台账</w:t>
            </w:r>
          </w:p>
        </w:tc>
      </w:tr>
      <w:tr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部署期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双通道开通与实弹验证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按站点计，非按人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部署期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激励资源上线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与社区对接协调</w:t>
            </w:r>
          </w:p>
        </w:tc>
      </w:tr>
      <w:tr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首年小计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6.0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一次性投入，次年不重复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3-2　稳态年工时分解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阶段</w:t>
            </w:r>
          </w:p>
        </w:tc>
        <w:tc>
          <w:tcPr>
            <w:tcW w:type="dxa" w:w="317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作业项</w:t>
            </w:r>
          </w:p>
        </w:tc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工时（人日）</w:t>
            </w:r>
          </w:p>
        </w:tc>
        <w:tc>
          <w:tcPr>
            <w:tcW w:type="dxa" w:w="283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运行期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每日佩戴率监测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平台自动，专员每周抽查，约 1 h/周</w:t>
            </w:r>
          </w:p>
        </w:tc>
      </w:tr>
      <w:tr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运行期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每周依从性回访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约 1 h/周，按低依从性对象数量浮动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运行期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每周设备状态巡检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约 40 min/周，批量处理</w:t>
            </w:r>
          </w:p>
        </w:tc>
      </w:tr>
      <w:tr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运行期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每月在位点检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 h/月，可与其他事务合并到场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运行期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事件响应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0.5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C03939"/>
                <w:sz w:val="17"/>
              </w:rPr>
              <w:t>按季度 0.3 起事件估算，含到场配合</w:t>
            </w:r>
          </w:p>
        </w:tc>
      </w:tr>
      <w:tr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稳态小计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2.7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第二年起每年约 2.7 人日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8D8BF"/>
          <w:left w:val="single" w:sz="6" w:color="A8D8BF"/>
          <w:bottom w:val="single" w:sz="6" w:color="A8D8BF"/>
          <w:right w:val="single" w:sz="6" w:color="A8D8BF"/>
          <w:insideH w:val="single" w:sz="6" w:color="A8D8BF"/>
          <w:insideV w:val="single" w:sz="6" w:color="A8D8BF"/>
        </w:tblBorders>
      </w:tblPr>
      <w:tblGrid>
        <w:gridCol w:w="9519"/>
      </w:tblGrid>
      <w:tr>
        <w:tc>
          <w:tcPr>
            <w:tcW w:type="dxa" w:w="9519"/>
            <w:shd w:val="clear" w:fill="EDF7F1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首年 6.0 人日 + 稳态 2.7 人日 ≈ 8.7 人日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1E7A52"/>
                <w:sz w:val="19"/>
              </w:rPr>
              <w:t>手册的定额口径是</w:t>
            </w:r>
            <w:r>
              <w:rPr>
                <w:rFonts w:ascii="Times New Roman" w:hAnsi="Times New Roman" w:eastAsia="宋体"/>
                <w:b/>
                <w:color w:val="1E7A52"/>
                <w:sz w:val="19"/>
              </w:rPr>
              <w:t>平均 8 人日 / 社区 / 年</w:t>
            </w:r>
            <w:r>
              <w:rPr>
                <w:rFonts w:ascii="Times New Roman" w:hAnsi="Times New Roman" w:eastAsia="宋体"/>
                <w:b w:val="0"/>
                <w:color w:val="1E7A52"/>
                <w:sz w:val="19"/>
              </w:rPr>
              <w:t>。首年高于稳态，是因为一次性投入集中在前 12 周；从第二年起降至约 2.7 人日。三年平均后落在 8 人日以内。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1E7A52"/>
                <w:sz w:val="19"/>
              </w:rPr>
              <w:t>在测算单点位服务成本时，按</w:t>
            </w:r>
            <w:r>
              <w:rPr>
                <w:rFonts w:ascii="Times New Roman" w:hAnsi="Times New Roman" w:eastAsia="宋体"/>
                <w:b/>
                <w:color w:val="1E7A52"/>
                <w:sz w:val="19"/>
              </w:rPr>
              <w:t>首年 6.0 人日</w:t>
            </w:r>
            <w:r>
              <w:rPr>
                <w:rFonts w:ascii="Times New Roman" w:hAnsi="Times New Roman" w:eastAsia="宋体"/>
                <w:b w:val="0"/>
                <w:color w:val="1E7A52"/>
                <w:sz w:val="19"/>
              </w:rPr>
              <w:t>计（一次性投入不可摊销到稳态年），这与单位经济模型中服务交付成本 3200 元（8 人日 × 400 元）的口径一致。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3.3　工时随点位规模的变化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3-3　工时与点位规模的关系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9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服务对象规模</w:t>
            </w:r>
          </w:p>
        </w:tc>
        <w:tc>
          <w:tcPr>
            <w:tcW w:type="dxa" w:w="13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首年工时</w:t>
            </w:r>
          </w:p>
        </w:tc>
        <w:tc>
          <w:tcPr>
            <w:tcW w:type="dxa" w:w="13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稳态工时</w:t>
            </w:r>
          </w:p>
        </w:tc>
        <w:tc>
          <w:tcPr>
            <w:tcW w:type="dxa" w:w="181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折算单点位年工时</w:t>
            </w:r>
          </w:p>
        </w:tc>
        <w:tc>
          <w:tcPr>
            <w:tcW w:type="dxa" w:w="226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适用说明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25 人（小型驿站）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3.8 人日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1.6 人日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5.4 人日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评估与培训环节按人数线性减少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50 人（基准）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6.0 人日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2.7 人日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8.0 人日（平均）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手册的定额基准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80 人（大型社区）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9.0 人日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4.0 人日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6.5 人日（平均）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宣讲场次增加，边际成本下降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color w:val="606670"/>
          <w:sz w:val="19"/>
        </w:rPr>
        <w:t>小规模点位的工时绝对值低但摊销后更贵——固定环节（洽谈、建档、开通）不随人数减少。这意味着</w:t>
      </w:r>
      <w:r>
        <w:rPr>
          <w:rFonts w:ascii="Times New Roman" w:hAnsi="Times New Roman" w:eastAsia="宋体"/>
          <w:b/>
          <w:color w:val="606670"/>
          <w:sz w:val="19"/>
        </w:rPr>
        <w:t>小点位应采用设备加服务的轻量交付，而非全套人工落地</w:t>
      </w:r>
      <w:r>
        <w:rPr>
          <w:rFonts w:ascii="Times New Roman" w:hAnsi="Times New Roman" w:eastAsia="宋体"/>
          <w:b w:val="0"/>
          <w:color w:val="606670"/>
          <w:sz w:val="19"/>
        </w:rPr>
        <w:t>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4　交付物清单与验收标准</w:t>
      </w:r>
    </w:p>
    <w:p>
      <w:pPr>
        <w:pStyle w:val="Heading2"/>
      </w:pPr>
      <w:r>
        <w:rPr>
          <w:rFonts w:ascii="Times New Roman" w:hAnsi="Times New Roman" w:eastAsia="黑体"/>
        </w:rPr>
        <w:t>4.1　点位交付物清单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下表是单个点位在一年周期内应产出的全部交付物。任何一项缺失，该点位不视为完成交付。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4-1　单点位全周期交付物清单（20 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56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序号</w:t>
            </w:r>
          </w:p>
        </w:tc>
        <w:tc>
          <w:tcPr>
            <w:tcW w:type="dxa" w:w="238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交付物</w:t>
            </w:r>
          </w:p>
        </w:tc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产出阶段</w:t>
            </w:r>
          </w:p>
        </w:tc>
        <w:tc>
          <w:tcPr>
            <w:tcW w:type="dxa" w:w="30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验收标准</w:t>
            </w:r>
          </w:p>
        </w:tc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留痕要求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合作协议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进场期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双方签署，含服务边界与责任条款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原件或扫描件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辖区名册交接单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进场期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社区签字确认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宣讲签到表与发放记录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进场期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场次与人数可核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老人基础档案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进场期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录入率 100%，脱敏处理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平台导出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5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知情告知与授权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进场期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签署率 100%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原件或扫描件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6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防跌安全评估表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评估期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五项无空缺，异常有描述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7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风险分级名单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评估期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含定级依据，社区书面确认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 + 平台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配发建议书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评估期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含辅具适配建议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9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设备台账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部署期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与实物逐台一致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平台导出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穿戴培训签到表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部署期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通过率 100%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双通道实弹验证记录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部署期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C03939"/>
                <w:sz w:val="16"/>
              </w:rPr>
              <w:t>两端回执齐全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平台导出 + 留档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12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激励规则公示件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部署期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已向服务对象公示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原件或照片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13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月度依从性报表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运行期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每月一份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平台导出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14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依从性回访记录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运行期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低依从性对象均有记录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设备异常处理单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运行期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异常处置闭环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16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事件与响应记录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运行期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每起事件完整留痕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平台导出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17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季度报告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复盘期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经人工核校后输出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18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改造建议清单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复盘期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含 P0/P1/P2 分级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19</w:t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复评记录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复盘期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高风险对象全覆盖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</w:t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年度服务小结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年度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含全年事件与佩戴汇总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原件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4.2　季度报告的最低要求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季度报告由平台出初稿、人工核校后输出。核校不可省略——平台掌握的是数据，但结论的表述方式需要人来把关，尤其是涉及社区与第三方机构表述的部分。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4-2　季度报告的最低结构要求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部分</w:t>
            </w:r>
          </w:p>
        </w:tc>
        <w:tc>
          <w:tcPr>
            <w:tcW w:type="dxa" w:w="30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内容要求</w:t>
            </w:r>
          </w:p>
        </w:tc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数据来源</w:t>
            </w:r>
          </w:p>
        </w:tc>
        <w:tc>
          <w:tcPr>
            <w:tcW w:type="dxa" w:w="3175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核校重点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服务概况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服务对象数、设备数、佩戴率均值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平台统计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口径是否与前季一致</w:t>
            </w:r>
          </w:p>
        </w:tc>
      </w:tr>
      <w:tr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事件构成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跌倒/险跌/误报数量与点位分布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平台统计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是否含险跌</w:t>
            </w:r>
            <w:r>
              <w:rPr>
                <w:rFonts w:ascii="Times New Roman" w:hAnsi="Times New Roman" w:eastAsia="宋体"/>
                <w:b w:val="0"/>
                <w:sz w:val="18"/>
              </w:rPr>
              <w:t>、有无重复计入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依从性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佩戴率分布与干预记录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平台统计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低依从性对象是否已干预</w:t>
            </w:r>
          </w:p>
        </w:tc>
      </w:tr>
      <w:tr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高发点位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风险点位及事件数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平台热力图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点位判定是否合理</w:t>
            </w:r>
          </w:p>
        </w:tc>
      </w:tr>
      <w:tr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改造建议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P0/P1/P2 分级建议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复盘结论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color w:val="C03939"/>
                <w:sz w:val="18"/>
              </w:rPr>
              <w:t>建议是否具体可执行，不写加强管理这类空话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5　质量红线：十条不可越过的判定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/>
          <w:sz w:val="21"/>
        </w:rPr>
        <w:t>以下十条是本手册的强制性要求。任何一条不满足，相应阶段不得判定完成。这十条不随点位规模、区域或时间调整。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5-1　十条质量红线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68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编号</w:t>
            </w:r>
          </w:p>
        </w:tc>
        <w:tc>
          <w:tcPr>
            <w:tcW w:type="dxa" w:w="30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红线要求</w:t>
            </w:r>
          </w:p>
        </w:tc>
        <w:tc>
          <w:tcPr>
            <w:tcW w:type="dxa" w:w="5216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为什么不可让步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双通道实弹验证未通过，不得进入运行期</w:t>
            </w:r>
          </w:p>
        </w:tc>
        <w:tc>
          <w:tcPr>
            <w:tcW w:type="dxa" w:w="521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开通成功不等于能收到消息。未实测即运行，事件发生时才发现告警未达，救援黄金时间已错过</w:t>
            </w:r>
          </w:p>
        </w:tc>
      </w:tr>
      <w:tr>
        <w:tc>
          <w:tcPr>
            <w:tcW w:type="dxa" w:w="68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R-02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知情告知与授权签署率必须 100%</w:t>
            </w:r>
          </w:p>
        </w:tc>
        <w:tc>
          <w:tcPr>
            <w:tcW w:type="dxa" w:w="5216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事件将推送位置信息至网格员与家属，无授权即涉及个人信息处理不合法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风险分级必须两人独立定级并比对</w:t>
            </w:r>
          </w:p>
        </w:tc>
        <w:tc>
          <w:tcPr>
            <w:tcW w:type="dxa" w:w="521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定级结果直接决定资源分配与设备配发，单人判定易受主观影响</w:t>
            </w:r>
          </w:p>
        </w:tc>
      </w:tr>
      <w:tr>
        <w:tc>
          <w:tcPr>
            <w:tcW w:type="dxa" w:w="68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R-04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评估阈值在新点位须复核，不得直接照搬</w:t>
            </w:r>
          </w:p>
        </w:tc>
        <w:tc>
          <w:tcPr>
            <w:tcW w:type="dxa" w:w="5216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阈值来自首个点位群体特征，换点位直接照搬会误判，可能使该纳入者被漏掉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R-05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季度报告必须经人工核校后方可输出</w:t>
            </w:r>
          </w:p>
        </w:tc>
        <w:tc>
          <w:tcPr>
            <w:tcW w:type="dxa" w:w="521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平台出的是数据结论，表述与建议的对外责任在项目组</w:t>
            </w:r>
          </w:p>
        </w:tc>
      </w:tr>
      <w:tr>
        <w:tc>
          <w:tcPr>
            <w:tcW w:type="dxa" w:w="68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R-06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险跌事件必须与跌倒一并统计</w:t>
            </w:r>
          </w:p>
        </w:tc>
        <w:tc>
          <w:tcPr>
            <w:tcW w:type="dxa" w:w="5216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险跌是未致跌的失衡，是改造窗口最敞开的位置，漏统计使改造优先级偏晚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R-07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依从性干预至四级为止，不得反复施压</w:t>
            </w:r>
          </w:p>
        </w:tc>
        <w:tc>
          <w:tcPr>
            <w:tcW w:type="dxa" w:w="521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反复施压会把压力转嫁家庭，最终导致老人对整个服务抵触</w:t>
            </w:r>
          </w:p>
        </w:tc>
      </w:tr>
      <w:tr>
        <w:tc>
          <w:tcPr>
            <w:tcW w:type="dxa" w:w="68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R-08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对外表述不得超出个人防护用品定位</w:t>
            </w:r>
          </w:p>
        </w:tc>
        <w:tc>
          <w:tcPr>
            <w:tcW w:type="dxa" w:w="5216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产品按个人防护用品、普通消费品定位，不作医疗诊断治疗或疾病预测声明；宣传越界涉及产品准入资格，不只是措辞问题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R-09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对外社区画像数据须匿名化，仅输出群体分布</w:t>
            </w:r>
          </w:p>
        </w:tc>
        <w:tc>
          <w:tcPr>
            <w:tcW w:type="dxa" w:w="521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个体级健康相关数据不得用于群体画像输出</w:t>
            </w:r>
          </w:p>
        </w:tc>
      </w:tr>
      <w:tr>
        <w:tc>
          <w:tcPr>
            <w:tcW w:type="dxa" w:w="68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R-10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每一起事件的全链路必须完整留痕</w:t>
            </w:r>
          </w:p>
        </w:tc>
        <w:tc>
          <w:tcPr>
            <w:tcW w:type="dxa" w:w="5216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责任认定需要谁在什么时间收到、什么时间到场、做了什么的完整证据链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6　异常处置与升级路径</w:t>
      </w:r>
    </w:p>
    <w:p>
      <w:pPr>
        <w:pStyle w:val="Heading2"/>
      </w:pPr>
      <w:r>
        <w:rPr>
          <w:rFonts w:ascii="Times New Roman" w:hAnsi="Times New Roman" w:eastAsia="黑体"/>
        </w:rPr>
        <w:t>6.1　设备类异常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6-1　设备异常处置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异常</w:t>
            </w:r>
          </w:p>
        </w:tc>
        <w:tc>
          <w:tcPr>
            <w:tcW w:type="dxa" w:w="204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判断依据</w:t>
            </w:r>
          </w:p>
        </w:tc>
        <w:tc>
          <w:tcPr>
            <w:tcW w:type="dxa" w:w="3402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处置动作</w:t>
            </w:r>
          </w:p>
        </w:tc>
        <w:tc>
          <w:tcPr>
            <w:tcW w:type="dxa" w:w="181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时限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低电量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电量低于 20%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通知老人充电或安排上门充电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当日</w:t>
            </w:r>
          </w:p>
        </w:tc>
      </w:tr>
      <w:tr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低气压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储气压力低于 82 kPa</w:t>
            </w:r>
          </w:p>
        </w:tc>
        <w:tc>
          <w:tcPr>
            <w:tcW w:type="dxa" w:w="3402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引导至充电底座或社区回充站回充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当日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传感通道基线漂移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系统告警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切换惯性通道降级运行，安排检修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个工作日</w:t>
            </w:r>
          </w:p>
        </w:tc>
      </w:tr>
      <w:tr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设备离线超 24 h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平台无遥测</w:t>
            </w:r>
          </w:p>
        </w:tc>
        <w:tc>
          <w:tcPr>
            <w:tcW w:type="dxa" w:w="3402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电话联系排查，确认老人佩戴与设备状态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 小时内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设备损坏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现场确认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登记并更换，同步更新台账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个工作日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F0C896"/>
          <w:left w:val="single" w:sz="6" w:color="F0C896"/>
          <w:bottom w:val="single" w:sz="6" w:color="F0C896"/>
          <w:right w:val="single" w:sz="6" w:color="F0C896"/>
          <w:insideH w:val="single" w:sz="6" w:color="F0C896"/>
          <w:insideV w:val="single" w:sz="6" w:color="F0C896"/>
        </w:tblBorders>
      </w:tblPr>
      <w:tblGrid>
        <w:gridCol w:w="9519"/>
      </w:tblGrid>
      <w:tr>
        <w:tc>
          <w:tcPr>
            <w:tcW w:type="dxa" w:w="9519"/>
            <w:shd w:val="clear" w:fill="FFF6E8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低气压为什么定为当日处理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储气压力低于阈值意味着</w:t>
            </w:r>
            <w:r>
              <w:rPr>
                <w:rFonts w:ascii="Times New Roman" w:hAnsi="Times New Roman" w:eastAsia="宋体"/>
                <w:b/>
                <w:color w:val="C96A1C"/>
                <w:sz w:val="19"/>
              </w:rPr>
              <w:t>气囊触发时气量可能不足，防护效果打折，且这种失效是无声的</w:t>
            </w: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——老人与家属都不会察觉。因此该异常不等同于设备没电，必须当日处理。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本项目采用可回充储气方案，气囊排气后可复位、储气罐可重新充压，</w:t>
            </w:r>
            <w:r>
              <w:rPr>
                <w:rFonts w:ascii="Times New Roman" w:hAnsi="Times New Roman" w:eastAsia="宋体"/>
                <w:b/>
                <w:color w:val="C96A1C"/>
                <w:sz w:val="19"/>
              </w:rPr>
              <w:t>不产生耗材支出</w:t>
            </w: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——这也是回充可以高频执行、机构愿意承担运维成本的前提。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6.2　事件类异常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6-2　事件类异常处置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70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异常</w:t>
            </w:r>
          </w:p>
        </w:tc>
        <w:tc>
          <w:tcPr>
            <w:tcW w:type="dxa" w:w="181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判断依据</w:t>
            </w:r>
          </w:p>
        </w:tc>
        <w:tc>
          <w:tcPr>
            <w:tcW w:type="dxa" w:w="36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处置动作</w:t>
            </w:r>
          </w:p>
        </w:tc>
        <w:tc>
          <w:tcPr>
            <w:tcW w:type="dxa" w:w="181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升级对象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告警未送达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消息无回执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立即电话通知网格员；同步排查家属端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 + 社区对接人</w:t>
            </w:r>
          </w:p>
        </w:tc>
      </w:tr>
      <w:tr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网格员超时未接单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超过 5 分钟</w:t>
            </w:r>
          </w:p>
        </w:tc>
        <w:tc>
          <w:tcPr>
            <w:tcW w:type="dxa" w:w="36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电话直接联系；必要时启动备选响应人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社区对接人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现场无法处置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超出网格员能力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呼叫急救；同步通知家属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急救 + 项目负责人</w:t>
            </w:r>
          </w:p>
        </w:tc>
      </w:tr>
      <w:tr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确认误报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现场核实为日常动作</w:t>
            </w:r>
          </w:p>
        </w:tc>
        <w:tc>
          <w:tcPr>
            <w:tcW w:type="dxa" w:w="36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须向老人当面解释机制</w:t>
            </w:r>
            <w:r>
              <w:rPr>
                <w:rFonts w:ascii="Times New Roman" w:hAnsi="Times New Roman" w:eastAsia="宋体"/>
                <w:b w:val="0"/>
                <w:sz w:val="18"/>
              </w:rPr>
              <w:t>，不得只记一笔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驻场服务专员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EFC0C0"/>
          <w:left w:val="single" w:sz="6" w:color="EFC0C0"/>
          <w:bottom w:val="single" w:sz="6" w:color="EFC0C0"/>
          <w:right w:val="single" w:sz="6" w:color="EFC0C0"/>
          <w:insideH w:val="single" w:sz="6" w:color="EFC0C0"/>
          <w:insideV w:val="single" w:sz="6" w:color="EFC0C0"/>
        </w:tblBorders>
      </w:tblPr>
      <w:tblGrid>
        <w:gridCol w:w="9519"/>
      </w:tblGrid>
      <w:tr>
        <w:tc>
          <w:tcPr>
            <w:tcW w:type="dxa" w:w="9519"/>
            <w:shd w:val="clear" w:fill="FDEEEE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误报必须当面解释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03939"/>
                <w:sz w:val="19"/>
              </w:rPr>
              <w:t>误报是本模式的主要风险之一。老人一旦不理解误报机制，会认为设备总报警而弃用——</w:t>
            </w:r>
            <w:r>
              <w:rPr>
                <w:rFonts w:ascii="Times New Roman" w:hAnsi="Times New Roman" w:eastAsia="宋体"/>
                <w:b/>
                <w:color w:val="C03939"/>
                <w:sz w:val="19"/>
              </w:rPr>
              <w:t>误报处置同样需要闭环</w:t>
            </w:r>
            <w:r>
              <w:rPr>
                <w:rFonts w:ascii="Times New Roman" w:hAnsi="Times New Roman" w:eastAsia="宋体"/>
                <w:b w:val="0"/>
                <w:color w:val="C03939"/>
                <w:sz w:val="19"/>
              </w:rPr>
              <w:t>。处置记录中必须包含向老人解释的确认项，而非只记录核实结论。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6.3　升级路径总览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6-3　四级升级路径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79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层级</w:t>
            </w:r>
          </w:p>
        </w:tc>
        <w:tc>
          <w:tcPr>
            <w:tcW w:type="dxa" w:w="36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触发条件</w:t>
            </w:r>
          </w:p>
        </w:tc>
        <w:tc>
          <w:tcPr>
            <w:tcW w:type="dxa" w:w="226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响应人</w:t>
            </w:r>
          </w:p>
        </w:tc>
        <w:tc>
          <w:tcPr>
            <w:tcW w:type="dxa" w:w="226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响应时限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一级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单点位日常异常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驻场服务专员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按表 6-1 时限</w:t>
            </w:r>
          </w:p>
        </w:tc>
      </w:tr>
      <w:tr>
        <w:tc>
          <w:tcPr>
            <w:tcW w:type="dxa" w:w="79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二级</w:t>
            </w:r>
          </w:p>
        </w:tc>
        <w:tc>
          <w:tcPr>
            <w:tcW w:type="dxa" w:w="36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点位服务中断（设备批量离线、告警链路故障）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小时内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三级</w:t>
            </w:r>
          </w:p>
        </w:tc>
        <w:tc>
          <w:tcPr>
            <w:tcW w:type="dxa" w:w="36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发生人身伤害事件，或涉及媒体/法律风险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 + 指导教师</w:t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立即</w:t>
            </w:r>
          </w:p>
        </w:tc>
      </w:tr>
      <w:tr>
        <w:tc>
          <w:tcPr>
            <w:tcW w:type="dxa" w:w="79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四级</w:t>
            </w:r>
          </w:p>
        </w:tc>
        <w:tc>
          <w:tcPr>
            <w:tcW w:type="dxa" w:w="36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涉及产品宣传口径质疑或合规问询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指导教师 + 项目负责人</w:t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立即，暂停相关表述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7　风险提示与合规边界</w:t>
      </w:r>
    </w:p>
    <w:p>
      <w:pPr>
        <w:pStyle w:val="Heading2"/>
      </w:pPr>
      <w:r>
        <w:rPr>
          <w:rFonts w:ascii="Times New Roman" w:hAnsi="Times New Roman" w:eastAsia="黑体"/>
        </w:rPr>
        <w:t>7.1　产品属性与宣传口径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519"/>
      </w:tblGrid>
      <w:tr>
        <w:tc>
          <w:tcPr>
            <w:tcW w:type="dxa" w:w="9519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标准声明（对外统一表述）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本产品按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个人防护用品、普通消费品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定位，核心价值为物理防护与应急响应，不作任何医疗诊断、治疗或疾病风险预测声明，现阶段不申报医疗器械注册。未来若拓展至医疗机构采购场景，将另行开展器械分类界定与注册路径评估。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主动移除的两项功能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：电刺激理疗、热敷与振动干预（属医疗干预行为）；基于步态的中风、认知障碍等疾病风险预警（属疾病预测）。二者均超出个人防护用品定位。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7.2　主要风险与手册内对应措施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7-1　主要风险与手册内对应措施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3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风险类别</w:t>
            </w:r>
          </w:p>
        </w:tc>
        <w:tc>
          <w:tcPr>
            <w:tcW w:type="dxa" w:w="204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主要风险点</w:t>
            </w:r>
          </w:p>
        </w:tc>
        <w:tc>
          <w:tcPr>
            <w:tcW w:type="dxa" w:w="4082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本手册中的应对</w:t>
            </w:r>
          </w:p>
        </w:tc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责任岗位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合规风险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宣传表述越界、医疗器械监管边界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第 5 章 R-08 红线；第 7.1 节标准声明；四级升级路径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 + 指导教师</w:t>
            </w:r>
          </w:p>
        </w:tc>
      </w:tr>
      <w:tr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产品安全风险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气囊误触发造成惊吓或二次伤害</w:t>
            </w:r>
          </w:p>
        </w:tc>
        <w:tc>
          <w:tcPr>
            <w:tcW w:type="dxa" w:w="4082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风险识别层以运动生物力学平衡边界理论界定失衡判据；日常动作定向增强训练；误报当面解释（6.2 节）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研发 + 驻场专员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技术风险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识别误报与漏报、气路可靠性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误报率验证目标 5% 以内，真实老年数据校正前不规模推广；储气压力自检与当日回充（6.1 节）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研发 + 驻场专员</w:t>
            </w:r>
          </w:p>
        </w:tc>
      </w:tr>
      <w:tr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市场与运营风险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佩戴依从性不足</w:t>
            </w:r>
          </w:p>
        </w:tc>
        <w:tc>
          <w:tcPr>
            <w:tcW w:type="dxa" w:w="4082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四级依从性干预（2.4.4 节）；社区激励机制上线（D-07）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社区对接人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机构运营风险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无网格员协同的点位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1.2 节硬约束：无网格员协同的点位不予签约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</w:tr>
      <w:tr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数据安全与伦理</w:t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采集伦理与个人信息保护</w:t>
            </w:r>
          </w:p>
        </w:tc>
        <w:tc>
          <w:tcPr>
            <w:tcW w:type="dxa" w:w="4082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R-02 授权 100%；R-09 社区画像匿名化；本地推理优先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7.3　数据处理原则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 xml:space="preserve">● </w:t>
      </w:r>
      <w:r>
        <w:rPr>
          <w:rFonts w:ascii="Times New Roman" w:hAnsi="Times New Roman" w:eastAsia="宋体"/>
          <w:b/>
          <w:sz w:val="21"/>
        </w:rPr>
        <w:t>本地优先</w:t>
      </w:r>
      <w:r>
        <w:rPr>
          <w:rFonts w:ascii="Times New Roman" w:hAnsi="Times New Roman" w:eastAsia="宋体"/>
          <w:b w:val="0"/>
          <w:sz w:val="21"/>
        </w:rPr>
        <w:t>：AI 推理在设备端完成，步态数据默认不上传云端。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仅在用户主动同步或事件发生时，才传输必要数据。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事件推送仅包含处置所必需的信息（点位、事件类型、时间），不含健康状况描述。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用于社区画像的数据经匿名化处理，仅输出群体层面分布。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档案中的姓名做脱敏处理（姓氏加星号），完整身份信息由社区方保管。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设备停用或老人退出时，其档案与数据的处置按社区方与协议约定执行。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附录 A　社区落地工具包清单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/>
          <w:sz w:val="21"/>
        </w:rPr>
        <w:t>以下材料是本手册的配套工具包，是不依赖个人经验这一主张的物质基础。新成员执行本手册时使用工具包，不自行设计材料。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A-1　社区落地工具包清单（10 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62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编号</w:t>
            </w:r>
          </w:p>
        </w:tc>
        <w:tc>
          <w:tcPr>
            <w:tcW w:type="dxa" w:w="19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材料名称</w:t>
            </w:r>
          </w:p>
        </w:tc>
        <w:tc>
          <w:tcPr>
            <w:tcW w:type="dxa" w:w="272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用途</w:t>
            </w:r>
          </w:p>
        </w:tc>
        <w:tc>
          <w:tcPr>
            <w:tcW w:type="dxa" w:w="124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使用阶段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当前状态</w:t>
            </w:r>
          </w:p>
        </w:tc>
        <w:tc>
          <w:tcPr>
            <w:tcW w:type="dxa" w:w="1417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6"/>
              </w:rPr>
              <w:t>维护责任人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A-1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跌倒防护科普讲义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面向老人及其家属的宣讲材料，含跌倒危害与防护认知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进场期 J-03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已定型</w:t>
            </w:r>
          </w:p>
        </w:tc>
        <w:tc>
          <w:tcPr>
            <w:tcW w:type="dxa" w:w="141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A-2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防跌安全评估表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五项评估的现场记录表，含异常描述栏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评估期 P-02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已定型</w:t>
            </w:r>
          </w:p>
        </w:tc>
        <w:tc>
          <w:tcPr>
            <w:tcW w:type="dxa" w:w="141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A-3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穿戴培训脚本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穿戴指导的标准话术与演示流程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部署期 D-02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已定型</w:t>
            </w:r>
          </w:p>
        </w:tc>
        <w:tc>
          <w:tcPr>
            <w:tcW w:type="dxa" w:w="141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驻场专员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A-4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季度报告模板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报告初稿结构，含数据表与建议栏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复盘期 R-04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已定型</w:t>
            </w:r>
          </w:p>
        </w:tc>
        <w:tc>
          <w:tcPr>
            <w:tcW w:type="dxa" w:w="141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A-5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运维清单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日常巡检、异常处理、回充安排的执行清单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运行期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已定型</w:t>
            </w:r>
          </w:p>
        </w:tc>
        <w:tc>
          <w:tcPr>
            <w:tcW w:type="dxa" w:w="141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驻场专员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A-6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知情告知与授权文本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佩戴授权与数据处理告知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进场期 J-05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已定型</w:t>
            </w:r>
          </w:p>
        </w:tc>
        <w:tc>
          <w:tcPr>
            <w:tcW w:type="dxa" w:w="141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A-7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事件响应记录表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现场查体、处置、就医情况的记录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运行期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已定型</w:t>
            </w:r>
          </w:p>
        </w:tc>
        <w:tc>
          <w:tcPr>
            <w:tcW w:type="dxa" w:w="141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驻场专员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A-8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依从性回访记录表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未佩戴原因与干预动作的记录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运行期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已定型</w:t>
            </w:r>
          </w:p>
        </w:tc>
        <w:tc>
          <w:tcPr>
            <w:tcW w:type="dxa" w:w="141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驻场专员</w:t>
            </w:r>
          </w:p>
        </w:tc>
      </w:tr>
      <w:tr>
        <w:tc>
          <w:tcPr>
            <w:tcW w:type="dxa" w:w="62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A-9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合作协议模板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含服务边界、责任条款的协议框架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进场期 J-01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已定型</w:t>
            </w:r>
          </w:p>
        </w:tc>
        <w:tc>
          <w:tcPr>
            <w:tcW w:type="dxa" w:w="141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</w:tr>
      <w:tr>
        <w:tc>
          <w:tcPr>
            <w:tcW w:type="dxa" w:w="62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A-10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服务平台操作指引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后台与家属端的操作说明（含截图）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部署期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已定型</w:t>
            </w:r>
          </w:p>
        </w:tc>
        <w:tc>
          <w:tcPr>
            <w:tcW w:type="dxa" w:w="141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项目负责人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color w:val="606670"/>
          <w:sz w:val="19"/>
        </w:rPr>
        <w:t>材料状态说明：已定型指已完成首轮验证、版本号为 V1.0、已随首个点位实际使用过一轮。工具包的迭代规则是：每个季度复盘期集中收集使用反馈，季度末统一更新版本，并在版本变更记录中写明改了什么、为什么改。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附录 B　第二点位意向与执行资源证明（表单说明）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/>
          <w:sz w:val="21"/>
        </w:rPr>
        <w:t>本附录说明随本手册交付的《安行护腰第二点位执行记录表》的填写要求。</w:t>
      </w:r>
    </w:p>
    <w:p>
      <w:pPr>
        <w:pStyle w:val="Heading2"/>
      </w:pPr>
      <w:r>
        <w:rPr>
          <w:rFonts w:ascii="Times New Roman" w:hAnsi="Times New Roman" w:eastAsia="黑体"/>
        </w:rPr>
        <w:t>B.1　这张表单要证明什么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  <w:t>可复制性需要两份证据，本手册提供第一份（动作可被照做），表单提供第二份（第二个点位确实做出来了）。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519"/>
      </w:tblGrid>
      <w:tr>
        <w:tc>
          <w:tcPr>
            <w:tcW w:type="dxa" w:w="9519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为什么不靠机构总数这类间接证据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点位数量只能说明签了约，不能说明第二个点位真的按手册跑通了。中间可能隔着团队成员数月的额外投入，而这个投入在签约时是隐性的、在复制时会变成障碍。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因此表单要证明的是三件具体的事：①第二个点位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愿意做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（意向与协同资源已书面落实）；②第二个点位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真的做了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（工时按手册执行，无超支）；③第二个点位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跑到了同样质量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（交付物齐全、闭环率达标）。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B.2　表单的三个部分</w:t>
      </w:r>
    </w:p>
    <w:p>
      <w:pPr>
        <w:spacing w:line="360" w:lineRule="auto" w:before="160" w:after="60"/>
        <w:jc w:val="center"/>
      </w:pPr>
      <w:r>
        <w:rPr>
          <w:rFonts w:ascii="Times New Roman" w:hAnsi="Times New Roman" w:eastAsia="黑体"/>
          <w:b/>
          <w:sz w:val="19"/>
        </w:rPr>
        <w:t>表 B-1　第二点位执行记录表的三个部分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13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部分</w:t>
            </w:r>
          </w:p>
        </w:tc>
        <w:tc>
          <w:tcPr>
            <w:tcW w:type="dxa" w:w="1928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名称</w:t>
            </w:r>
          </w:p>
        </w:tc>
        <w:tc>
          <w:tcPr>
            <w:tcW w:type="dxa" w:w="3402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证明什么</w:t>
            </w:r>
          </w:p>
        </w:tc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填写时点</w:t>
            </w:r>
          </w:p>
        </w:tc>
        <w:tc>
          <w:tcPr>
            <w:tcW w:type="dxa" w:w="1020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对应手册章节</w:t>
            </w:r>
          </w:p>
        </w:tc>
      </w:tr>
      <w:tr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第一部分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点位意向与执行资源确认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社区方的书面意愿与三项协同资源（名册渠道、网格员、激励资源）已落实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进场期 J-02 之后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1.2、2.1.2</w:t>
            </w:r>
          </w:p>
        </w:tc>
      </w:tr>
      <w:tr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第二部分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工时执行记录</w:t>
            </w:r>
          </w:p>
        </w:tc>
        <w:tc>
          <w:tcPr>
            <w:tcW w:type="dxa" w:w="3402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五个阶段的实际投入与手册定额的逐条对照，偏差可解释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全周期持续记录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3 章</w:t>
            </w:r>
          </w:p>
        </w:tc>
      </w:tr>
      <w:tr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第三部分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交付质量自评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 项交付物齐全性与质量指标的达标情况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年度末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4 章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B.3　填写与核对规则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 xml:space="preserve">● </w:t>
      </w:r>
      <w:r>
        <w:rPr>
          <w:rFonts w:ascii="Times New Roman" w:hAnsi="Times New Roman" w:eastAsia="宋体"/>
          <w:b/>
          <w:sz w:val="21"/>
        </w:rPr>
        <w:t>第一部分</w:t>
      </w:r>
      <w:r>
        <w:rPr>
          <w:rFonts w:ascii="Times New Roman" w:hAnsi="Times New Roman" w:eastAsia="宋体"/>
          <w:b w:val="0"/>
          <w:sz w:val="21"/>
        </w:rPr>
        <w:t>由社区对接人签字确认，项目负责人复核。两者都签才算落实。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 xml:space="preserve">● </w:t>
      </w:r>
      <w:r>
        <w:rPr>
          <w:rFonts w:ascii="Times New Roman" w:hAnsi="Times New Roman" w:eastAsia="宋体"/>
          <w:b/>
          <w:sz w:val="21"/>
        </w:rPr>
        <w:t>第二部分</w:t>
      </w:r>
      <w:r>
        <w:rPr>
          <w:rFonts w:ascii="Times New Roman" w:hAnsi="Times New Roman" w:eastAsia="宋体"/>
          <w:b w:val="0"/>
          <w:sz w:val="21"/>
        </w:rPr>
        <w:t>按手册动作编号逐条记录（J-01、P-02 等），便于逐项对照定额。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 xml:space="preserve">● </w:t>
      </w:r>
      <w:r>
        <w:rPr>
          <w:rFonts w:ascii="Times New Roman" w:hAnsi="Times New Roman" w:eastAsia="宋体"/>
          <w:b/>
          <w:sz w:val="21"/>
        </w:rPr>
        <w:t>第三部分</w:t>
      </w:r>
      <w:r>
        <w:rPr>
          <w:rFonts w:ascii="Times New Roman" w:hAnsi="Times New Roman" w:eastAsia="宋体"/>
          <w:b w:val="0"/>
          <w:sz w:val="21"/>
        </w:rPr>
        <w:t>的闭环率、依从性等指标须与平台导出的数据一致，不得手工估填。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全表由项目负责人签字确认，并对数据真实性负责。</w:t>
      </w:r>
    </w:p>
    <w:p>
      <w:pPr>
        <w:spacing w:line="348" w:lineRule="auto" w:after="40"/>
        <w:ind w:left="567" w:hanging="283"/>
      </w:pPr>
      <w:r>
        <w:rPr>
          <w:rFonts w:ascii="Times New Roman" w:hAnsi="Times New Roman" w:eastAsia="宋体"/>
          <w:b w:val="0"/>
          <w:sz w:val="21"/>
        </w:rPr>
        <w:t>● 该表是</w:t>
      </w:r>
      <w:r>
        <w:rPr>
          <w:rFonts w:ascii="Times New Roman" w:hAnsi="Times New Roman" w:eastAsia="宋体"/>
          <w:b/>
          <w:sz w:val="21"/>
        </w:rPr>
        <w:t>可复制性的实证材料</w:t>
      </w:r>
      <w:r>
        <w:rPr>
          <w:rFonts w:ascii="Times New Roman" w:hAnsi="Times New Roman" w:eastAsia="宋体"/>
          <w:b w:val="0"/>
          <w:sz w:val="21"/>
        </w:rPr>
        <w:t>，应与平台导出的原始记录一并留存，便于交叉核对。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F0C896"/>
          <w:left w:val="single" w:sz="6" w:color="F0C896"/>
          <w:bottom w:val="single" w:sz="6" w:color="F0C896"/>
          <w:right w:val="single" w:sz="6" w:color="F0C896"/>
          <w:insideH w:val="single" w:sz="6" w:color="F0C896"/>
          <w:insideV w:val="single" w:sz="6" w:color="F0C896"/>
        </w:tblBorders>
      </w:tblPr>
      <w:tblGrid>
        <w:gridCol w:w="9519"/>
      </w:tblGrid>
      <w:tr>
        <w:tc>
          <w:tcPr>
            <w:tcW w:type="dxa" w:w="9519"/>
            <w:shd w:val="clear" w:fill="FFF6E8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关于模板与示例的说明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本手册交付时提供</w:t>
            </w:r>
            <w:r>
              <w:rPr>
                <w:rFonts w:ascii="Times New Roman" w:hAnsi="Times New Roman" w:eastAsia="宋体"/>
                <w:b/>
                <w:color w:val="C96A1C"/>
                <w:sz w:val="19"/>
              </w:rPr>
              <w:t>空白模板</w:t>
            </w: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与</w:t>
            </w:r>
            <w:r>
              <w:rPr>
                <w:rFonts w:ascii="Times New Roman" w:hAnsi="Times New Roman" w:eastAsia="宋体"/>
                <w:b/>
                <w:color w:val="C96A1C"/>
                <w:sz w:val="19"/>
              </w:rPr>
              <w:t>填写示例</w:t>
            </w: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各一份。填写示例为格式演示与口径参照，其中数据取自首个点位的实际执行情况，</w:t>
            </w:r>
            <w:r>
              <w:rPr>
                <w:rFonts w:ascii="Times New Roman" w:hAnsi="Times New Roman" w:eastAsia="宋体"/>
                <w:b/>
                <w:color w:val="C96A1C"/>
                <w:sz w:val="19"/>
              </w:rPr>
              <w:t>仅用于说明填写方式</w:t>
            </w:r>
            <w:r>
              <w:rPr>
                <w:rFonts w:ascii="Times New Roman" w:hAnsi="Times New Roman" w:eastAsia="宋体"/>
                <w:b w:val="0"/>
                <w:color w:val="C96A1C"/>
                <w:sz w:val="19"/>
              </w:rPr>
              <w:t>；第二点位执行时须按实际情况重新填写，不得直接沿用示例数据。</w:t>
            </w:r>
          </w:p>
        </w:tc>
      </w:tr>
    </w:tbl>
    <w:p>
      <w:pPr>
        <w:spacing w:after="40"/>
      </w:pP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360" w:lineRule="auto" w:before="0" w:after="280"/>
        <w:jc w:val="center"/>
      </w:pPr>
      <w:r>
        <w:rPr>
          <w:rFonts w:ascii="Times New Roman" w:hAnsi="Times New Roman" w:eastAsia="宋体"/>
          <w:b w:val="0"/>
          <w:color w:val="606670"/>
          <w:sz w:val="20"/>
        </w:rPr>
        <w:t>（手册正文完）</w:t>
      </w:r>
    </w:p>
    <w:p>
      <w:pPr>
        <w:spacing w:line="360" w:lineRule="auto" w:before="0" w:after="80"/>
        <w:jc w:val="center"/>
      </w:pPr>
      <w:r>
        <w:rPr>
          <w:rFonts w:ascii="Times New Roman" w:hAnsi="Times New Roman" w:eastAsia="宋体"/>
          <w:b w:val="0"/>
          <w:color w:val="606670"/>
          <w:sz w:val="18"/>
        </w:rPr>
        <w:t>本手册为安行护腰项目组的内部服务流程文档，随项目迭代更新。文中全部性能数值与风险判定阈值均为设计目标或待验证指标，不代表整机实测结果。产品按个人防护用品定位，不作医疗诊断、治疗或疾病预测声明。</w:t>
      </w:r>
    </w:p>
    <w:sectPr w:rsidR="00FC693F" w:rsidRPr="0006063C" w:rsidSect="00034616">
      <w:pgSz w:w="12240" w:h="15840"/>
      <w:pgMar w:top="1361" w:right="1247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E6FA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E6F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2E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 w:line="312" w:lineRule="auto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60667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