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line="264" w:lineRule="auto" w:before="0" w:after="60"/>
        <w:jc w:val="center"/>
      </w:pPr>
      <w:r>
        <w:rPr>
          <w:rFonts w:ascii="Times New Roman" w:hAnsi="Times New Roman" w:eastAsia="黑体"/>
          <w:b/>
          <w:color w:val="1A2E3C"/>
          <w:sz w:val="48"/>
        </w:rPr>
        <w:t>安行护腰</w:t>
      </w:r>
    </w:p>
    <w:p>
      <w:pPr>
        <w:spacing w:line="288" w:lineRule="auto" w:before="0" w:after="80"/>
        <w:jc w:val="center"/>
      </w:pPr>
      <w:r>
        <w:rPr>
          <w:rFonts w:ascii="Times New Roman" w:hAnsi="Times New Roman" w:eastAsia="黑体"/>
          <w:b/>
          <w:color w:val="0E6FA8"/>
          <w:sz w:val="34"/>
        </w:rPr>
        <w:t>第二点位执行记录表</w:t>
      </w:r>
    </w:p>
    <w:p>
      <w:pPr>
        <w:spacing w:line="360" w:lineRule="auto" w:before="0" w:after="80"/>
        <w:jc w:val="center"/>
      </w:pPr>
      <w:r>
        <w:rPr>
          <w:rFonts w:ascii="Times New Roman" w:hAnsi="Times New Roman" w:eastAsia="宋体"/>
          <w:b w:val="0"/>
          <w:color w:val="606670"/>
          <w:sz w:val="19"/>
        </w:rPr>
        <w:t>Second-Site Execution Record</w:t>
      </w:r>
    </w:p>
    <w:p>
      <w:pPr>
        <w:spacing w:line="360" w:lineRule="auto" w:before="0" w:after="60"/>
        <w:jc w:val="center"/>
      </w:pPr>
      <w:r>
        <w:rPr>
          <w:rFonts w:ascii="Times New Roman" w:hAnsi="Times New Roman" w:eastAsia="宋体"/>
          <w:b w:val="0"/>
          <w:color w:val="1A2E3C"/>
          <w:sz w:val="22"/>
        </w:rPr>
        <w:t>用于证明社区防跌安全服务模式具备可复制性</w:t>
      </w:r>
    </w:p>
    <w:p>
      <w:pPr>
        <w:spacing w:line="360" w:lineRule="auto" w:before="0" w:after="240"/>
        <w:jc w:val="center"/>
      </w:pPr>
      <w:r>
        <w:rPr>
          <w:rFonts w:ascii="Times New Roman" w:hAnsi="Times New Roman" w:eastAsia="宋体"/>
          <w:b w:val="0"/>
          <w:color w:val="606670"/>
          <w:sz w:val="19"/>
        </w:rPr>
        <w:t>配套文件：《社区落地标准化作业手册》V1.0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A8D8BF"/>
          <w:left w:val="single" w:sz="6" w:color="A8D8BF"/>
          <w:bottom w:val="single" w:sz="6" w:color="A8D8BF"/>
          <w:right w:val="single" w:sz="6" w:color="A8D8BF"/>
          <w:insideH w:val="single" w:sz="6" w:color="A8D8BF"/>
          <w:insideV w:val="single" w:sz="6" w:color="A8D8BF"/>
        </w:tblBorders>
      </w:tblPr>
      <w:tblGrid>
        <w:gridCol w:w="9745"/>
      </w:tblGrid>
      <w:tr>
        <w:tc>
          <w:tcPr>
            <w:tcW w:type="dxa" w:w="9745"/>
            <w:shd w:val="clear" w:fill="EDF7F1"/>
          </w:tcPr>
          <w:p>
            <w:pPr>
              <w:spacing w:before="60" w:after="40" w:line="336" w:lineRule="auto"/>
            </w:pPr>
            <w:r/>
            <w:r>
              <w:rPr>
                <w:rFonts w:ascii="Times New Roman" w:hAnsi="Times New Roman" w:eastAsia="宋体"/>
                <w:b/>
                <w:color w:val="1A2E3C"/>
                <w:sz w:val="19"/>
              </w:rPr>
              <w:t>模板使用提示</w:t>
            </w:r>
          </w:p>
          <w:p>
            <w:pPr>
              <w:spacing w:before="60" w:after="40" w:line="336" w:lineRule="auto"/>
            </w:pPr>
            <w:r>
              <w:rPr>
                <w:rFonts w:ascii="Times New Roman" w:hAnsi="Times New Roman" w:eastAsia="宋体"/>
                <w:b w:val="0"/>
                <w:color w:val="1E7A52"/>
                <w:sz w:val="19"/>
              </w:rPr>
              <w:t>本表为</w:t>
            </w:r>
            <w:r>
              <w:rPr>
                <w:rFonts w:ascii="Times New Roman" w:hAnsi="Times New Roman" w:eastAsia="宋体"/>
                <w:b/>
                <w:color w:val="1E7A52"/>
                <w:sz w:val="19"/>
              </w:rPr>
              <w:t>空白模板</w:t>
            </w:r>
            <w:r>
              <w:rPr>
                <w:rFonts w:ascii="Times New Roman" w:hAnsi="Times New Roman" w:eastAsia="宋体"/>
                <w:b w:val="0"/>
                <w:color w:val="1E7A52"/>
                <w:sz w:val="19"/>
              </w:rPr>
              <w:t xml:space="preserve">。请用黑色签字笔填写；不适用的项划斜线并签字确认。带 </w:t>
            </w:r>
            <w:r>
              <w:rPr>
                <w:rFonts w:ascii="Times New Roman" w:hAnsi="Times New Roman" w:eastAsia="宋体"/>
                <w:b/>
                <w:color w:val="1E7A52"/>
                <w:sz w:val="19"/>
              </w:rPr>
              <w:t xml:space="preserve"> 标记的为关键项，漏填将使本表失去证明效力。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黑体"/>
        </w:rPr>
        <w:t>表单基本信息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474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项目</w:t>
            </w:r>
          </w:p>
        </w:tc>
        <w:tc>
          <w:tcPr>
            <w:tcW w:type="dxa" w:w="3061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内容</w:t>
            </w:r>
          </w:p>
        </w:tc>
        <w:tc>
          <w:tcPr>
            <w:tcW w:type="dxa" w:w="1474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项目</w:t>
            </w:r>
          </w:p>
        </w:tc>
        <w:tc>
          <w:tcPr>
            <w:tcW w:type="dxa" w:w="3061"/>
            <w:shd w:val="clear" w:fill="DCEAF3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表单编号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AXB-SITE-RECORD-______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填写日期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______年____月____日</w:t>
            </w:r>
          </w:p>
        </w:tc>
      </w:tr>
      <w:tr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点位名称</w:t>
            </w:r>
          </w:p>
        </w:tc>
        <w:tc>
          <w:tcPr>
            <w:tcW w:type="dxa" w:w="306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点位编号</w:t>
            </w:r>
          </w:p>
        </w:tc>
        <w:tc>
          <w:tcPr>
            <w:tcW w:type="dxa" w:w="306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点位类型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□ 社区养老服务驿站　□ 区域养老服务中心　□ 其他________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所属街道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服务对象规模</w:t>
            </w:r>
          </w:p>
        </w:tc>
        <w:tc>
          <w:tcPr>
            <w:tcW w:type="dxa" w:w="306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______ 人（其中高风险 ___ 人 / 中风险 ___ 人 / 低风险 ___ 人）</w:t>
            </w:r>
          </w:p>
        </w:tc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进场日期</w:t>
            </w:r>
          </w:p>
        </w:tc>
        <w:tc>
          <w:tcPr>
            <w:tcW w:type="dxa" w:w="306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______年____月____日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本表填写人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项目负责人复核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8D4E5"/>
          <w:left w:val="single" w:sz="6" w:color="B8D4E5"/>
          <w:bottom w:val="single" w:sz="6" w:color="B8D4E5"/>
          <w:right w:val="single" w:sz="6" w:color="B8D4E5"/>
          <w:insideH w:val="single" w:sz="6" w:color="B8D4E5"/>
          <w:insideV w:val="single" w:sz="6" w:color="B8D4E5"/>
        </w:tblBorders>
      </w:tblPr>
      <w:tblGrid>
        <w:gridCol w:w="9745"/>
      </w:tblGrid>
      <w:tr>
        <w:tc>
          <w:tcPr>
            <w:tcW w:type="dxa" w:w="9745"/>
            <w:shd w:val="clear" w:fill="F2F7FA"/>
          </w:tcPr>
          <w:p>
            <w:pPr>
              <w:spacing w:before="60" w:after="40" w:line="336" w:lineRule="auto"/>
            </w:pPr>
            <w:r/>
            <w:r>
              <w:rPr>
                <w:rFonts w:ascii="Times New Roman" w:hAnsi="Times New Roman" w:eastAsia="宋体"/>
                <w:b/>
                <w:color w:val="1A2E3C"/>
                <w:sz w:val="19"/>
              </w:rPr>
              <w:t>填写说明（请先阅读）</w:t>
            </w:r>
          </w:p>
          <w:p>
            <w:pPr>
              <w:spacing w:before="60" w:after="40" w:line="336" w:lineRule="auto"/>
            </w:pPr>
            <w:r>
              <w:rPr>
                <w:rFonts w:ascii="Times New Roman" w:hAnsi="Times New Roman" w:eastAsia="宋体"/>
                <w:b w:val="0"/>
                <w:color w:val="0E6FA8"/>
                <w:sz w:val="19"/>
              </w:rPr>
              <w:t>本表是《社区落地标准化作业手册》的配套执行记录，用于向第三方证明</w:t>
            </w:r>
            <w:r>
              <w:rPr>
                <w:rFonts w:ascii="Times New Roman" w:hAnsi="Times New Roman" w:eastAsia="宋体"/>
                <w:b/>
                <w:color w:val="0E6FA8"/>
                <w:sz w:val="19"/>
              </w:rPr>
              <w:t>第二个点位是按手册跑通的</w:t>
            </w:r>
            <w:r>
              <w:rPr>
                <w:rFonts w:ascii="Times New Roman" w:hAnsi="Times New Roman" w:eastAsia="宋体"/>
                <w:b w:val="0"/>
                <w:color w:val="0E6FA8"/>
                <w:sz w:val="19"/>
              </w:rPr>
              <w:t>，而非依靠团队成员个人经验。</w:t>
            </w:r>
          </w:p>
          <w:p>
            <w:pPr>
              <w:spacing w:before="60" w:after="40" w:line="336" w:lineRule="auto"/>
            </w:pPr>
            <w:r>
              <w:rPr>
                <w:rFonts w:ascii="Times New Roman" w:hAnsi="Times New Roman" w:eastAsia="宋体"/>
                <w:b w:val="0"/>
                <w:color w:val="0E6FA8"/>
                <w:sz w:val="19"/>
              </w:rPr>
              <w:t>三个部分的证明目的各不相同：第一部分证明社区方</w:t>
            </w:r>
            <w:r>
              <w:rPr>
                <w:rFonts w:ascii="Times New Roman" w:hAnsi="Times New Roman" w:eastAsia="宋体"/>
                <w:b/>
                <w:color w:val="0E6FA8"/>
                <w:sz w:val="19"/>
              </w:rPr>
              <w:t>愿意做且资源到位</w:t>
            </w:r>
            <w:r>
              <w:rPr>
                <w:rFonts w:ascii="Times New Roman" w:hAnsi="Times New Roman" w:eastAsia="宋体"/>
                <w:b w:val="0"/>
                <w:color w:val="0E6FA8"/>
                <w:sz w:val="19"/>
              </w:rPr>
              <w:t>；第二部分证明项目组</w:t>
            </w:r>
            <w:r>
              <w:rPr>
                <w:rFonts w:ascii="Times New Roman" w:hAnsi="Times New Roman" w:eastAsia="宋体"/>
                <w:b/>
                <w:color w:val="0E6FA8"/>
                <w:sz w:val="19"/>
              </w:rPr>
              <w:t>按手册定额投入、未额外超支</w:t>
            </w:r>
            <w:r>
              <w:rPr>
                <w:rFonts w:ascii="Times New Roman" w:hAnsi="Times New Roman" w:eastAsia="宋体"/>
                <w:b w:val="0"/>
                <w:color w:val="0E6FA8"/>
                <w:sz w:val="19"/>
              </w:rPr>
              <w:t>；第三部分证明第二个点位</w:t>
            </w:r>
            <w:r>
              <w:rPr>
                <w:rFonts w:ascii="Times New Roman" w:hAnsi="Times New Roman" w:eastAsia="宋体"/>
                <w:b/>
                <w:color w:val="0E6FA8"/>
                <w:sz w:val="19"/>
              </w:rPr>
              <w:t>跑到了与首个点位相同的质量</w:t>
            </w:r>
            <w:r>
              <w:rPr>
                <w:rFonts w:ascii="Times New Roman" w:hAnsi="Times New Roman" w:eastAsia="宋体"/>
                <w:b w:val="0"/>
                <w:color w:val="0E6FA8"/>
                <w:sz w:val="19"/>
              </w:rPr>
              <w:t>。</w:t>
            </w:r>
          </w:p>
          <w:p>
            <w:pPr>
              <w:spacing w:before="60" w:after="40" w:line="336" w:lineRule="auto"/>
            </w:pPr>
            <w:r>
              <w:rPr>
                <w:rFonts w:ascii="Times New Roman" w:hAnsi="Times New Roman" w:eastAsia="宋体"/>
                <w:b/>
                <w:color w:val="0E6FA8"/>
                <w:sz w:val="19"/>
              </w:rPr>
              <w:t>第二部分的工时须按手册动作编号（J-01、P-02 等）逐条记录</w:t>
            </w:r>
            <w:r>
              <w:rPr>
                <w:rFonts w:ascii="Times New Roman" w:hAnsi="Times New Roman" w:eastAsia="宋体"/>
                <w:b w:val="0"/>
                <w:color w:val="0E6FA8"/>
                <w:sz w:val="19"/>
              </w:rPr>
              <w:t>，便于与手册第 3 章的定额逐项对照。</w:t>
            </w:r>
            <w:r>
              <w:rPr>
                <w:rFonts w:ascii="Times New Roman" w:hAnsi="Times New Roman" w:eastAsia="宋体"/>
                <w:b/>
                <w:color w:val="0E6FA8"/>
                <w:sz w:val="19"/>
              </w:rPr>
              <w:t>第三部分的各项指标须与平台导出的数据一致，不得手工估填。</w:t>
            </w:r>
          </w:p>
          <w:p>
            <w:pPr>
              <w:spacing w:before="60" w:after="40" w:line="336" w:lineRule="auto"/>
            </w:pPr>
            <w:r>
              <w:rPr>
                <w:rFonts w:ascii="Times New Roman" w:hAnsi="Times New Roman" w:eastAsia="宋体"/>
                <w:b w:val="0"/>
                <w:color w:val="0E6FA8"/>
                <w:sz w:val="19"/>
              </w:rPr>
              <w:t>本表所载数据由填写人与复核人对真实性负责。项目当前处于概念验证阶段（TRL 3–4），表内涉及的效果描述均为服务过程记录，不代表整机性能实测结论，也不构成医学诊断。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第一部分　点位意向与执行资源确认</w:t>
      </w:r>
    </w:p>
    <w:p>
      <w:pPr>
        <w:spacing w:line="360" w:lineRule="auto" w:before="0" w:after="160"/>
      </w:pPr>
      <w:r>
        <w:rPr>
          <w:rFonts w:ascii="Times New Roman" w:hAnsi="Times New Roman" w:eastAsia="宋体"/>
          <w:b w:val="0"/>
          <w:color w:val="606670"/>
          <w:sz w:val="19"/>
        </w:rPr>
        <w:t>填写时点：进场期 J-02 确认协同资源之后　｜　证明社区方的书面意愿与三项协同资源已落实</w:t>
      </w:r>
    </w:p>
    <w:p>
      <w:pPr>
        <w:pStyle w:val="Heading2"/>
      </w:pPr>
      <w:r>
        <w:rPr>
          <w:rFonts w:ascii="Times New Roman" w:hAnsi="Times New Roman" w:eastAsia="黑体"/>
        </w:rPr>
        <w:t>1.1　点位基本信息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2"/>
        <w:gridCol w:w="4872"/>
      </w:tblGrid>
      <w:tr>
        <w:trPr>
          <w:tblHeader w:val="true"/>
        </w:trPr>
        <w:tc>
          <w:tcPr>
            <w:tcW w:type="dxa" w:w="2381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项目</w:t>
            </w:r>
          </w:p>
        </w:tc>
        <w:tc>
          <w:tcPr>
            <w:tcW w:type="dxa" w:w="6236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填写内容</w:t>
            </w:r>
          </w:p>
        </w:tc>
      </w:tr>
      <w:tr>
        <w:tc>
          <w:tcPr>
            <w:tcW w:type="dxa" w:w="238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站点名称（盖章）</w:t>
            </w:r>
          </w:p>
        </w:tc>
        <w:tc>
          <w:tcPr>
            <w:tcW w:type="dxa" w:w="6236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238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站点地址</w:t>
            </w:r>
          </w:p>
        </w:tc>
        <w:tc>
          <w:tcPr>
            <w:tcW w:type="dxa" w:w="6236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238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站点负责人姓名 / 职务</w:t>
            </w:r>
          </w:p>
        </w:tc>
        <w:tc>
          <w:tcPr>
            <w:tcW w:type="dxa" w:w="6236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238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站点联系人姓名 / 电话</w:t>
            </w:r>
          </w:p>
        </w:tc>
        <w:tc>
          <w:tcPr>
            <w:tcW w:type="dxa" w:w="6236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238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辖区高龄独居老人名册获取渠道</w:t>
            </w:r>
          </w:p>
        </w:tc>
        <w:tc>
          <w:tcPr>
            <w:tcW w:type="dxa" w:w="6236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社区台账直接提供　□ 街道民政系统对接　□ 居委台账　□ 其他________</w:t>
            </w:r>
          </w:p>
        </w:tc>
      </w:tr>
      <w:tr>
        <w:tc>
          <w:tcPr>
            <w:tcW w:type="dxa" w:w="238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名册交接日期</w:t>
            </w:r>
          </w:p>
        </w:tc>
        <w:tc>
          <w:tcPr>
            <w:tcW w:type="dxa" w:w="6236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______年____月____日　　交接人签字：____________</w:t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p>
      <w:pPr>
        <w:pStyle w:val="Heading2"/>
      </w:pPr>
      <w:r>
        <w:rPr>
          <w:rFonts w:ascii="Times New Roman" w:hAnsi="Times New Roman" w:eastAsia="黑体"/>
        </w:rPr>
        <w:t>1.2　三项协同资源确认（缺一则不具备交付条件）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474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资源项</w:t>
            </w:r>
          </w:p>
        </w:tc>
        <w:tc>
          <w:tcPr>
            <w:tcW w:type="dxa" w:w="1020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是否落实</w:t>
            </w:r>
          </w:p>
        </w:tc>
        <w:tc>
          <w:tcPr>
            <w:tcW w:type="dxa" w:w="3515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具体落实情况</w:t>
            </w:r>
          </w:p>
        </w:tc>
        <w:tc>
          <w:tcPr>
            <w:tcW w:type="dxa" w:w="1247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对接人姓名</w:t>
            </w:r>
          </w:p>
        </w:tc>
        <w:tc>
          <w:tcPr>
            <w:tcW w:type="dxa" w:w="1361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联系电话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辖区名册获取渠道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是　□ 否</w:t>
            </w:r>
          </w:p>
        </w:tc>
        <w:tc>
          <w:tcPr>
            <w:tcW w:type="dxa" w:w="351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本地响应人员（网格员/驻场社工）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是　□ 否</w:t>
            </w:r>
          </w:p>
        </w:tc>
        <w:tc>
          <w:tcPr>
            <w:tcW w:type="dxa" w:w="351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姓名：________　负责区域：________</w:t>
            </w:r>
          </w:p>
        </w:tc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36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社区激励资源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是　□ 否</w:t>
            </w:r>
          </w:p>
        </w:tc>
        <w:tc>
          <w:tcPr>
            <w:tcW w:type="dxa" w:w="351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助餐折扣　□ 服务积分　□ 体检名额　□ 其他______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p>
      <w:pPr>
        <w:pStyle w:val="Heading2"/>
      </w:pPr>
      <w:r>
        <w:rPr>
          <w:rFonts w:ascii="Times New Roman" w:hAnsi="Times New Roman" w:eastAsia="黑体"/>
        </w:rPr>
        <w:t>1.3　服务边界确认（防止日后口径争议）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2"/>
        <w:gridCol w:w="4872"/>
      </w:tblGrid>
      <w:tr>
        <w:trPr>
          <w:tblHeader w:val="true"/>
        </w:trPr>
        <w:tc>
          <w:tcPr>
            <w:tcW w:type="dxa" w:w="6803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需向站点明确的事项</w:t>
            </w:r>
          </w:p>
        </w:tc>
        <w:tc>
          <w:tcPr>
            <w:tcW w:type="dxa" w:w="1814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站点是否已确认</w:t>
            </w:r>
          </w:p>
        </w:tc>
      </w:tr>
      <w:tr>
        <w:tc>
          <w:tcPr>
            <w:tcW w:type="dxa" w:w="6803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本产品按</w:t>
            </w:r>
            <w:r>
              <w:rPr>
                <w:rFonts w:ascii="Times New Roman" w:hAnsi="Times New Roman" w:eastAsia="宋体"/>
                <w:b/>
                <w:sz w:val="17"/>
              </w:rPr>
              <w:t>个人防护用品、普通消费品</w:t>
            </w:r>
            <w:r>
              <w:rPr>
                <w:rFonts w:ascii="Times New Roman" w:hAnsi="Times New Roman" w:eastAsia="宋体"/>
                <w:b w:val="0"/>
                <w:sz w:val="17"/>
              </w:rPr>
              <w:t>定位，不作医疗诊断、治疗或疾病风险预测声明</w:t>
            </w:r>
          </w:p>
        </w:tc>
        <w:tc>
          <w:tcPr>
            <w:tcW w:type="dxa" w:w="181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已确认</w:t>
            </w:r>
          </w:p>
        </w:tc>
      </w:tr>
      <w:tr>
        <w:tc>
          <w:tcPr>
            <w:tcW w:type="dxa" w:w="6803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现阶段不申报医疗器械注册；未来拓展医疗机构采购需另行评估</w:t>
            </w:r>
          </w:p>
        </w:tc>
        <w:tc>
          <w:tcPr>
            <w:tcW w:type="dxa" w:w="181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已确认</w:t>
            </w:r>
          </w:p>
        </w:tc>
      </w:tr>
      <w:tr>
        <w:tc>
          <w:tcPr>
            <w:tcW w:type="dxa" w:w="6803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风险分级为照护资源配置建议</w:t>
            </w:r>
            <w:r>
              <w:rPr>
                <w:rFonts w:ascii="Times New Roman" w:hAnsi="Times New Roman" w:eastAsia="宋体"/>
                <w:b w:val="0"/>
                <w:sz w:val="17"/>
              </w:rPr>
              <w:t>，不构成对任何个体的健康结论</w:t>
            </w:r>
          </w:p>
        </w:tc>
        <w:tc>
          <w:tcPr>
            <w:tcW w:type="dxa" w:w="181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已确认</w:t>
            </w:r>
          </w:p>
        </w:tc>
      </w:tr>
      <w:tr>
        <w:tc>
          <w:tcPr>
            <w:tcW w:type="dxa" w:w="6803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事件发生时将向</w:t>
            </w:r>
            <w:r>
              <w:rPr>
                <w:rFonts w:ascii="Times New Roman" w:hAnsi="Times New Roman" w:eastAsia="宋体"/>
                <w:b/>
                <w:sz w:val="17"/>
              </w:rPr>
              <w:t>本地响应人员与家属</w:t>
            </w:r>
            <w:r>
              <w:rPr>
                <w:rFonts w:ascii="Times New Roman" w:hAnsi="Times New Roman" w:eastAsia="宋体"/>
                <w:b w:val="0"/>
                <w:sz w:val="17"/>
              </w:rPr>
              <w:t>双通道推送位置信息</w:t>
            </w:r>
          </w:p>
        </w:tc>
        <w:tc>
          <w:tcPr>
            <w:tcW w:type="dxa" w:w="181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已确认</w:t>
            </w:r>
          </w:p>
        </w:tc>
      </w:tr>
      <w:tr>
        <w:tc>
          <w:tcPr>
            <w:tcW w:type="dxa" w:w="6803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步态数据默认不上传云端，AI 推理在设备端完成</w:t>
            </w:r>
          </w:p>
        </w:tc>
        <w:tc>
          <w:tcPr>
            <w:tcW w:type="dxa" w:w="181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已确认</w:t>
            </w:r>
          </w:p>
        </w:tc>
      </w:tr>
      <w:tr>
        <w:tc>
          <w:tcPr>
            <w:tcW w:type="dxa" w:w="6803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用于社区画像的数据经匿名化处理，仅输出群体层面分布</w:t>
            </w:r>
          </w:p>
        </w:tc>
        <w:tc>
          <w:tcPr>
            <w:tcW w:type="dxa" w:w="181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已确认</w:t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p>
      <w:pPr>
        <w:pStyle w:val="Heading2"/>
      </w:pPr>
      <w:r>
        <w:rPr>
          <w:rFonts w:ascii="Times New Roman" w:hAnsi="Times New Roman" w:eastAsia="黑体"/>
        </w:rPr>
        <w:t>1.4　签署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041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角色</w:t>
            </w:r>
          </w:p>
        </w:tc>
        <w:tc>
          <w:tcPr>
            <w:tcW w:type="dxa" w:w="1814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姓名</w:t>
            </w:r>
          </w:p>
        </w:tc>
        <w:tc>
          <w:tcPr>
            <w:tcW w:type="dxa" w:w="2835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签字</w:t>
            </w:r>
          </w:p>
        </w:tc>
        <w:tc>
          <w:tcPr>
            <w:tcW w:type="dxa" w:w="1928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日期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社区对接人</w:t>
            </w:r>
          </w:p>
        </w:tc>
        <w:tc>
          <w:tcPr>
            <w:tcW w:type="dxa" w:w="181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83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______年____月____日</w:t>
            </w:r>
          </w:p>
        </w:tc>
      </w:tr>
      <w:tr>
        <w:tc>
          <w:tcPr>
            <w:tcW w:type="dxa" w:w="204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社区网格员 / 驻场社工</w:t>
            </w:r>
          </w:p>
        </w:tc>
        <w:tc>
          <w:tcPr>
            <w:tcW w:type="dxa" w:w="181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83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9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______年____月____日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项目负责人（复核）</w:t>
            </w:r>
          </w:p>
        </w:tc>
        <w:tc>
          <w:tcPr>
            <w:tcW w:type="dxa" w:w="181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83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______年____月____日</w:t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8D4E5"/>
          <w:left w:val="single" w:sz="6" w:color="B8D4E5"/>
          <w:bottom w:val="single" w:sz="6" w:color="B8D4E5"/>
          <w:right w:val="single" w:sz="6" w:color="B8D4E5"/>
          <w:insideH w:val="single" w:sz="6" w:color="B8D4E5"/>
          <w:insideV w:val="single" w:sz="6" w:color="B8D4E5"/>
        </w:tblBorders>
      </w:tblPr>
      <w:tblGrid>
        <w:gridCol w:w="9745"/>
      </w:tblGrid>
      <w:tr>
        <w:tc>
          <w:tcPr>
            <w:tcW w:type="dxa" w:w="9745"/>
            <w:shd w:val="clear" w:fill="F2F7FA"/>
          </w:tcPr>
          <w:p>
            <w:pPr>
              <w:spacing w:before="60" w:after="40" w:line="336" w:lineRule="auto"/>
            </w:pPr>
            <w:r/>
            <w:r>
              <w:rPr>
                <w:rFonts w:ascii="Times New Roman" w:hAnsi="Times New Roman" w:eastAsia="宋体"/>
                <w:b/>
                <w:color w:val="1A2E3C"/>
                <w:sz w:val="19"/>
              </w:rPr>
              <w:t>本部分的证明作用</w:t>
            </w:r>
          </w:p>
          <w:p>
            <w:pPr>
              <w:spacing w:before="60" w:after="40" w:line="336" w:lineRule="auto"/>
            </w:pPr>
            <w:r>
              <w:rPr>
                <w:rFonts w:ascii="Times New Roman" w:hAnsi="Times New Roman" w:eastAsia="宋体"/>
                <w:b/>
                <w:color w:val="0E6FA8"/>
                <w:sz w:val="19"/>
              </w:rPr>
              <w:t>本部分的证明作用</w:t>
            </w:r>
            <w:r>
              <w:rPr>
                <w:rFonts w:ascii="Times New Roman" w:hAnsi="Times New Roman" w:eastAsia="宋体"/>
                <w:b w:val="0"/>
                <w:color w:val="0E6FA8"/>
                <w:sz w:val="19"/>
              </w:rPr>
              <w:t>：点位数量只能说明签了约，不能说明第二个点位跑通了。本部分证明社区方的意愿与资源已</w:t>
            </w:r>
            <w:r>
              <w:rPr>
                <w:rFonts w:ascii="Times New Roman" w:hAnsi="Times New Roman" w:eastAsia="宋体"/>
                <w:b/>
                <w:color w:val="0E6FA8"/>
                <w:sz w:val="19"/>
              </w:rPr>
              <w:t>书面落实</w:t>
            </w:r>
            <w:r>
              <w:rPr>
                <w:rFonts w:ascii="Times New Roman" w:hAnsi="Times New Roman" w:eastAsia="宋体"/>
                <w:b w:val="0"/>
                <w:color w:val="0E6FA8"/>
                <w:sz w:val="19"/>
              </w:rPr>
              <w:t>，排除「签约时口头承诺、执行时找不到人」这一复制阶段最常见的失败模式。三项资源任何一项未落实，该点位应暂停进场。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第二部分　工时执行记录</w:t>
      </w:r>
    </w:p>
    <w:p>
      <w:pPr>
        <w:spacing w:line="360" w:lineRule="auto" w:before="0" w:after="120"/>
      </w:pPr>
      <w:r>
        <w:rPr>
          <w:rFonts w:ascii="Times New Roman" w:hAnsi="Times New Roman" w:eastAsia="宋体"/>
          <w:b w:val="0"/>
          <w:color w:val="606670"/>
          <w:sz w:val="19"/>
        </w:rPr>
        <w:t>填写时点：全周期持续记录　｜　证明项目组按手册定额投入、未额外超支</w:t>
      </w:r>
    </w:p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0"/>
        </w:rPr>
        <w:t>按手册动作编号逐条记录。手册定额来自《社区落地标准化作业手册》第 3 章，工时基准为 50 名服务对象；规模不同时按表 3-3 折算。实际投入超出定额 10% 以上时，须在备注栏说明原因。</w:t>
      </w:r>
    </w:p>
    <w:p>
      <w:pPr>
        <w:pStyle w:val="Heading2"/>
      </w:pPr>
      <w:r>
        <w:rPr>
          <w:rFonts w:ascii="Times New Roman" w:hAnsi="Times New Roman" w:eastAsia="黑体"/>
        </w:rPr>
        <w:t>2.1　进场期（手册定额 1.8 人日）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tblHeader w:val="true"/>
        </w:trPr>
        <w:tc>
          <w:tcPr>
            <w:tcW w:type="dxa" w:w="567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编号</w:t>
            </w:r>
          </w:p>
        </w:tc>
        <w:tc>
          <w:tcPr>
            <w:tcW w:type="dxa" w:w="1701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作业动作</w:t>
            </w:r>
          </w:p>
        </w:tc>
        <w:tc>
          <w:tcPr>
            <w:tcW w:type="dxa" w:w="1020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手册定额</w:t>
            </w:r>
          </w:p>
        </w:tc>
        <w:tc>
          <w:tcPr>
            <w:tcW w:type="dxa" w:w="1020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实际投入</w:t>
            </w:r>
          </w:p>
        </w:tc>
        <w:tc>
          <w:tcPr>
            <w:tcW w:type="dxa" w:w="1020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执行人</w:t>
            </w:r>
          </w:p>
        </w:tc>
        <w:tc>
          <w:tcPr>
            <w:tcW w:type="dxa" w:w="1134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完成日期</w:t>
            </w:r>
          </w:p>
        </w:tc>
        <w:tc>
          <w:tcPr>
            <w:tcW w:type="dxa" w:w="2721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偏差说明</w:t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J-01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合作洽谈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含在 0.3 内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J-02</w:t>
            </w:r>
          </w:p>
        </w:tc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确认协同资源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含在 0.3 内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72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J-03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防跌安全宣讲（3 场）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0.5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J-04</w:t>
            </w:r>
          </w:p>
        </w:tc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名册对接与建档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1.0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72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J-05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知情告知与授权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随 J-04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小计</w:t>
            </w:r>
          </w:p>
        </w:tc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1.8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272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p>
      <w:pPr>
        <w:pStyle w:val="Heading2"/>
      </w:pPr>
      <w:r>
        <w:rPr>
          <w:rFonts w:ascii="Times New Roman" w:hAnsi="Times New Roman" w:eastAsia="黑体"/>
        </w:rPr>
        <w:t>2.2　评估期（手册定额 2.5 人日）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tblHeader w:val="true"/>
        </w:trPr>
        <w:tc>
          <w:tcPr>
            <w:tcW w:type="dxa" w:w="567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编号</w:t>
            </w:r>
          </w:p>
        </w:tc>
        <w:tc>
          <w:tcPr>
            <w:tcW w:type="dxa" w:w="1701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作业动作</w:t>
            </w:r>
          </w:p>
        </w:tc>
        <w:tc>
          <w:tcPr>
            <w:tcW w:type="dxa" w:w="1020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手册定额</w:t>
            </w:r>
          </w:p>
        </w:tc>
        <w:tc>
          <w:tcPr>
            <w:tcW w:type="dxa" w:w="1020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实际投入</w:t>
            </w:r>
          </w:p>
        </w:tc>
        <w:tc>
          <w:tcPr>
            <w:tcW w:type="dxa" w:w="1020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执行人</w:t>
            </w:r>
          </w:p>
        </w:tc>
        <w:tc>
          <w:tcPr>
            <w:tcW w:type="dxa" w:w="1134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完成日期</w:t>
            </w:r>
          </w:p>
        </w:tc>
        <w:tc>
          <w:tcPr>
            <w:tcW w:type="dxa" w:w="2721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偏差说明</w:t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P-01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确定评估名单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含在 2.0 内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P-02</w:t>
            </w:r>
          </w:p>
        </w:tc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逐人五项评估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含在 2.0 内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72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P-03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风险分级（两人独立定级比对）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含在 2.0 内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P-04</w:t>
            </w:r>
          </w:p>
        </w:tc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形成配发建议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0.5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72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P-05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社区确认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含在 0.5 内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P-06</w:t>
            </w:r>
          </w:p>
        </w:tc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家属告知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含在 2.0 内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72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小计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2.5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p>
      <w:pPr>
        <w:pStyle w:val="Heading2"/>
      </w:pPr>
      <w:r>
        <w:rPr>
          <w:rFonts w:ascii="Times New Roman" w:hAnsi="Times New Roman" w:eastAsia="黑体"/>
        </w:rPr>
        <w:t>2.3　部署期（手册定额 2.2 人日）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tblHeader w:val="true"/>
        </w:trPr>
        <w:tc>
          <w:tcPr>
            <w:tcW w:type="dxa" w:w="567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编号</w:t>
            </w:r>
          </w:p>
        </w:tc>
        <w:tc>
          <w:tcPr>
            <w:tcW w:type="dxa" w:w="1701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作业动作</w:t>
            </w:r>
          </w:p>
        </w:tc>
        <w:tc>
          <w:tcPr>
            <w:tcW w:type="dxa" w:w="1020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手册定额</w:t>
            </w:r>
          </w:p>
        </w:tc>
        <w:tc>
          <w:tcPr>
            <w:tcW w:type="dxa" w:w="1020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实际投入</w:t>
            </w:r>
          </w:p>
        </w:tc>
        <w:tc>
          <w:tcPr>
            <w:tcW w:type="dxa" w:w="1020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执行人</w:t>
            </w:r>
          </w:p>
        </w:tc>
        <w:tc>
          <w:tcPr>
            <w:tcW w:type="dxa" w:w="1134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完成日期</w:t>
            </w:r>
          </w:p>
        </w:tc>
        <w:tc>
          <w:tcPr>
            <w:tcW w:type="dxa" w:w="2721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偏差说明</w:t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D-01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设备台账建立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含在 1.5 内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D-02</w:t>
            </w:r>
          </w:p>
        </w:tc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穿戴培训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含在 1.5 内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72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D-03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依从性约定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随 D-02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D-04</w:t>
            </w:r>
          </w:p>
        </w:tc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家属端开通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含在 1.5 内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72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D-05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网格员端开通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0.2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D-06</w:t>
            </w:r>
          </w:p>
        </w:tc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双通道实弹验证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0.3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72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强制项</w:t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D-07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激励资源上线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0.2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D-08</w:t>
            </w:r>
          </w:p>
        </w:tc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首次回充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含在 1.5 内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72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小计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2.2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p>
      <w:pPr>
        <w:pStyle w:val="Heading2"/>
      </w:pPr>
      <w:r>
        <w:rPr>
          <w:rFonts w:ascii="Times New Roman" w:hAnsi="Times New Roman" w:eastAsia="黑体"/>
        </w:rPr>
        <w:t>2.4　运行期（手册定额 2.7 人日 / 年）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tblHeader w:val="true"/>
        </w:trPr>
        <w:tc>
          <w:tcPr>
            <w:tcW w:type="dxa" w:w="567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编号</w:t>
            </w:r>
          </w:p>
        </w:tc>
        <w:tc>
          <w:tcPr>
            <w:tcW w:type="dxa" w:w="1701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作业项</w:t>
            </w:r>
          </w:p>
        </w:tc>
        <w:tc>
          <w:tcPr>
            <w:tcW w:type="dxa" w:w="1020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手册定额</w:t>
            </w:r>
          </w:p>
        </w:tc>
        <w:tc>
          <w:tcPr>
            <w:tcW w:type="dxa" w:w="1020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实际投入</w:t>
            </w:r>
          </w:p>
        </w:tc>
        <w:tc>
          <w:tcPr>
            <w:tcW w:type="dxa" w:w="1020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执行人</w:t>
            </w:r>
          </w:p>
        </w:tc>
        <w:tc>
          <w:tcPr>
            <w:tcW w:type="dxa" w:w="1134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完成日期</w:t>
            </w:r>
          </w:p>
        </w:tc>
        <w:tc>
          <w:tcPr>
            <w:tcW w:type="dxa" w:w="2721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偏差说明</w:t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W-01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每日佩戴率监测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0.4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W-02</w:t>
            </w:r>
          </w:p>
        </w:tc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每周依从性回访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0.8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72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W-03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每周设备状态巡检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0.4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W-04</w:t>
            </w:r>
          </w:p>
        </w:tc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每月在位点检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0.6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72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W-05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事件响应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0.5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小计</w:t>
            </w:r>
          </w:p>
        </w:tc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2.7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272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p>
      <w:pPr>
        <w:pStyle w:val="Heading2"/>
      </w:pPr>
      <w:r>
        <w:rPr>
          <w:rFonts w:ascii="Times New Roman" w:hAnsi="Times New Roman" w:eastAsia="黑体"/>
        </w:rPr>
        <w:t>2.5　复盘期（手册定额 4.0 人日 / 季）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tblHeader w:val="true"/>
        </w:trPr>
        <w:tc>
          <w:tcPr>
            <w:tcW w:type="dxa" w:w="567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编号</w:t>
            </w:r>
          </w:p>
        </w:tc>
        <w:tc>
          <w:tcPr>
            <w:tcW w:type="dxa" w:w="1701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作业动作</w:t>
            </w:r>
          </w:p>
        </w:tc>
        <w:tc>
          <w:tcPr>
            <w:tcW w:type="dxa" w:w="1020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手册定额</w:t>
            </w:r>
          </w:p>
        </w:tc>
        <w:tc>
          <w:tcPr>
            <w:tcW w:type="dxa" w:w="1020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实际投入</w:t>
            </w:r>
          </w:p>
        </w:tc>
        <w:tc>
          <w:tcPr>
            <w:tcW w:type="dxa" w:w="1020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执行人</w:t>
            </w:r>
          </w:p>
        </w:tc>
        <w:tc>
          <w:tcPr>
            <w:tcW w:type="dxa" w:w="1134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完成日期</w:t>
            </w:r>
          </w:p>
        </w:tc>
        <w:tc>
          <w:tcPr>
            <w:tcW w:type="dxa" w:w="2721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偏差说明</w:t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R-01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数据汇总（含险跌）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0.5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R-02</w:t>
            </w:r>
          </w:p>
        </w:tc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热力图生成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自动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平台</w:t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272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R-03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人工核校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0.5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强制项</w:t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R-04</w:t>
            </w:r>
          </w:p>
        </w:tc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报告撰写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1.0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72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R-05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改造建议清单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0.5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R-06</w:t>
            </w:r>
          </w:p>
        </w:tc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社区对接提交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含在 0.5 内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72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R-07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服务对象复评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1.5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R-08</w:t>
            </w:r>
          </w:p>
        </w:tc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依从性复盘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0.5</w:t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72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小计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4.0</w:t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p>
      <w:pPr>
        <w:pStyle w:val="Heading2"/>
      </w:pPr>
      <w:r>
        <w:rPr>
          <w:rFonts w:ascii="Times New Roman" w:hAnsi="Times New Roman" w:eastAsia="黑体"/>
        </w:rPr>
        <w:t>2.6　工时汇总与偏差说明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624"/>
        <w:gridCol w:w="1624"/>
        <w:gridCol w:w="1624"/>
        <w:gridCol w:w="1624"/>
        <w:gridCol w:w="1624"/>
        <w:gridCol w:w="1624"/>
      </w:tblGrid>
      <w:tr>
        <w:trPr>
          <w:tblHeader w:val="true"/>
        </w:trPr>
        <w:tc>
          <w:tcPr>
            <w:tcW w:type="dxa" w:w="1701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阶段</w:t>
            </w:r>
          </w:p>
        </w:tc>
        <w:tc>
          <w:tcPr>
            <w:tcW w:type="dxa" w:w="1474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手册定额（人日）</w:t>
            </w:r>
          </w:p>
        </w:tc>
        <w:tc>
          <w:tcPr>
            <w:tcW w:type="dxa" w:w="1587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实际投入（人日）</w:t>
            </w:r>
          </w:p>
        </w:tc>
        <w:tc>
          <w:tcPr>
            <w:tcW w:type="dxa" w:w="1020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偏差</w:t>
            </w:r>
          </w:p>
        </w:tc>
        <w:tc>
          <w:tcPr>
            <w:tcW w:type="dxa" w:w="1020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偏差率</w:t>
            </w:r>
          </w:p>
        </w:tc>
        <w:tc>
          <w:tcPr>
            <w:tcW w:type="dxa" w:w="2381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偏差原因说明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进场期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1.8</w:t>
            </w:r>
          </w:p>
        </w:tc>
        <w:tc>
          <w:tcPr>
            <w:tcW w:type="dxa" w:w="158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评估期</w:t>
            </w:r>
          </w:p>
        </w:tc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2.5</w:t>
            </w:r>
          </w:p>
        </w:tc>
        <w:tc>
          <w:tcPr>
            <w:tcW w:type="dxa" w:w="158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38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部署期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2.2</w:t>
            </w:r>
          </w:p>
        </w:tc>
        <w:tc>
          <w:tcPr>
            <w:tcW w:type="dxa" w:w="158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运行期（年）</w:t>
            </w:r>
          </w:p>
        </w:tc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2.7</w:t>
            </w:r>
          </w:p>
        </w:tc>
        <w:tc>
          <w:tcPr>
            <w:tcW w:type="dxa" w:w="158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38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复盘期（季）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4.0</w:t>
            </w:r>
          </w:p>
        </w:tc>
        <w:tc>
          <w:tcPr>
            <w:tcW w:type="dxa" w:w="158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首年合计</w:t>
            </w:r>
          </w:p>
        </w:tc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6.5 + 2.7 + 4.0</w:t>
            </w:r>
          </w:p>
        </w:tc>
        <w:tc>
          <w:tcPr>
            <w:tcW w:type="dxa" w:w="158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020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38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第二个点位全年合计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13.2 人日</w:t>
            </w:r>
          </w:p>
        </w:tc>
        <w:tc>
          <w:tcPr>
            <w:tcW w:type="dxa" w:w="158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020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8D4E5"/>
          <w:left w:val="single" w:sz="6" w:color="B8D4E5"/>
          <w:bottom w:val="single" w:sz="6" w:color="B8D4E5"/>
          <w:right w:val="single" w:sz="6" w:color="B8D4E5"/>
          <w:insideH w:val="single" w:sz="6" w:color="B8D4E5"/>
          <w:insideV w:val="single" w:sz="6" w:color="B8D4E5"/>
        </w:tblBorders>
      </w:tblPr>
      <w:tblGrid>
        <w:gridCol w:w="9745"/>
      </w:tblGrid>
      <w:tr>
        <w:tc>
          <w:tcPr>
            <w:tcW w:type="dxa" w:w="9745"/>
            <w:shd w:val="clear" w:fill="F2F7FA"/>
          </w:tcPr>
          <w:p>
            <w:pPr>
              <w:spacing w:before="60" w:after="40" w:line="336" w:lineRule="auto"/>
            </w:pPr>
            <w:r/>
            <w:r>
              <w:rPr>
                <w:rFonts w:ascii="Times New Roman" w:hAnsi="Times New Roman" w:eastAsia="宋体"/>
                <w:b/>
                <w:color w:val="1A2E3C"/>
                <w:sz w:val="19"/>
              </w:rPr>
              <w:t>本部分的证明作用</w:t>
            </w:r>
          </w:p>
          <w:p>
            <w:pPr>
              <w:spacing w:before="60" w:after="40" w:line="336" w:lineRule="auto"/>
            </w:pPr>
            <w:r>
              <w:rPr>
                <w:rFonts w:ascii="Times New Roman" w:hAnsi="Times New Roman" w:eastAsia="宋体"/>
                <w:b/>
                <w:color w:val="0E6FA8"/>
                <w:sz w:val="19"/>
              </w:rPr>
              <w:t>本部分的证明作用</w:t>
            </w:r>
            <w:r>
              <w:rPr>
                <w:rFonts w:ascii="Times New Roman" w:hAnsi="Times New Roman" w:eastAsia="宋体"/>
                <w:b w:val="0"/>
                <w:color w:val="0E6FA8"/>
                <w:sz w:val="19"/>
              </w:rPr>
              <w:t>：若实际投入与手册定额偏差在 10% 以内，说明该点位的落地</w:t>
            </w:r>
            <w:r>
              <w:rPr>
                <w:rFonts w:ascii="Times New Roman" w:hAnsi="Times New Roman" w:eastAsia="宋体"/>
                <w:b/>
                <w:color w:val="0E6FA8"/>
                <w:sz w:val="19"/>
              </w:rPr>
              <w:t>确实由手册驱动</w:t>
            </w:r>
            <w:r>
              <w:rPr>
                <w:rFonts w:ascii="Times New Roman" w:hAnsi="Times New Roman" w:eastAsia="宋体"/>
                <w:b w:val="0"/>
                <w:color w:val="0E6FA8"/>
                <w:sz w:val="19"/>
              </w:rPr>
              <w:t>，而非依靠团队成员的额外投入。这是可复制性的核心判据。反之，若投入显著超出定额，则应检讨是手册定额估高了，还是该点位存在手册未覆盖的特殊情况——两种结论都会影响复制判断，因此必须如实记录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第三部分　交付质量自评</w:t>
      </w:r>
    </w:p>
    <w:p>
      <w:pPr>
        <w:spacing w:line="360" w:lineRule="auto" w:before="0" w:after="160"/>
      </w:pPr>
      <w:r>
        <w:rPr>
          <w:rFonts w:ascii="Times New Roman" w:hAnsi="Times New Roman" w:eastAsia="宋体"/>
          <w:b w:val="0"/>
          <w:color w:val="606670"/>
          <w:sz w:val="19"/>
        </w:rPr>
        <w:t>填写时点：年度末　｜　证明第二个点位跑到了与首个点位相同的质量</w:t>
      </w:r>
    </w:p>
    <w:p>
      <w:pPr>
        <w:pStyle w:val="Heading2"/>
      </w:pPr>
      <w:r>
        <w:rPr>
          <w:rFonts w:ascii="Times New Roman" w:hAnsi="Times New Roman" w:eastAsia="黑体"/>
        </w:rPr>
        <w:t>3.1　交付物齐全性（对照手册表 4-1 的 20 项）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567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序号</w:t>
            </w:r>
          </w:p>
        </w:tc>
        <w:tc>
          <w:tcPr>
            <w:tcW w:type="dxa" w:w="2835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交付物</w:t>
            </w:r>
          </w:p>
        </w:tc>
        <w:tc>
          <w:tcPr>
            <w:tcW w:type="dxa" w:w="1134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是否齐全</w:t>
            </w:r>
          </w:p>
        </w:tc>
        <w:tc>
          <w:tcPr>
            <w:tcW w:type="dxa" w:w="1474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留痕形式</w:t>
            </w:r>
          </w:p>
        </w:tc>
        <w:tc>
          <w:tcPr>
            <w:tcW w:type="dxa" w:w="3175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备注</w:t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283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合作协议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是 □ 否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原件 □ 扫描件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283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辖区名册交接单</w:t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是 □ 否</w:t>
            </w:r>
          </w:p>
        </w:tc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原件 □ 扫描件</w:t>
            </w:r>
          </w:p>
        </w:tc>
        <w:tc>
          <w:tcPr>
            <w:tcW w:type="dxa" w:w="317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type="dxa" w:w="283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宣讲签到表与发放记录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是 □ 否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原件 □ 照片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283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老人基础档案</w:t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是 □ 否</w:t>
            </w:r>
          </w:p>
        </w:tc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平台导出</w:t>
            </w:r>
          </w:p>
        </w:tc>
        <w:tc>
          <w:tcPr>
            <w:tcW w:type="dxa" w:w="317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</w:t>
            </w:r>
          </w:p>
        </w:tc>
        <w:tc>
          <w:tcPr>
            <w:tcW w:type="dxa" w:w="283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知情告知与授权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是 □ 否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原件 □ 扫描件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签署率须 100%</w:t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</w:t>
            </w:r>
          </w:p>
        </w:tc>
        <w:tc>
          <w:tcPr>
            <w:tcW w:type="dxa" w:w="283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防跌安全评估表</w:t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是 □ 否</w:t>
            </w:r>
          </w:p>
        </w:tc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原件</w:t>
            </w:r>
          </w:p>
        </w:tc>
        <w:tc>
          <w:tcPr>
            <w:tcW w:type="dxa" w:w="317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7</w:t>
            </w:r>
          </w:p>
        </w:tc>
        <w:tc>
          <w:tcPr>
            <w:tcW w:type="dxa" w:w="283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风险分级名单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是 □ 否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原件 □ 平台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含定级依据</w:t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</w:t>
            </w:r>
          </w:p>
        </w:tc>
        <w:tc>
          <w:tcPr>
            <w:tcW w:type="dxa" w:w="283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配发建议书</w:t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是 □ 否</w:t>
            </w:r>
          </w:p>
        </w:tc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原件</w:t>
            </w:r>
          </w:p>
        </w:tc>
        <w:tc>
          <w:tcPr>
            <w:tcW w:type="dxa" w:w="317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9</w:t>
            </w:r>
          </w:p>
        </w:tc>
        <w:tc>
          <w:tcPr>
            <w:tcW w:type="dxa" w:w="283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设备台账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是 □ 否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平台导出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与实物一致</w:t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</w:t>
            </w:r>
          </w:p>
        </w:tc>
        <w:tc>
          <w:tcPr>
            <w:tcW w:type="dxa" w:w="283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穿戴培训签到表</w:t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是 □ 否</w:t>
            </w:r>
          </w:p>
        </w:tc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原件</w:t>
            </w:r>
          </w:p>
        </w:tc>
        <w:tc>
          <w:tcPr>
            <w:tcW w:type="dxa" w:w="317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通过率须 100%</w:t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11</w:t>
            </w:r>
          </w:p>
        </w:tc>
        <w:tc>
          <w:tcPr>
            <w:tcW w:type="dxa" w:w="283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双通道实弹验证记录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是 □ 否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平台导出 □ 留档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强制项</w:t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12</w:t>
            </w:r>
          </w:p>
        </w:tc>
        <w:tc>
          <w:tcPr>
            <w:tcW w:type="dxa" w:w="283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激励规则公示件</w:t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是 □ 否</w:t>
            </w:r>
          </w:p>
        </w:tc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原件 □ 照片</w:t>
            </w:r>
          </w:p>
        </w:tc>
        <w:tc>
          <w:tcPr>
            <w:tcW w:type="dxa" w:w="317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13</w:t>
            </w:r>
          </w:p>
        </w:tc>
        <w:tc>
          <w:tcPr>
            <w:tcW w:type="dxa" w:w="283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月度依从性报表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是 □ 否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平台导出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每月一份</w:t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14</w:t>
            </w:r>
          </w:p>
        </w:tc>
        <w:tc>
          <w:tcPr>
            <w:tcW w:type="dxa" w:w="283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依从性回访记录</w:t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是 □ 否</w:t>
            </w:r>
          </w:p>
        </w:tc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原件</w:t>
            </w:r>
          </w:p>
        </w:tc>
        <w:tc>
          <w:tcPr>
            <w:tcW w:type="dxa" w:w="317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15</w:t>
            </w:r>
          </w:p>
        </w:tc>
        <w:tc>
          <w:tcPr>
            <w:tcW w:type="dxa" w:w="283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设备异常处理单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是 □ 否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原件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16</w:t>
            </w:r>
          </w:p>
        </w:tc>
        <w:tc>
          <w:tcPr>
            <w:tcW w:type="dxa" w:w="283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事件与响应记录</w:t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是 □ 否</w:t>
            </w:r>
          </w:p>
        </w:tc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平台导出</w:t>
            </w:r>
          </w:p>
        </w:tc>
        <w:tc>
          <w:tcPr>
            <w:tcW w:type="dxa" w:w="317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每起完整留痕</w:t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17</w:t>
            </w:r>
          </w:p>
        </w:tc>
        <w:tc>
          <w:tcPr>
            <w:tcW w:type="dxa" w:w="283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季度报告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是 □ 否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原件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须含核校记录</w:t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18</w:t>
            </w:r>
          </w:p>
        </w:tc>
        <w:tc>
          <w:tcPr>
            <w:tcW w:type="dxa" w:w="283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改造建议清单</w:t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是 □ 否</w:t>
            </w:r>
          </w:p>
        </w:tc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原件</w:t>
            </w:r>
          </w:p>
        </w:tc>
        <w:tc>
          <w:tcPr>
            <w:tcW w:type="dxa" w:w="317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含 P0/P1/P2</w:t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19</w:t>
            </w:r>
          </w:p>
        </w:tc>
        <w:tc>
          <w:tcPr>
            <w:tcW w:type="dxa" w:w="283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复评记录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是 □ 否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原件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56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</w:t>
            </w:r>
          </w:p>
        </w:tc>
        <w:tc>
          <w:tcPr>
            <w:tcW w:type="dxa" w:w="283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年度服务小结</w:t>
            </w:r>
          </w:p>
        </w:tc>
        <w:tc>
          <w:tcPr>
            <w:tcW w:type="dxa" w:w="113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是 □ 否</w:t>
            </w:r>
          </w:p>
        </w:tc>
        <w:tc>
          <w:tcPr>
            <w:tcW w:type="dxa" w:w="1474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原件</w:t>
            </w:r>
          </w:p>
        </w:tc>
        <w:tc>
          <w:tcPr>
            <w:tcW w:type="dxa" w:w="317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>
        <w:tc>
          <w:tcPr>
            <w:tcW w:type="dxa" w:w="56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283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齐全率</w:t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____ / 20</w:t>
            </w:r>
          </w:p>
        </w:tc>
        <w:tc>
          <w:tcPr>
            <w:tcW w:type="dxa" w:w="1474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—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目标：20/20</w:t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p>
      <w:pPr>
        <w:pStyle w:val="Heading2"/>
      </w:pPr>
      <w:r>
        <w:rPr>
          <w:rFonts w:ascii="Times New Roman" w:hAnsi="Times New Roman" w:eastAsia="黑体"/>
        </w:rPr>
        <w:t>3.2　质量指标达标情况（须与平台导出数据一致）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928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指标</w:t>
            </w:r>
          </w:p>
        </w:tc>
        <w:tc>
          <w:tcPr>
            <w:tcW w:type="dxa" w:w="1928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手册要求</w:t>
            </w:r>
          </w:p>
        </w:tc>
        <w:tc>
          <w:tcPr>
            <w:tcW w:type="dxa" w:w="1361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本点位实际</w:t>
            </w:r>
          </w:p>
        </w:tc>
        <w:tc>
          <w:tcPr>
            <w:tcW w:type="dxa" w:w="1587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数据来源</w:t>
            </w:r>
          </w:p>
        </w:tc>
        <w:tc>
          <w:tcPr>
            <w:tcW w:type="dxa" w:w="1247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是否达标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授权签署率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100%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58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平台 / 授权原件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达标 □ 未达标</w:t>
            </w:r>
          </w:p>
        </w:tc>
      </w:tr>
      <w:tr>
        <w:tc>
          <w:tcPr>
            <w:tcW w:type="dxa" w:w="19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档案录入率</w:t>
            </w:r>
          </w:p>
        </w:tc>
        <w:tc>
          <w:tcPr>
            <w:tcW w:type="dxa" w:w="19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100%</w:t>
            </w:r>
          </w:p>
        </w:tc>
        <w:tc>
          <w:tcPr>
            <w:tcW w:type="dxa" w:w="1361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58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平台</w:t>
            </w:r>
          </w:p>
        </w:tc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达标 □ 未达标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穿戴培训通过率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100%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58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培训签到表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达标 □ 未达标</w:t>
            </w:r>
          </w:p>
        </w:tc>
      </w:tr>
      <w:tr>
        <w:tc>
          <w:tcPr>
            <w:tcW w:type="dxa" w:w="19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双通道实弹验证</w:t>
            </w:r>
          </w:p>
        </w:tc>
        <w:tc>
          <w:tcPr>
            <w:tcW w:type="dxa" w:w="19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两端回执齐全</w:t>
            </w:r>
          </w:p>
        </w:tc>
        <w:tc>
          <w:tcPr>
            <w:tcW w:type="dxa" w:w="1361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通过 □ 未通过</w:t>
            </w:r>
          </w:p>
        </w:tc>
        <w:tc>
          <w:tcPr>
            <w:tcW w:type="dxa" w:w="158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平台记录</w:t>
            </w:r>
          </w:p>
        </w:tc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达标 □ 未达标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事件响应闭环率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100%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58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平台记录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达标 □ 未达标</w:t>
            </w:r>
          </w:p>
        </w:tc>
      </w:tr>
      <w:tr>
        <w:tc>
          <w:tcPr>
            <w:tcW w:type="dxa" w:w="19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接单时长</w:t>
            </w:r>
          </w:p>
        </w:tc>
        <w:tc>
          <w:tcPr>
            <w:tcW w:type="dxa" w:w="19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 分钟内</w:t>
            </w:r>
          </w:p>
        </w:tc>
        <w:tc>
          <w:tcPr>
            <w:tcW w:type="dxa" w:w="1361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58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平台记录</w:t>
            </w:r>
          </w:p>
        </w:tc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达标 □ 未达标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到场时长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 分钟内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58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平台记录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达标 □ 未达标</w:t>
            </w:r>
          </w:p>
        </w:tc>
      </w:tr>
      <w:tr>
        <w:tc>
          <w:tcPr>
            <w:tcW w:type="dxa" w:w="19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低气压当日处理率</w:t>
            </w:r>
          </w:p>
        </w:tc>
        <w:tc>
          <w:tcPr>
            <w:tcW w:type="dxa" w:w="19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100%</w:t>
            </w:r>
          </w:p>
        </w:tc>
        <w:tc>
          <w:tcPr>
            <w:tcW w:type="dxa" w:w="1361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58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运维记录</w:t>
            </w:r>
          </w:p>
        </w:tc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达标 □ 未达标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误报当面解释率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100%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58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响应记录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达标 □ 未达标</w:t>
            </w:r>
          </w:p>
        </w:tc>
      </w:tr>
      <w:tr>
        <w:tc>
          <w:tcPr>
            <w:tcW w:type="dxa" w:w="19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评估阈值复核</w:t>
            </w:r>
          </w:p>
        </w:tc>
        <w:tc>
          <w:tcPr>
            <w:tcW w:type="dxa" w:w="19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已执行并留档</w:t>
            </w:r>
          </w:p>
        </w:tc>
        <w:tc>
          <w:tcPr>
            <w:tcW w:type="dxa" w:w="1361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是 □ 否</w:t>
            </w:r>
          </w:p>
        </w:tc>
        <w:tc>
          <w:tcPr>
            <w:tcW w:type="dxa" w:w="158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复核记录</w:t>
            </w:r>
          </w:p>
        </w:tc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达标 □ 未达标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季度报告人工核校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每季均核校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是 □ 否</w:t>
            </w:r>
          </w:p>
        </w:tc>
        <w:tc>
          <w:tcPr>
            <w:tcW w:type="dxa" w:w="158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核校记录</w:t>
            </w:r>
          </w:p>
        </w:tc>
        <w:tc>
          <w:tcPr>
            <w:tcW w:type="dxa" w:w="1247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达标 □ 未达标</w:t>
            </w:r>
          </w:p>
        </w:tc>
      </w:tr>
      <w:tr>
        <w:tc>
          <w:tcPr>
            <w:tcW w:type="dxa" w:w="19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险跌纳入统计</w:t>
            </w:r>
          </w:p>
        </w:tc>
        <w:tc>
          <w:tcPr>
            <w:tcW w:type="dxa" w:w="19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是</w:t>
            </w:r>
          </w:p>
        </w:tc>
        <w:tc>
          <w:tcPr>
            <w:tcW w:type="dxa" w:w="1361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是 □ 否</w:t>
            </w:r>
          </w:p>
        </w:tc>
        <w:tc>
          <w:tcPr>
            <w:tcW w:type="dxa" w:w="158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平台记录</w:t>
            </w:r>
          </w:p>
        </w:tc>
        <w:tc>
          <w:tcPr>
            <w:tcW w:type="dxa" w:w="1247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达标 □ 未达标</w:t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p>
      <w:pPr>
        <w:pStyle w:val="Heading2"/>
      </w:pPr>
      <w:r>
        <w:rPr>
          <w:rFonts w:ascii="Times New Roman" w:hAnsi="Times New Roman" w:eastAsia="黑体"/>
        </w:rPr>
        <w:t>3.3　与首个点位的横向对比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154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对比项</w:t>
            </w:r>
          </w:p>
        </w:tc>
        <w:tc>
          <w:tcPr>
            <w:tcW w:type="dxa" w:w="1928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首个点位（颐清园）</w:t>
            </w:r>
          </w:p>
        </w:tc>
        <w:tc>
          <w:tcPr>
            <w:tcW w:type="dxa" w:w="1928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第二点位</w:t>
            </w:r>
          </w:p>
        </w:tc>
        <w:tc>
          <w:tcPr>
            <w:tcW w:type="dxa" w:w="2041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差异是否可解释</w:t>
            </w:r>
          </w:p>
        </w:tc>
      </w:tr>
      <w:tr>
        <w:tc>
          <w:tcPr>
            <w:tcW w:type="dxa" w:w="215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评估高风险占比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是 □ 否</w:t>
            </w:r>
          </w:p>
        </w:tc>
      </w:tr>
      <w:tr>
        <w:tc>
          <w:tcPr>
            <w:tcW w:type="dxa" w:w="215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平均佩戴时长</w:t>
            </w:r>
          </w:p>
        </w:tc>
        <w:tc>
          <w:tcPr>
            <w:tcW w:type="dxa" w:w="19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9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041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是 □ 否</w:t>
            </w:r>
          </w:p>
        </w:tc>
      </w:tr>
      <w:tr>
        <w:tc>
          <w:tcPr>
            <w:tcW w:type="dxa" w:w="215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依从性达标比例（≥65%）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是 □ 否</w:t>
            </w:r>
          </w:p>
        </w:tc>
      </w:tr>
      <w:tr>
        <w:tc>
          <w:tcPr>
            <w:tcW w:type="dxa" w:w="215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事件响应到场中位时长</w:t>
            </w:r>
          </w:p>
        </w:tc>
        <w:tc>
          <w:tcPr>
            <w:tcW w:type="dxa" w:w="19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9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041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是 □ 否</w:t>
            </w:r>
          </w:p>
        </w:tc>
      </w:tr>
      <w:tr>
        <w:tc>
          <w:tcPr>
            <w:tcW w:type="dxa" w:w="2154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双通道确认率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是 □ 否</w:t>
            </w:r>
          </w:p>
        </w:tc>
      </w:tr>
      <w:tr>
        <w:tc>
          <w:tcPr>
            <w:tcW w:type="dxa" w:w="2154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季度报告核校完成率</w:t>
            </w:r>
          </w:p>
        </w:tc>
        <w:tc>
          <w:tcPr>
            <w:tcW w:type="dxa" w:w="19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19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  <w:tc>
          <w:tcPr>
            <w:tcW w:type="dxa" w:w="2041"/>
            <w:shd w:val="clear" w:fill="F7FAFC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是 □ 否</w:t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p>
      <w:pPr>
        <w:pStyle w:val="Heading2"/>
      </w:pPr>
      <w:r>
        <w:rPr>
          <w:rFonts w:ascii="Times New Roman" w:hAnsi="Times New Roman" w:eastAsia="黑体"/>
        </w:rPr>
        <w:t>3.4　可复制性结论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2"/>
        <w:gridCol w:w="4872"/>
      </w:tblGrid>
      <w:tr>
        <w:trPr>
          <w:tblHeader w:val="true"/>
        </w:trPr>
        <w:tc>
          <w:tcPr>
            <w:tcW w:type="dxa" w:w="2835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判定项</w:t>
            </w:r>
          </w:p>
        </w:tc>
        <w:tc>
          <w:tcPr>
            <w:tcW w:type="dxa" w:w="5783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7"/>
              </w:rPr>
              <w:t>结论</w:t>
            </w:r>
          </w:p>
        </w:tc>
      </w:tr>
      <w:tr>
        <w:tc>
          <w:tcPr>
            <w:tcW w:type="dxa" w:w="283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第二个点位是否按手册动作执行</w:t>
            </w:r>
          </w:p>
        </w:tc>
        <w:tc>
          <w:tcPr>
            <w:tcW w:type="dxa" w:w="5783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是　□ 否（说明：______________）</w:t>
            </w:r>
          </w:p>
        </w:tc>
      </w:tr>
      <w:tr>
        <w:tc>
          <w:tcPr>
            <w:tcW w:type="dxa" w:w="283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工时是否在手册定额 ±10% 内</w:t>
            </w:r>
          </w:p>
        </w:tc>
        <w:tc>
          <w:tcPr>
            <w:tcW w:type="dxa" w:w="5783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是　□ 否（实际偏差：____%）</w:t>
            </w:r>
          </w:p>
        </w:tc>
      </w:tr>
      <w:tr>
        <w:tc>
          <w:tcPr>
            <w:tcW w:type="dxa" w:w="283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交付物是否齐全（20/20）</w:t>
            </w:r>
          </w:p>
        </w:tc>
        <w:tc>
          <w:tcPr>
            <w:tcW w:type="dxa" w:w="5783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是　□ 否（实际：____/20）</w:t>
            </w:r>
          </w:p>
        </w:tc>
      </w:tr>
      <w:tr>
        <w:tc>
          <w:tcPr>
            <w:tcW w:type="dxa" w:w="283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质量指标是否达到手册要求</w:t>
            </w:r>
          </w:p>
        </w:tc>
        <w:tc>
          <w:tcPr>
            <w:tcW w:type="dxa" w:w="5783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全部达标　□ 部分未达标（说明：______________）</w:t>
            </w:r>
          </w:p>
        </w:tc>
      </w:tr>
      <w:tr>
        <w:tc>
          <w:tcPr>
            <w:tcW w:type="dxa" w:w="2835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是否存在手册未覆盖的特殊情况</w:t>
            </w:r>
          </w:p>
        </w:tc>
        <w:tc>
          <w:tcPr>
            <w:tcW w:type="dxa" w:w="5783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□ 否　□ 是（说明：______________）</w:t>
            </w:r>
          </w:p>
        </w:tc>
      </w:tr>
      <w:tr>
        <w:tc>
          <w:tcPr>
            <w:tcW w:type="dxa" w:w="2835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综合结论</w:t>
            </w:r>
          </w:p>
        </w:tc>
        <w:tc>
          <w:tcPr>
            <w:tcW w:type="dxa" w:w="5783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 xml:space="preserve">□ </w:t>
            </w:r>
            <w:r>
              <w:rPr>
                <w:rFonts w:ascii="Times New Roman" w:hAnsi="Times New Roman" w:eastAsia="宋体"/>
                <w:b/>
                <w:sz w:val="17"/>
              </w:rPr>
              <w:t>可复制</w:t>
            </w:r>
            <w:r>
              <w:rPr>
                <w:rFonts w:ascii="Times New Roman" w:hAnsi="Times New Roman" w:eastAsia="宋体"/>
                <w:b w:val="0"/>
                <w:sz w:val="17"/>
              </w:rPr>
              <w:t>：手册可支持第二个点位独立完成交付</w:t>
            </w:r>
          </w:p>
          <w:p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 xml:space="preserve">□ </w:t>
            </w:r>
            <w:r>
              <w:rPr>
                <w:rFonts w:ascii="Times New Roman" w:hAnsi="Times New Roman" w:eastAsia="宋体"/>
                <w:b/>
                <w:sz w:val="17"/>
              </w:rPr>
              <w:t>有条件可复制</w:t>
            </w:r>
            <w:r>
              <w:rPr>
                <w:rFonts w:ascii="Times New Roman" w:hAnsi="Times New Roman" w:eastAsia="宋体"/>
                <w:b w:val="0"/>
                <w:sz w:val="17"/>
              </w:rPr>
              <w:t>：需补充手册 ______________ 环节</w:t>
            </w:r>
          </w:p>
          <w:p>
            <w:pPr>
              <w:spacing w:before="30" w:after="30" w:line="288" w:lineRule="auto"/>
            </w:pPr>
            <w:r>
              <w:rPr>
                <w:rFonts w:ascii="Times New Roman" w:hAnsi="Times New Roman" w:eastAsia="宋体"/>
                <w:b w:val="0"/>
                <w:sz w:val="17"/>
              </w:rPr>
              <w:t xml:space="preserve">□ </w:t>
            </w:r>
            <w:r>
              <w:rPr>
                <w:rFonts w:ascii="Times New Roman" w:hAnsi="Times New Roman" w:eastAsia="宋体"/>
                <w:b/>
                <w:sz w:val="17"/>
              </w:rPr>
              <w:t>暂不可复制</w:t>
            </w:r>
            <w:r>
              <w:rPr>
                <w:rFonts w:ascii="Times New Roman" w:hAnsi="Times New Roman" w:eastAsia="宋体"/>
                <w:b w:val="0"/>
                <w:sz w:val="17"/>
              </w:rPr>
              <w:t>：主要障碍为 ______________</w:t>
            </w:r>
          </w:p>
        </w:tc>
      </w:tr>
    </w:tbl>
    <w:p>
      <w:pPr>
        <w:spacing w:line="360" w:lineRule="auto" w:before="0" w:after="80"/>
      </w:pPr>
      <w:r>
        <w:rPr>
          <w:rFonts w:ascii="Times New Roman" w:hAnsi="Times New Roman" w:eastAsia="宋体"/>
          <w:b w:val="0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B8D4E5"/>
          <w:left w:val="single" w:sz="6" w:color="B8D4E5"/>
          <w:bottom w:val="single" w:sz="6" w:color="B8D4E5"/>
          <w:right w:val="single" w:sz="6" w:color="B8D4E5"/>
          <w:insideH w:val="single" w:sz="6" w:color="B8D4E5"/>
          <w:insideV w:val="single" w:sz="6" w:color="B8D4E5"/>
        </w:tblBorders>
      </w:tblPr>
      <w:tblGrid>
        <w:gridCol w:w="9745"/>
      </w:tblGrid>
      <w:tr>
        <w:tc>
          <w:tcPr>
            <w:tcW w:type="dxa" w:w="9745"/>
            <w:shd w:val="clear" w:fill="F2F7FA"/>
          </w:tcPr>
          <w:p>
            <w:pPr>
              <w:spacing w:before="60" w:after="40" w:line="336" w:lineRule="auto"/>
            </w:pPr>
            <w:r/>
            <w:r>
              <w:rPr>
                <w:rFonts w:ascii="Times New Roman" w:hAnsi="Times New Roman" w:eastAsia="宋体"/>
                <w:b/>
                <w:color w:val="1A2E3C"/>
                <w:sz w:val="19"/>
              </w:rPr>
              <w:t>本部分的证明作用</w:t>
            </w:r>
          </w:p>
          <w:p>
            <w:pPr>
              <w:spacing w:before="60" w:after="40" w:line="336" w:lineRule="auto"/>
            </w:pPr>
            <w:r>
              <w:rPr>
                <w:rFonts w:ascii="Times New Roman" w:hAnsi="Times New Roman" w:eastAsia="宋体"/>
                <w:b/>
                <w:color w:val="0E6FA8"/>
                <w:sz w:val="19"/>
              </w:rPr>
              <w:t>本部分的证明作用</w:t>
            </w:r>
            <w:r>
              <w:rPr>
                <w:rFonts w:ascii="Times New Roman" w:hAnsi="Times New Roman" w:eastAsia="宋体"/>
                <w:b w:val="0"/>
                <w:color w:val="0E6FA8"/>
                <w:sz w:val="19"/>
              </w:rPr>
              <w:t>：第一部分证明意愿与资源到位，第二部分证明投入可预算，</w:t>
            </w:r>
            <w:r>
              <w:rPr>
                <w:rFonts w:ascii="Times New Roman" w:hAnsi="Times New Roman" w:eastAsia="宋体"/>
                <w:b/>
                <w:color w:val="0E6FA8"/>
                <w:sz w:val="19"/>
              </w:rPr>
              <w:t>第三部分证明质量不因换点位而下降</w:t>
            </w:r>
            <w:r>
              <w:rPr>
                <w:rFonts w:ascii="Times New Roman" w:hAnsi="Times New Roman" w:eastAsia="宋体"/>
                <w:b w:val="0"/>
                <w:color w:val="0E6FA8"/>
                <w:sz w:val="19"/>
              </w:rPr>
              <w:t>。三者合起来才是完整的可复制性证据链。任何单项达标都不足以支撑结论。</w:t>
            </w:r>
          </w:p>
        </w:tc>
      </w:tr>
    </w:tbl>
    <w:p>
      <w:pPr>
        <w:spacing w:after="40"/>
      </w:pPr>
    </w:p>
    <w:p>
      <w:pPr>
        <w:spacing w:line="360" w:lineRule="auto" w:before="0" w:after="120"/>
      </w:pPr>
      <w:r>
        <w:rPr>
          <w:rFonts w:ascii="Times New Roman" w:hAnsi="Times New Roman" w:eastAsia="宋体"/>
          <w:b w:val="0"/>
          <w:sz w:val="21"/>
        </w:rPr>
      </w:r>
    </w:p>
    <w:p>
      <w:pPr>
        <w:pStyle w:val="Heading2"/>
      </w:pPr>
      <w:r>
        <w:rPr>
          <w:rFonts w:ascii="Times New Roman" w:hAnsi="Times New Roman" w:eastAsia="黑体"/>
        </w:rPr>
        <w:t>签署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608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角色</w:t>
            </w:r>
          </w:p>
        </w:tc>
        <w:tc>
          <w:tcPr>
            <w:tcW w:type="dxa" w:w="1928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姓名</w:t>
            </w:r>
          </w:p>
        </w:tc>
        <w:tc>
          <w:tcPr>
            <w:tcW w:type="dxa" w:w="2268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签字</w:t>
            </w:r>
          </w:p>
        </w:tc>
        <w:tc>
          <w:tcPr>
            <w:tcW w:type="dxa" w:w="1701"/>
            <w:shd w:val="clear" w:fill="E8E8E8"/>
          </w:tcPr>
          <w:p>
            <w:pPr>
              <w:spacing w:before="30" w:after="30" w:line="28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1A2E3C"/>
                <w:sz w:val="18"/>
              </w:rPr>
              <w:t>日期</w:t>
            </w:r>
          </w:p>
        </w:tc>
      </w:tr>
      <w:tr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表单填写人签字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60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项目负责人复核签字</w:t>
            </w:r>
          </w:p>
        </w:tc>
        <w:tc>
          <w:tcPr>
            <w:tcW w:type="dxa" w:w="192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268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701"/>
            <w:shd w:val="clear" w:fill="F7FAFC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指导教师（审阅）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>
      <w:pPr>
        <w:spacing w:line="360" w:lineRule="auto" w:before="0" w:after="160"/>
      </w:pPr>
      <w:r>
        <w:rPr>
          <w:rFonts w:ascii="Times New Roman" w:hAnsi="Times New Roman" w:eastAsia="宋体"/>
          <w:b w:val="0"/>
          <w:color w:val="606670"/>
          <w:sz w:val="19"/>
        </w:rPr>
        <w:t>三方签字后，本表方可作为可复制性实证材料归档。</w:t>
      </w:r>
    </w:p>
    <w:p>
      <w:pPr>
        <w:spacing w:line="336" w:lineRule="auto" w:before="0" w:after="80"/>
      </w:pPr>
      <w:r>
        <w:rPr>
          <w:rFonts w:ascii="Times New Roman" w:hAnsi="Times New Roman" w:eastAsia="宋体"/>
          <w:b w:val="0"/>
          <w:color w:val="606670"/>
          <w:sz w:val="17"/>
        </w:rPr>
        <w:t>本表所载数据由各签署人负责。项目当前处于概念验证阶段（TRL 3–4），表内涉及的效果描述均为服务过程记录，不代表整机性能实测结论。风险分级为照护资源配置建议，不构成医学诊断、疾病风险评级或健康状况判定。</w:t>
      </w:r>
    </w:p>
    <w:sectPr w:rsidR="00FC693F" w:rsidRPr="0006063C" w:rsidSect="00034616"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12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E6FA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312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E6FA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312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A2E3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80" w:line="312" w:lineRule="auto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60667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