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技术PPT修改意见与答辩文案</w:t>
      </w:r>
    </w:p>
    <w:p>
      <w:pPr>
        <w:pStyle w:val="Subtitle"/>
      </w:pPr>
      <w:r>
        <w:t>现有6页逐页核查  |  建议替换为6页技术叙事  |  附讲稿与评委追问答法</w:t>
      </w:r>
    </w:p>
    <w:p>
      <w:pPr>
        <w:pStyle w:val="Heading1"/>
      </w:pPr>
      <w:r>
        <w:t>1 最需要调整的内容</w:t>
      </w:r>
    </w:p>
    <w:p>
      <w:r>
        <w:rPr>
          <w:rFonts w:ascii="Arial" w:hAnsi="Arial" w:eastAsia="Noto Sans CJK SC"/>
          <w:b w:val="0"/>
          <w:color w:val="000000"/>
        </w:rPr>
        <w:t>现有6页已经覆盖服务流程、识别难点、模型路线和报告，但真实研发成果展示不足。建议用“水中问题 → 真实数据库 → 专项模型训练 → 质量与指标 → 报告原型 → 后续验收”的顺序，清楚交代你们做了什么、为什么这样做、现阶段证据是什么。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649"/>
        <w:gridCol w:w="3345"/>
      </w:tblGrid>
      <w:tr>
        <w:trPr>
          <w:cantSplit/>
          <w:tblHeader/>
        </w:trPr>
        <w:tc>
          <w:tcPr>
            <w:tcW w:type="dxa" w:w="1757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原页及主题</w:t>
            </w:r>
          </w:p>
        </w:tc>
        <w:tc>
          <w:tcPr>
            <w:tcW w:type="dxa" w:w="4649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存在的问题</w:t>
            </w:r>
          </w:p>
        </w:tc>
        <w:tc>
          <w:tcPr>
            <w:tcW w:type="dxa" w:w="3345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建议修改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第1页 服务流程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流程成立；图片以概念展示为主，“AI客观证据”“长期追踪”容易被理解为已经规模运行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保留采集、分析、教练复核、报告、复测流程；换成同一真实案例截图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第2页 气泡与折射</w:t>
            </w:r>
          </w:p>
        </w:tc>
        <w:tc>
          <w:tcPr>
            <w:tcW w:type="dxa" w:w="4649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规范采集、置信度门控、EMA有依据；“多视角融合”“更准确”缺少实现与对照证据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讲具体失败场景与已有应对；同步加入真实数据和微调路径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第3页 多机位路径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拍板、时间戳校准、空间标定、视角权重融合均以完成态呈现；拼接清单实际未帧级同步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主方案写水上水下两路侧面采集；未完成同步、标定和融合放研发计划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第4页 三视角指标融合</w:t>
            </w:r>
          </w:p>
        </w:tc>
        <w:tc>
          <w:tcPr>
            <w:tcW w:type="dxa" w:w="4649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侧面/正面/俯视与当前两路侧面方案不符；雷达图两个维度均写“节奏”；评分与历史均值来源未给出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换四类二维指标与真实证据帧；确有额外采集可注明研究素材，不能写成已部署三视角融合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第5页 模型路线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把MMPose微调作为下一阶段，遗漏已完成的YOLO11-pose训练；北体数据集仅有简短提示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写已完成100轮合成微调与60轮实拍适配；约60人次数据库独立成页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第6页 规则报告</w:t>
            </w:r>
          </w:p>
        </w:tc>
        <w:tc>
          <w:tcPr>
            <w:tcW w:type="dxa" w:w="4649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方向较实在；训练目标/历史基线/置信度各需实际规则与数据；截图有因果性建议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展示指标和证据如何形成重点观察项，教练复核后使用；知识辅助解释不替代骨架识别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</w:rPr>
        <w:t>呈现层面：同一泳者图片在难点页重复，且概念骨架与真实预测不易区分；每页装饰和导航占用面积较大。建议把空间留给数据库摘要、真实标注、预测对照和结果图。概念图标注“示意”，评分示例标注“示例”，保持字号可读。</w:t>
      </w:r>
    </w:p>
    <w:p>
      <w:r>
        <w:rPr>
          <w:rFonts w:ascii="Arial" w:hAnsi="Arial" w:eastAsia="Noto Sans CJK SC"/>
          <w:b w:val="0"/>
          <w:color w:val="000000"/>
          <w:sz w:val="19"/>
        </w:rPr>
        <w:t>评审对应：个人成长30分需要研发过程，项目创新30分需要方法与成果，产业价值25分需要俱乐部使用价值，团队协作15分需要实质分工。本技术段支撑评分，不替代整套PPT的市场、团队与商业内容。</w:t>
      </w:r>
    </w:p>
    <w:p>
      <w:r>
        <w:br w:type="page"/>
      </w:r>
    </w:p>
    <w:p>
      <w:pPr>
        <w:pStyle w:val="Heading1"/>
      </w:pPr>
      <w:r>
        <w:t>2 建议技术第1页 复杂水域下的游泳动作分析</w:t>
      </w:r>
    </w:p>
    <w:p>
      <w:pPr>
        <w:pStyle w:val="Heading2"/>
      </w:pPr>
      <w:r>
        <w:t>可直接放入PPT的内容</w:t>
      </w:r>
    </w:p>
    <w:p>
      <w:r>
        <w:rPr>
          <w:rFonts w:ascii="Arial" w:hAnsi="Arial" w:eastAsia="Noto Sans CJK SC"/>
          <w:b/>
          <w:color w:val="000000"/>
          <w:sz w:val="34"/>
        </w:rPr>
        <w:t>复杂水域下的游泳动作分析</w:t>
      </w:r>
    </w:p>
    <w:p>
      <w:r>
        <w:rPr>
          <w:rFonts w:ascii="Arial" w:hAnsi="Arial" w:eastAsia="Noto Sans CJK SC"/>
          <w:b w:val="0"/>
          <w:color w:val="000000"/>
        </w:rPr>
        <w:t>水上水下配对采集，结合专项识别与教练复核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技术难点：气泡水花、肢体互遮及反光，使关键点出现漏检、偏移和抖动。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采集方案：水上、水下两路侧面视频，提供出水动作与水下动作的观察证据。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研发路径：真实数据库 → 专项模型微调 → 质量判断与时序后处理 → 二维指标与报告。</w:t>
      </w:r>
    </w:p>
    <w:p>
      <w:pPr>
        <w:pStyle w:val="Heading2"/>
      </w:pPr>
      <w:r>
        <w:t>配图与证据</w:t>
      </w:r>
    </w:p>
    <w:p>
      <w:r>
        <w:rPr>
          <w:rFonts w:ascii="Arial" w:hAnsi="Arial" w:eastAsia="Noto Sans CJK SC"/>
          <w:b w:val="0"/>
          <w:color w:val="000000"/>
        </w:rPr>
        <w:t>用你们同一次拍摄的水上、水下两张真实帧，标出具体观察部位；旁边放一个真实失败帧，说明为何不能直接套陆地模型。图上注明“两路配对展示”，不要画成正面、俯视、侧面三路部署。</w:t>
      </w:r>
    </w:p>
    <w:p>
      <w:pPr>
        <w:pStyle w:val="Heading2"/>
      </w:pPr>
      <w:r>
        <w:t>台上讲法</w:t>
      </w:r>
    </w:p>
    <w:p>
      <w:r>
        <w:rPr>
          <w:rFonts w:ascii="Arial" w:hAnsi="Arial" w:eastAsia="Noto Sans CJK SC"/>
          <w:b w:val="0"/>
          <w:color w:val="000000"/>
        </w:rPr>
        <w:t>“游泳的识别难点来自真实水域。水花、气泡和肢体遮挡会让骨架点丢失或偏移。我们采用水上、水下两路侧面采集，让出水和水下动作都有观察证据，再通过专项数据适配模型，把可靠的关键点转成教练能够复核的动作指标。”</w:t>
      </w:r>
    </w:p>
    <w:p>
      <w:pPr>
        <w:pStyle w:val="Heading2"/>
      </w:pPr>
      <w:r>
        <w:t>表述边界</w:t>
      </w:r>
    </w:p>
    <w:p>
      <w:r>
        <w:rPr>
          <w:rFonts w:ascii="Arial" w:hAnsi="Arial" w:eastAsia="Noto Sans CJK SC"/>
          <w:b w:val="0"/>
          <w:color w:val="000000"/>
        </w:rPr>
        <w:t>可说“针对复杂水域研发”，不能说“彻底解决水下遮挡”。当前同步残余误差未验收；两路拼接也不能直接称为几何融合或三维动作捕捉。</w:t>
      </w:r>
    </w:p>
    <w:p>
      <w:r>
        <w:br w:type="page"/>
      </w:r>
    </w:p>
    <w:p>
      <w:pPr>
        <w:pStyle w:val="Heading1"/>
      </w:pPr>
      <w:r>
        <w:t>3 建议技术第2页 高水平运动员多泳姿多速度数据库</w:t>
      </w:r>
    </w:p>
    <w:p>
      <w:pPr>
        <w:pStyle w:val="Heading2"/>
      </w:pPr>
      <w:r>
        <w:t>可直接放入PPT的内容</w:t>
      </w:r>
    </w:p>
    <w:p>
      <w:r>
        <w:rPr>
          <w:rFonts w:ascii="Arial" w:hAnsi="Arial" w:eastAsia="Noto Sans CJK SC"/>
          <w:b/>
          <w:color w:val="000000"/>
          <w:sz w:val="34"/>
        </w:rPr>
        <w:t>高水平运动员多泳姿多速度数据库</w:t>
      </w:r>
    </w:p>
    <w:p>
      <w:r>
        <w:rPr>
          <w:rFonts w:ascii="Arial" w:hAnsi="Arial" w:eastAsia="Noto Sans CJK SC"/>
          <w:b w:val="0"/>
          <w:color w:val="000000"/>
        </w:rPr>
        <w:t>约60人次真实视频，完成采集与部分关键帧骨架标注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四大泳姿：自由泳、仰泳、蛙泳、蝶泳。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运动水平：一级到健将。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动作条件：同一运动员不同技术动作、不同速度。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数据价值：支持专项模型适配、动作对照和教练复核。</w:t>
      </w:r>
    </w:p>
    <w:p>
      <w:pPr>
        <w:pStyle w:val="Heading2"/>
      </w:pPr>
      <w:r>
        <w:t>配图与证据</w:t>
      </w:r>
    </w:p>
    <w:p>
      <w:r>
        <w:rPr>
          <w:rFonts w:ascii="Arial" w:hAnsi="Arial" w:eastAsia="Noto Sans CJK SC"/>
          <w:b w:val="0"/>
          <w:color w:val="000000"/>
        </w:rPr>
        <w:t>主体放四泳姿真实视频帧各1张，加一张人工骨架标注截图。保留“约60人次”“四大泳姿”“一级到健将”三个明确事实；另用小字写“已完成视频采集与部分关键帧标注”。不填未知的独立人数或总标注数量。</w:t>
      </w:r>
    </w:p>
    <w:p>
      <w:pPr>
        <w:pStyle w:val="Heading2"/>
      </w:pPr>
      <w:r>
        <w:t>台上讲法</w:t>
      </w:r>
    </w:p>
    <w:p>
      <w:r>
        <w:rPr>
          <w:rFonts w:ascii="Arial" w:hAnsi="Arial" w:eastAsia="Noto Sans CJK SC"/>
          <w:b w:val="0"/>
          <w:color w:val="000000"/>
        </w:rPr>
        <w:t>“我们依托游泳专项训练场景，积累了约60人次真实视频，四大泳姿全覆盖，运动水平从一级到健将。同一个人还采了不同技术动作和速度条件，并完成了部分关键帧的骨架标注。这些数据让我们能够针对真实泳池问题做适配，也为动作对照提供依据。”</w:t>
      </w:r>
    </w:p>
    <w:p>
      <w:pPr>
        <w:pStyle w:val="Heading2"/>
      </w:pPr>
      <w:r>
        <w:t>表述边界</w:t>
      </w:r>
    </w:p>
    <w:p>
      <w:r>
        <w:rPr>
          <w:rFonts w:ascii="Arial" w:hAnsi="Arial" w:eastAsia="Noto Sans CJK SC"/>
          <w:b w:val="0"/>
          <w:color w:val="000000"/>
        </w:rPr>
        <w:t>数据库是已采集的阶段资产，不称全部精标。约60人次不是60名独立运动员；也不是合成数据规模。当前四泳姿采集齐全，不代表所有泳姿诊断成熟。</w:t>
      </w:r>
    </w:p>
    <w:p>
      <w:r>
        <w:br w:type="page"/>
      </w:r>
    </w:p>
    <w:p>
      <w:pPr>
        <w:pStyle w:val="Heading1"/>
      </w:pPr>
      <w:r>
        <w:t>4 建议技术第3页 合成数据到实拍视频的姿态模型微调</w:t>
      </w:r>
    </w:p>
    <w:p>
      <w:pPr>
        <w:pStyle w:val="Heading2"/>
      </w:pPr>
      <w:r>
        <w:t>可直接放入PPT的内容</w:t>
      </w:r>
    </w:p>
    <w:p>
      <w:r>
        <w:rPr>
          <w:rFonts w:ascii="Arial" w:hAnsi="Arial" w:eastAsia="Noto Sans CJK SC"/>
          <w:b/>
          <w:color w:val="000000"/>
          <w:sz w:val="34"/>
        </w:rPr>
        <w:t>合成数据到实拍视频的姿态模型微调</w:t>
      </w:r>
    </w:p>
    <w:p>
      <w:r>
        <w:rPr>
          <w:rFonts w:ascii="Arial" w:hAnsi="Arial" w:eastAsia="Noto Sans CJK SC"/>
          <w:b w:val="0"/>
          <w:color w:val="000000"/>
        </w:rPr>
        <w:t>已完成YOLO11-pose专项训练与实拍小样本适配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公开数据补充：SwimXYZ四泳姿、三个侧视角子集，已准备144段合成视频。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专项训练：COCO预训练YOLO11n-pose完成100轮微调。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实拍适配：104帧人工骨架标注，完成60轮单片微调。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合成测试：Pose mAP50 0.883、mAP50–95 0.613；按百分制为88.3分与61.3分，分别对应基础与更严格的姿态匹配评价。</w:t>
      </w:r>
    </w:p>
    <w:p>
      <w:r>
        <w:rPr>
          <w:rFonts w:ascii="Arial" w:hAnsi="Arial" w:eastAsia="Noto Sans CJK SC"/>
          <w:color w:val="000000"/>
          <w:sz w:val="19"/>
        </w:rPr>
        <w:t>白话解释：看模型输出的骨架与人工标注是否接近，并综合误检、漏检。测试来自1140张合成图像、862个实例；88.3分不是“88.3%的实拍视频全部识别正确”。</w:t>
      </w:r>
    </w:p>
    <w:p>
      <w:pPr>
        <w:pStyle w:val="Heading2"/>
      </w:pPr>
      <w:r>
        <w:t>配图与证据</w:t>
      </w:r>
    </w:p>
    <w:p>
      <w:r>
        <w:rPr>
          <w:rFonts w:ascii="Arial" w:hAnsi="Arial" w:eastAsia="Noto Sans CJK SC"/>
          <w:color w:val="000000"/>
        </w:rPr>
        <w:t>主体放“合成样例 / 实拍人工标注 / 实拍预测”的对应画面，标清来源。合成指标注明“1140张图、862个实例”。若主讲实拍改进，优先展示“同片15张留出帧：目标框匹配0/15→14/15；平均IoU 0.114→0.699”，旁边写明“同域短片验证”。后续两页给出指标解释、数据表与讲稿。</w:t>
      </w:r>
    </w:p>
    <w:p>
      <w:pPr>
        <w:pStyle w:val="Heading2"/>
      </w:pPr>
      <w:r>
        <w:t>台上讲法</w:t>
      </w:r>
    </w:p>
    <w:p>
      <w:r>
        <w:rPr>
          <w:rFonts w:ascii="Arial" w:hAnsi="Arial" w:eastAsia="Noto Sans CJK SC"/>
          <w:color w:val="000000"/>
        </w:rPr>
        <w:t>“我们先用公开合成数据训练游泳姿态模型，再用真实泳池标注做适配。在同一短片的15张留出画面里，目标框匹配从0张提高到14张，平均框重叠度从0.114提高到0.699，说明该片段中找对要分析的泳者明显改善。骨架精度要另看关键点误差；复杂遮挡和不同运动员的可靠性，还需独立实拍验证。”</w:t>
      </w:r>
    </w:p>
    <w:p>
      <w:pPr>
        <w:pStyle w:val="Heading2"/>
      </w:pPr>
      <w:r>
        <w:t>表述边界</w:t>
      </w:r>
    </w:p>
    <w:p>
      <w:r>
        <w:rPr>
          <w:rFonts w:ascii="Arial" w:hAnsi="Arial" w:eastAsia="Noto Sans CJK SC"/>
          <w:b w:val="0"/>
          <w:color w:val="000000"/>
        </w:rPr>
        <w:t>标题写“基于开源模型的专项微调”，不写自主发明基础网络。MMPose可放备选路线。Pose mAP不改称准确率，合成测试结果不包装成实拍效果；实拍同片15帧不写通用达标率。</w:t>
      </w:r>
    </w:p>
    <w:p>
      <w:r>
        <w:br w:type="page"/>
      </w:r>
    </w:p>
    <w:p>
      <w:pPr>
        <w:pStyle w:val="Heading1"/>
      </w:pPr>
      <w:r>
        <w:t>技术第3页补充 指标解释与当前精度</w:t>
      </w:r>
    </w:p>
    <w:p>
      <w:r>
        <w:rPr>
          <w:rFonts w:ascii="Arial" w:hAnsi="Arial" w:eastAsia="Noto Sans CJK SC"/>
          <w:b w:val="0"/>
          <w:color w:val="000000"/>
        </w:rPr>
        <w:t>精度需要分别回答两件事：</w:t>
      </w:r>
      <w:r>
        <w:rPr>
          <w:rFonts w:ascii="Arial" w:hAnsi="Arial" w:eastAsia="Noto Sans CJK SC"/>
          <w:b/>
          <w:color w:val="000000"/>
        </w:rPr>
        <w:t>是否找对要分析的泳者，以及骨架关键点的位置是否准确</w:t>
      </w:r>
      <w:r>
        <w:rPr>
          <w:rFonts w:ascii="Arial" w:hAnsi="Arial" w:eastAsia="Noto Sans CJK SC"/>
          <w:b w:val="0"/>
          <w:color w:val="000000"/>
        </w:rPr>
        <w:t>。合成测试和真实泳池短片也应分别报告。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5102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5102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白话含义及计算标准</w:t>
            </w:r>
          </w:p>
        </w:tc>
        <w:tc>
          <w:tcPr>
            <w:tcW w:type="dxa" w:w="2891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已有结果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Pose mAP50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综合评价骨架与人工标注的接近程度以及误检、漏检；以OKS≥0.50为匹配标准。OKS考虑关键点误差、人体大小及不同关节的容差。</w:t>
            </w:r>
          </w:p>
        </w:tc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合成测试0.883</w:t>
              <w:br/>
              <w:t>百分制88.3分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Pose mAP50–95</w:t>
            </w:r>
          </w:p>
        </w:tc>
        <w:tc>
          <w:tcPr>
            <w:tcW w:type="dxa" w:w="510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把骨架匹配标准从0.50到0.95，按0.05步长逐渐提高，取10个标准下的平均精度；要求整体定位更精细。</w:t>
            </w:r>
          </w:p>
        </w:tc>
        <w:tc>
          <w:tcPr>
            <w:tcW w:type="dxa" w:w="289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合成测试0.613</w:t>
              <w:br/>
              <w:t>百分制61.3分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目标框匹配成功率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预测框和人工目标框的IoU≥0.5，记为匹配成功；回答选到的候选是否与要分析的泳者对应。</w:t>
            </w:r>
          </w:p>
        </w:tc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实拍留出14/15</w:t>
              <w:br/>
              <w:t>93.3%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平均框IoU</w:t>
            </w:r>
          </w:p>
        </w:tc>
        <w:tc>
          <w:tcPr>
            <w:tcW w:type="dxa" w:w="510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IoU是两框交集面积除以并集面积，范围0至1。越大表示预测框与人工框越重合。</w:t>
            </w:r>
          </w:p>
        </w:tc>
        <w:tc>
          <w:tcPr>
            <w:tcW w:type="dxa" w:w="289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实拍留出0.699</w:t>
              <w:br/>
              <w:t>不是关键点准确率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PCK@0.05</w:t>
              <w:br/>
              <w:t>PCK@0.10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逐点比较预测与人工位置；误差不超过人工目标框对角线5%或10%，记为达标。只在目标框匹配成功的14帧上统计。</w:t>
            </w:r>
          </w:p>
        </w:tc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严格标准55.0%</w:t>
              <w:br/>
              <w:t>较宽松标准69.3%</w:t>
            </w:r>
          </w:p>
        </w:tc>
      </w:tr>
    </w:tbl>
    <w:p>
      <w:pPr>
        <w:spacing w:after="20"/>
      </w:pPr>
    </w:p>
    <w:p>
      <w:pPr>
        <w:pStyle w:val="Heading2"/>
      </w:pPr>
      <w:r>
        <w:t>如何把两个精度层次讲清楚</w:t>
      </w:r>
    </w:p>
    <w:p>
      <w:r>
        <w:rPr>
          <w:rFonts w:ascii="Arial" w:hAnsi="Arial" w:eastAsia="Noto Sans CJK SC"/>
          <w:b/>
          <w:color w:val="000000"/>
        </w:rPr>
        <w:t>“框找对”不等于“骨架全部准确”。</w:t>
      </w:r>
      <w:r>
        <w:rPr>
          <w:rFonts w:ascii="Arial" w:hAnsi="Arial" w:eastAsia="Noto Sans CJK SC"/>
          <w:b w:val="0"/>
          <w:color w:val="000000"/>
        </w:rPr>
        <w:t xml:space="preserve"> 实拍短片中，15张留出帧有14张的目标框匹配成功；对这14帧，严格误差标准下平均约五成半关键点达标，较宽松标准下约七成达标。两项结果需要同时解释。</w:t>
      </w:r>
    </w:p>
    <w:p>
      <w:r>
        <w:rPr>
          <w:rFonts w:ascii="Arial" w:hAnsi="Arial" w:eastAsia="Noto Sans CJK SC"/>
          <w:b w:val="0"/>
          <w:color w:val="000000"/>
        </w:rPr>
        <w:t>PCK举例：假设某帧人工人体框的对角线为1000像素，PCK@0.05容许误差为50像素，PCK@0.10为100像素；每帧按实际人体框大小计算。这是误差容许范围，不是模型置信度，也不能换成厘米级精度。</w:t>
      </w:r>
    </w:p>
    <w:p>
      <w:r>
        <w:rPr>
          <w:rFonts w:ascii="Arial" w:hAnsi="Arial" w:eastAsia="Noto Sans CJK SC"/>
          <w:b w:val="0"/>
          <w:color w:val="000000"/>
          <w:sz w:val="19"/>
        </w:rPr>
        <w:t>mAP50中的“50”是姿态相似度的匹配阈值，不代表50%的点正确，也不是允许50像素误差。把0.883换成88.3分，只是方便表达该项评测指标，不能讲成“100帧里88帧全部骨架正确”。</w:t>
      </w:r>
    </w:p>
    <w:p>
      <w:pPr>
        <w:spacing w:after="120"/>
      </w:pPr>
      <w:hyperlink r:id="rId12">
        <w:r>
          <w:rPr>
            <w:rFonts w:ascii="Arial" w:hAnsi="Arial" w:eastAsia="Noto Sans CJK SC"/>
            <w:sz w:val="17"/>
            <w:color w:val="174F75"/>
          </w:rPr>
          <w:t>指标定义参考 Ultralytics官方关键点相似度实现</w:t>
        </w:r>
      </w:hyperlink>
    </w:p>
    <w:p>
      <w:pPr>
        <w:spacing w:after="120"/>
      </w:pPr>
      <w:hyperlink r:id="rId13">
        <w:r>
          <w:rPr>
            <w:rFonts w:ascii="Arial" w:hAnsi="Arial" w:eastAsia="Noto Sans CJK SC"/>
            <w:sz w:val="17"/>
            <w:color w:val="174F75"/>
          </w:rPr>
          <w:t>项目PCK定义与目标框匹配实现</w:t>
        </w:r>
      </w:hyperlink>
    </w:p>
    <w:p>
      <w:r>
        <w:br w:type="page"/>
      </w:r>
    </w:p>
    <w:p>
      <w:pPr>
        <w:pStyle w:val="Heading1"/>
      </w:pPr>
      <w:r>
        <w:t>技术第3页补充 提升数据与台上讲法</w:t>
      </w:r>
    </w:p>
    <w:p>
      <w:r>
        <w:rPr>
          <w:rFonts w:ascii="Arial" w:hAnsi="Arial" w:eastAsia="Noto Sans CJK SC"/>
          <w:b w:val="0"/>
          <w:color w:val="000000"/>
        </w:rPr>
        <w:t>以下前后对照来自</w:t>
      </w:r>
      <w:r>
        <w:rPr>
          <w:rFonts w:ascii="Arial" w:hAnsi="Arial" w:eastAsia="Noto Sans CJK SC"/>
          <w:b/>
          <w:color w:val="000000"/>
        </w:rPr>
        <w:t>2026年9月27日实拍微调试验</w:t>
      </w:r>
      <w:r>
        <w:rPr>
          <w:rFonts w:ascii="Arial" w:hAnsi="Arial" w:eastAsia="Noto Sans CJK SC"/>
          <w:b w:val="0"/>
          <w:color w:val="000000"/>
        </w:rPr>
        <w:t>：同一约7秒短片，104帧人工骨架标注，按连续时间块分为73帧训练、16帧验证、15帧测试。微调前后使用同一批15张测试图和相同目标选择规则。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871"/>
        <w:gridCol w:w="2551"/>
        <w:gridCol w:w="2835"/>
      </w:tblGrid>
      <w:tr>
        <w:trPr>
          <w:cantSplit/>
          <w:tblHeader/>
        </w:trPr>
        <w:tc>
          <w:tcPr>
            <w:tcW w:type="dxa" w:w="2494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比较项目</w:t>
            </w:r>
          </w:p>
        </w:tc>
        <w:tc>
          <w:tcPr>
            <w:tcW w:type="dxa" w:w="1871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微调前</w:t>
            </w:r>
          </w:p>
        </w:tc>
        <w:tc>
          <w:tcPr>
            <w:tcW w:type="dxa" w:w="2551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微调后</w:t>
            </w:r>
          </w:p>
        </w:tc>
        <w:tc>
          <w:tcPr>
            <w:tcW w:type="dxa" w:w="2835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可量化的变化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目标框匹配成功</w:t>
              <w:br/>
              <w:t>IoU≥0.5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0/15</w:t>
              <w:br/>
              <w:t>0%</w:t>
            </w:r>
          </w:p>
        </w:tc>
        <w:tc>
          <w:tcPr>
            <w:tcW w:type="dxa" w:w="255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14/15</w:t>
              <w:br/>
              <w:t>93.3%</w:t>
            </w:r>
          </w:p>
        </w:tc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增加14张成功帧</w:t>
              <w:br/>
              <w:t>提高93.3个百分点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平均目标框重叠度</w:t>
              <w:br/>
              <w:t>IoU</w:t>
            </w:r>
          </w:p>
        </w:tc>
        <w:tc>
          <w:tcPr>
            <w:tcW w:type="dxa" w:w="187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0.114</w:t>
            </w:r>
          </w:p>
        </w:tc>
        <w:tc>
          <w:tcPr>
            <w:tcW w:type="dxa" w:w="255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0.699</w:t>
            </w:r>
          </w:p>
        </w:tc>
        <w:tc>
          <w:tcPr>
            <w:tcW w:type="dxa" w:w="283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增加0.585</w:t>
              <w:br/>
              <w:t>单位为IoU，不是准确率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关键点达标比例</w:t>
              <w:br/>
              <w:t>匹配成功帧PCK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无匹配成功帧</w:t>
              <w:br/>
              <w:t>不能建立条件PCK基线</w:t>
            </w:r>
          </w:p>
        </w:tc>
        <w:tc>
          <w:tcPr>
            <w:tcW w:type="dxa" w:w="255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PCK@0.05：55.0%</w:t>
              <w:br/>
              <w:t>PCK@0.10：69.3%</w:t>
            </w:r>
          </w:p>
        </w:tc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可报告微调后精度</w:t>
              <w:br/>
              <w:t>不能声称由0%提高至55%</w:t>
            </w:r>
          </w:p>
        </w:tc>
      </w:tr>
    </w:tbl>
    <w:p>
      <w:pPr>
        <w:spacing w:after="20"/>
      </w:pPr>
    </w:p>
    <w:p>
      <w:pPr>
        <w:pStyle w:val="Heading2"/>
      </w:pPr>
      <w:r>
        <w:t>主PPT推荐呈现</w:t>
      </w:r>
    </w:p>
    <w:p>
      <w:r>
        <w:rPr>
          <w:rFonts w:ascii="Arial" w:hAnsi="Arial" w:eastAsia="Noto Sans CJK SC"/>
          <w:b/>
          <w:color w:val="000000"/>
        </w:rPr>
        <w:t>同域实拍短片验证：目标框匹配由0/15提升至14/15；平均IoU由0.114提升至0.699。</w:t>
      </w:r>
      <w:r>
        <w:rPr>
          <w:rFonts w:ascii="Arial" w:hAnsi="Arial" w:eastAsia="Noto Sans CJK SC"/>
          <w:b w:val="0"/>
          <w:color w:val="000000"/>
        </w:rPr>
        <w:t xml:space="preserve"> 配一组同帧前后画面，让评委直观看到“原来选错人，适配后大多选中了目标”。页脚保留“同一约7秒短片、15张时间留出帧、IoU≥0.5；非跨场馆独立测试”。</w:t>
      </w:r>
    </w:p>
    <w:p>
      <w:pPr>
        <w:pStyle w:val="Heading2"/>
      </w:pPr>
      <w:r>
        <w:t>可直接口述的成果</w:t>
      </w:r>
    </w:p>
    <w:p>
      <w:r>
        <w:rPr>
          <w:rFonts w:ascii="Arial" w:hAnsi="Arial" w:eastAsia="Noto Sans CJK SC"/>
          <w:b w:val="0"/>
          <w:color w:val="000000"/>
        </w:rPr>
        <w:t>“我们做的改进首先体现在找对目标。在这段真实泳池短片的15张留出画面上，模型与人工目标框匹配成功的数量从0张提高到14张，平均重叠度也从0.114提高到0.699。说明专项适配明显改善了这个片段中的目标选择。骨架点我们另用误差标准评价：选对目标后，严格标准下约五成半达标，较宽松标准下约七成达标。当前成果是验证了适配路径，下一步继续提高复杂遮挡和不同采集条件下的定位可靠性。”</w:t>
      </w:r>
    </w:p>
    <w:p>
      <w:pPr>
        <w:pStyle w:val="Heading2"/>
      </w:pPr>
      <w:r>
        <w:t>暂时不能量化的提升</w:t>
      </w:r>
    </w:p>
    <w:p>
      <w:r>
        <w:rPr>
          <w:rFonts w:ascii="Arial" w:hAnsi="Arial" w:eastAsia="Noto Sans CJK SC"/>
          <w:b w:val="0"/>
          <w:color w:val="000000"/>
          <w:sz w:val="19"/>
        </w:rPr>
        <w:t>没有微调前在同一合成测试集上的可比指标，不能计算“合成姿态精度提高了多少”。实拍微调前没有选中匹配目标，不能把脚本记下的PCK零值当作可比骨架精度。也不能把框IoU的变化、模型置信度0.986或后续短片候选分数合并成项目整体准确率。</w:t>
      </w:r>
    </w:p>
    <w:p>
      <w:r>
        <w:rPr>
          <w:rFonts w:ascii="Arial" w:hAnsi="Arial" w:eastAsia="Noto Sans CJK SC"/>
          <w:b w:val="0"/>
          <w:color w:val="000000"/>
          <w:sz w:val="18"/>
        </w:rPr>
        <w:t>后续s-pose历史记录有更高的短片PCK，但评估日志标有等待超时，训练范围与检查点还需复核；本页采用可追溯的9月27日前后对照，避免称其为当前全场景最佳模型。跨运动员、跨场馆及真实气泡遮挡效果仍需独立测试。</w:t>
      </w:r>
    </w:p>
    <w:p>
      <w:pPr>
        <w:spacing w:after="120"/>
      </w:pPr>
      <w:hyperlink r:id="rId14">
        <w:r>
          <w:rPr>
            <w:rFonts w:ascii="Arial" w:hAnsi="Arial" w:eastAsia="Noto Sans CJK SC"/>
            <w:sz w:val="17"/>
            <w:color w:val="174F75"/>
          </w:rPr>
          <w:t>前后对照原始结果 最近泳者专用评估</w:t>
        </w:r>
      </w:hyperlink>
    </w:p>
    <w:p>
      <w:pPr>
        <w:spacing w:after="120"/>
      </w:pPr>
      <w:hyperlink r:id="rId15">
        <w:r>
          <w:rPr>
            <w:rFonts w:ascii="Arial" w:hAnsi="Arial" w:eastAsia="Noto Sans CJK SC"/>
            <w:sz w:val="17"/>
            <w:color w:val="174F75"/>
          </w:rPr>
          <w:t>训练与样本范围 实拍微调试验记录</w:t>
        </w:r>
      </w:hyperlink>
    </w:p>
    <w:p>
      <w:pPr>
        <w:pStyle w:val="Heading1"/>
        <w:pageBreakBefore/>
      </w:pPr>
      <w:r>
        <w:t>5 建议技术第4页 关键点质量判断与侧面二维运动学</w:t>
      </w:r>
    </w:p>
    <w:p>
      <w:pPr>
        <w:pStyle w:val="Heading2"/>
      </w:pPr>
      <w:r>
        <w:t>可直接放入PPT的内容</w:t>
      </w:r>
    </w:p>
    <w:p>
      <w:r>
        <w:rPr>
          <w:rFonts w:ascii="Arial" w:hAnsi="Arial" w:eastAsia="Noto Sans CJK SC"/>
          <w:b/>
          <w:color w:val="000000"/>
          <w:sz w:val="34"/>
        </w:rPr>
        <w:t>关键点质量判断与侧面二维运动学</w:t>
      </w:r>
    </w:p>
    <w:p>
      <w:r>
        <w:rPr>
          <w:rFonts w:ascii="Arial" w:hAnsi="Arial" w:eastAsia="Noto Sans CJK SC"/>
          <w:b w:val="0"/>
          <w:color w:val="000000"/>
        </w:rPr>
        <w:t>保留数据来源和质量状态，让动作指标可以复核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已有后处理：置信度门控、EMA时序平滑、有限保持与超时判失。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指标计算：身体姿态、上肢、下肢、头躯干四类，已实现23项字段及计算逻辑。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结果管理：缺失点、单侧回退、低置信和不可用状态；指标与视频证据帧关联。</w:t>
      </w:r>
    </w:p>
    <w:p>
      <w:pPr>
        <w:pStyle w:val="Heading2"/>
      </w:pPr>
      <w:r>
        <w:t>配图与证据</w:t>
      </w:r>
    </w:p>
    <w:p>
      <w:r>
        <w:rPr>
          <w:rFonts w:ascii="Arial" w:hAnsi="Arial" w:eastAsia="Noto Sans CJK SC"/>
          <w:b w:val="0"/>
          <w:color w:val="000000"/>
        </w:rPr>
        <w:t>采用同一真实片段的骨架帧与肘角/身体轴角曲线；在图旁标出单位、采样区间与质量状态。若用平滑前后曲线，称“后处理示例”，保留原始值，不写未经独立验证的精度提升百分比。</w:t>
      </w:r>
    </w:p>
    <w:p>
      <w:pPr>
        <w:pStyle w:val="Heading2"/>
      </w:pPr>
      <w:r>
        <w:t>台上讲法</w:t>
      </w:r>
    </w:p>
    <w:p>
      <w:r>
        <w:rPr>
          <w:rFonts w:ascii="Arial" w:hAnsi="Arial" w:eastAsia="Noto Sans CJK SC"/>
          <w:b w:val="0"/>
          <w:color w:val="000000"/>
        </w:rPr>
        <w:t>“模型画出骨架只是第一步。我们还做了质量判断和时序后处理，低质量数据不会被默认当成完整可靠结果。计算侧面肘角、膝角、身体轴角和轨迹等指标时保留来源与可用性，再关联到原视频证据，方便教练核对。”</w:t>
      </w:r>
    </w:p>
    <w:p>
      <w:pPr>
        <w:pStyle w:val="Heading2"/>
      </w:pPr>
      <w:r>
        <w:t>表述边界</w:t>
      </w:r>
    </w:p>
    <w:p>
      <w:r>
        <w:rPr>
          <w:rFonts w:ascii="Arial" w:hAnsi="Arial" w:eastAsia="Noto Sans CJK SC"/>
          <w:b w:val="0"/>
          <w:color w:val="000000"/>
        </w:rPr>
        <w:t>置信度门控不能保证保留下来的点都正确，EMA也不能恢复真实不可见位置。角度为二维投影，腕速度为px/frame；没有标定不能宣称厘米级、米每秒或三维精度。23项不写成全部验证完成。</w:t>
      </w:r>
    </w:p>
    <w:p>
      <w:r>
        <w:br w:type="page"/>
      </w:r>
    </w:p>
    <w:p>
      <w:pPr>
        <w:pStyle w:val="Heading1"/>
      </w:pPr>
      <w:r>
        <w:t>6 建议技术第5页 指标证据与教练复核报告</w:t>
      </w:r>
    </w:p>
    <w:p>
      <w:pPr>
        <w:pStyle w:val="Heading2"/>
      </w:pPr>
      <w:r>
        <w:t>可直接放入PPT的内容</w:t>
      </w:r>
    </w:p>
    <w:p>
      <w:r>
        <w:rPr>
          <w:rFonts w:ascii="Arial" w:hAnsi="Arial" w:eastAsia="Noto Sans CJK SC"/>
          <w:b/>
          <w:color w:val="000000"/>
          <w:sz w:val="34"/>
        </w:rPr>
        <w:t>指标证据与教练复核报告</w:t>
      </w:r>
    </w:p>
    <w:p>
      <w:r>
        <w:rPr>
          <w:rFonts w:ascii="Arial" w:hAnsi="Arial" w:eastAsia="Noto Sans CJK SC"/>
          <w:b w:val="0"/>
          <w:color w:val="000000"/>
        </w:rPr>
        <w:t>把游泳动作数据组织成俱乐部可使用的复盘材料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已有原型：视频上传、人工标注导入、质量检查、指标计算、证据图表与PDF报告。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反馈方式：指标变化对应重点观察项，结合原视频交由教练复核。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使用场景：单次技术复盘、同条件阶段复测、运动员技术档案。</w:t>
      </w:r>
    </w:p>
    <w:p>
      <w:pPr>
        <w:pStyle w:val="Heading2"/>
      </w:pPr>
      <w:r>
        <w:t>配图与证据</w:t>
      </w:r>
    </w:p>
    <w:p>
      <w:r>
        <w:rPr>
          <w:rFonts w:ascii="Arial" w:hAnsi="Arial" w:eastAsia="Noto Sans CJK SC"/>
          <w:b w:val="0"/>
          <w:color w:val="000000"/>
        </w:rPr>
        <w:t>用同一真实运动员的“原视频与人工标注 / 指标曲线 / 报告页”三张截图。报告截图标清“基于人工标注的分析结果”。确保展示的是本次真实片段结果；Web演示数据中的固定分数不能冒充训练结果。</w:t>
      </w:r>
    </w:p>
    <w:p>
      <w:pPr>
        <w:pStyle w:val="Heading2"/>
      </w:pPr>
      <w:r>
        <w:t>台上讲法</w:t>
      </w:r>
    </w:p>
    <w:p>
      <w:r>
        <w:rPr>
          <w:rFonts w:ascii="Arial" w:hAnsi="Arial" w:eastAsia="Noto Sans CJK SC"/>
          <w:b w:val="0"/>
          <w:color w:val="000000"/>
        </w:rPr>
        <w:t>“我们的技术成果还包括分析软件。现在可以把视频和人工标注导入，计算动作指标并生成带证据的报告。报告帮助教练找到需要重点观察的动作，再通过复测比较变化。自动骨架识别正在独立实验中优化，后续按同一数据接口接入。”</w:t>
      </w:r>
    </w:p>
    <w:p>
      <w:pPr>
        <w:pStyle w:val="Heading2"/>
      </w:pPr>
      <w:r>
        <w:t>表述边界</w:t>
      </w:r>
    </w:p>
    <w:p>
      <w:r>
        <w:rPr>
          <w:rFonts w:ascii="Arial" w:hAnsi="Arial" w:eastAsia="Noto Sans CJK SC"/>
          <w:b w:val="0"/>
          <w:color w:val="000000"/>
        </w:rPr>
        <w:t>不能说当前上传任何视频即可全自动稳定评价。当前产品模型服务是演示输出，真实人工标注链路与独立识别实验要分别展示。规则建议和知识辅助解释不替代教练判断，也不证明训练效果。</w:t>
      </w:r>
    </w:p>
    <w:p>
      <w:r>
        <w:br w:type="page"/>
      </w:r>
    </w:p>
    <w:p>
      <w:pPr>
        <w:pStyle w:val="Heading1"/>
      </w:pPr>
      <w:r>
        <w:t>7 建议技术第6页 已形成成果与下一阶段验证</w:t>
      </w:r>
    </w:p>
    <w:p>
      <w:pPr>
        <w:pStyle w:val="Heading2"/>
      </w:pPr>
      <w:r>
        <w:t>可直接放入PPT的内容</w:t>
      </w:r>
    </w:p>
    <w:p>
      <w:r>
        <w:rPr>
          <w:rFonts w:ascii="Arial" w:hAnsi="Arial" w:eastAsia="Noto Sans CJK SC"/>
          <w:b/>
          <w:color w:val="000000"/>
          <w:sz w:val="34"/>
        </w:rPr>
        <w:t>已形成成果与下一阶段验证</w:t>
      </w:r>
    </w:p>
    <w:p>
      <w:r>
        <w:rPr>
          <w:rFonts w:ascii="Arial" w:hAnsi="Arial" w:eastAsia="Noto Sans CJK SC"/>
          <w:b w:val="0"/>
          <w:color w:val="000000"/>
        </w:rPr>
        <w:t>依托专项训练实践，推进可验收的技术研发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已形成：约60人次专项视频与部分标注；模型权重和训练记录；二维指标与报告原型。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团队实践：运动专项采集与动作定义，结合算法训练、软件开发和报告复核。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下一阶段：完善遮挡标注与独立实拍评测，核验双路同步，接入真实识别模型。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长期探索：经过标定与独立验证后，再研究跨视角融合和3D重建。</w:t>
      </w:r>
    </w:p>
    <w:p>
      <w:pPr>
        <w:pStyle w:val="Heading2"/>
      </w:pPr>
      <w:r>
        <w:t>配图与证据</w:t>
      </w:r>
    </w:p>
    <w:p>
      <w:r>
        <w:rPr>
          <w:rFonts w:ascii="Arial" w:hAnsi="Arial" w:eastAsia="Noto Sans CJK SC"/>
          <w:b w:val="0"/>
          <w:color w:val="000000"/>
        </w:rPr>
        <w:t>成果用真实照片、目录与可查产物呈现。展示一条实际研发迭代：采集/标注 → 合成微调 → 实拍适配 → 质量与报告。成员和导师贡献使用真实记录，不编项目时长、试点数、专利或市场成绩。</w:t>
      </w:r>
    </w:p>
    <w:p>
      <w:pPr>
        <w:pStyle w:val="Heading2"/>
      </w:pPr>
      <w:r>
        <w:t>台上讲法</w:t>
      </w:r>
    </w:p>
    <w:p>
      <w:r>
        <w:rPr>
          <w:rFonts w:ascii="Arial" w:hAnsi="Arial" w:eastAsia="Noto Sans CJK SC"/>
          <w:b w:val="0"/>
          <w:color w:val="000000"/>
        </w:rPr>
        <w:t>“目前我们已形成专项视频和部分标注数据、模型训练成果以及分析报告原型。团队把游泳训练知识与视觉算法、软件开发结合起来，持续把实际问题转为可测试的研发任务。下一阶段会优先补独立实拍验证与遮挡标注，确认效果后接入产品，再推进更复杂的融合研究。”</w:t>
      </w:r>
    </w:p>
    <w:p>
      <w:pPr>
        <w:pStyle w:val="Heading2"/>
      </w:pPr>
      <w:r>
        <w:t>表述边界</w:t>
      </w:r>
    </w:p>
    <w:p>
      <w:r>
        <w:rPr>
          <w:rFonts w:ascii="Arial" w:hAnsi="Arial" w:eastAsia="Noto Sans CJK SC"/>
          <w:b w:val="0"/>
          <w:color w:val="000000"/>
        </w:rPr>
        <w:t>把三视角、动态权重融合、3D重建放未来研究，并列出前提。不要把“未来阶段成果”写成已经获得的成果，也不要列未有证明材料的人员分工或荣誉。</w:t>
      </w:r>
    </w:p>
    <w:p>
      <w:r>
        <w:br w:type="page"/>
      </w:r>
    </w:p>
    <w:p>
      <w:pPr>
        <w:pStyle w:val="Heading1"/>
      </w:pPr>
      <w:r>
        <w:t>8 评委追问的建议答法</w:t>
      </w:r>
    </w:p>
    <w:p>
      <w:pPr>
        <w:pStyle w:val="Heading2"/>
        <w:spacing w:before="100" w:after="60"/>
      </w:pPr>
      <w:r>
        <w:rPr>
          <w:rFonts w:ascii="Arial" w:hAnsi="Arial" w:eastAsia="Noto Sans CJK SC"/>
          <w:b/>
          <w:color w:val="000000"/>
          <w:sz w:val="22"/>
        </w:rPr>
        <w:t>你们真正的创新是什么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000000"/>
        </w:rPr>
        <w:t>基于真实游泳训练问题，把专项视频与标注、开源姿态模型适配、二维运动学和教练复核报告连接起来。当前贡献集中在场景数据、方法适配和分析流程；基础模型来自开源工具，未宣称发明新的网络结构。</w:t>
      </w:r>
    </w:p>
    <w:p>
      <w:pPr>
        <w:pStyle w:val="Heading2"/>
        <w:spacing w:before="100" w:after="60"/>
      </w:pPr>
      <w:r>
        <w:rPr>
          <w:rFonts w:ascii="Arial" w:hAnsi="Arial" w:eastAsia="Noto Sans CJK SC"/>
          <w:b/>
          <w:color w:val="000000"/>
          <w:sz w:val="22"/>
        </w:rPr>
        <w:t>约60人次数据库有什么独特价值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000000"/>
        </w:rPr>
        <w:t>四大泳姿、一级到健将，加上同人不同动作和速度，能支撑实际训练条件下的对照。我们已完成视频与部分关键帧标注。独立人数和全部标注覆盖率还在核对，因此按人次披露。</w:t>
      </w:r>
    </w:p>
    <w:p>
      <w:pPr>
        <w:pStyle w:val="Heading2"/>
        <w:spacing w:before="100" w:after="60"/>
      </w:pPr>
      <w:r>
        <w:rPr>
          <w:rFonts w:ascii="Arial" w:hAnsi="Arial" w:eastAsia="Noto Sans CJK SC"/>
          <w:b/>
          <w:color w:val="000000"/>
          <w:sz w:val="22"/>
        </w:rPr>
        <w:t>气泡遮挡解决了吗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000000"/>
        </w:rPr>
        <w:t>我们已做真实样本采集、专项微调与质量及时序处理，但不能说彻底解决。当前在完善遮挡标注和独立评测，目标是分别验证可见点定位、不可见点的正确提示，以及遮挡后恢复。</w:t>
      </w:r>
    </w:p>
    <w:p>
      <w:pPr>
        <w:pStyle w:val="Heading2"/>
        <w:spacing w:before="100" w:after="60"/>
      </w:pPr>
      <w:r>
        <w:rPr>
          <w:rFonts w:ascii="Arial" w:hAnsi="Arial" w:eastAsia="Noto Sans CJK SC"/>
          <w:b/>
          <w:color w:val="000000"/>
          <w:sz w:val="22"/>
        </w:rPr>
        <w:t>准确率是多少</w:t>
      </w:r>
    </w:p>
    <w:p>
      <w:pPr>
        <w:spacing w:after="100" w:line="269" w:lineRule="auto"/>
      </w:pPr>
      <w:r>
        <w:rPr>
          <w:rFonts w:ascii="Arial" w:hAnsi="Arial" w:eastAsia="Noto Sans CJK SC"/>
          <w:color w:val="000000"/>
        </w:rPr>
        <w:t>合成测试Pose mAP50为0.883，更严格mAP50–95为0.613。实拍同片15帧的目标框匹配达到14/15，较前版增加93.3个百分点；选对目标的14帧中，PCK@0.05为55.0%、PCK@0.10为69.3%。这些分别衡量框与骨架，只是同域短片验证，不代表全场景准确率。</w:t>
      </w:r>
    </w:p>
    <w:p>
      <w:pPr>
        <w:pStyle w:val="Heading2"/>
        <w:spacing w:before="100" w:after="60"/>
      </w:pPr>
      <w:r>
        <w:rPr>
          <w:rFonts w:ascii="Arial" w:hAnsi="Arial" w:eastAsia="Noto Sans CJK SC"/>
          <w:b/>
          <w:color w:val="000000"/>
          <w:sz w:val="22"/>
        </w:rPr>
        <w:t>为什么不用现成大模型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000000"/>
        </w:rPr>
        <w:t>已有实验显示真实泳池存在目标选择和关键点质量问题。我们用真实标注做适配，并保留独立测试来检查效果。通用或合成域的表现不能自动外推到自己的采集机位。</w:t>
      </w:r>
    </w:p>
    <w:p>
      <w:pPr>
        <w:pStyle w:val="Heading2"/>
        <w:spacing w:before="100" w:after="60"/>
      </w:pPr>
      <w:r>
        <w:rPr>
          <w:rFonts w:ascii="Arial" w:hAnsi="Arial" w:eastAsia="Noto Sans CJK SC"/>
          <w:b/>
          <w:color w:val="000000"/>
          <w:sz w:val="22"/>
        </w:rPr>
        <w:t>两摄像头能算三维吗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000000"/>
        </w:rPr>
        <w:t>当前主要用途是两路侧面观察和二维分析。三维重建还需要合适的重叠观测、相机标定、时间对齐和水介质影响处理，现在列为后续研究。</w:t>
      </w:r>
    </w:p>
    <w:p>
      <w:pPr>
        <w:pStyle w:val="Heading2"/>
        <w:spacing w:before="100" w:after="60"/>
      </w:pPr>
      <w:r>
        <w:rPr>
          <w:rFonts w:ascii="Arial" w:hAnsi="Arial" w:eastAsia="Noto Sans CJK SC"/>
          <w:b/>
          <w:color w:val="000000"/>
          <w:sz w:val="22"/>
        </w:rPr>
        <w:t>教练为什么会使用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000000"/>
        </w:rPr>
        <w:t>产品原型把动作画面、指标和证据整理成报告，方便复盘与阶段比较。标注和自动识别分别说明来源；节省多少时间、提高多少效果，还需要真实使用记录证明。</w:t>
      </w:r>
    </w:p>
    <w:p>
      <w:pPr>
        <w:pStyle w:val="Heading2"/>
        <w:spacing w:before="100" w:after="60"/>
      </w:pPr>
      <w:r>
        <w:rPr>
          <w:rFonts w:ascii="Arial" w:hAnsi="Arial" w:eastAsia="Noto Sans CJK SC"/>
          <w:b/>
          <w:color w:val="000000"/>
          <w:sz w:val="22"/>
        </w:rPr>
        <w:t>学生和指导老师做了什么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000000"/>
        </w:rPr>
        <w:t>技术负责人可用已写代码、训练配置和评估记录说明实际工作；游泳专项采集、动作定义、标注及教练复核由团队按实际分工说明，老师的作用以指导记录和审阅内容为依据。</w:t>
      </w:r>
    </w:p>
    <w:p>
      <w:r>
        <w:br w:type="page"/>
      </w:r>
    </w:p>
    <w:p>
      <w:pPr>
        <w:pStyle w:val="Heading1"/>
      </w:pPr>
      <w:r>
        <w:t>9 技术负责人短讲稿与交付建议</w:t>
      </w:r>
    </w:p>
    <w:p>
      <w:pPr>
        <w:pStyle w:val="Heading2"/>
      </w:pPr>
      <w:r>
        <w:t>约90至120秒技术讲稿</w:t>
      </w:r>
    </w:p>
    <w:p>
      <w:r>
        <w:rPr>
          <w:rFonts w:ascii="Arial" w:hAnsi="Arial" w:eastAsia="Noto Sans CJK SC"/>
          <w:b w:val="0"/>
          <w:color w:val="000000"/>
        </w:rPr>
        <w:t>我们的项目面向游泳俱乐部的技术复盘。游泳识别的难点是水花、气泡和肢体遮挡会造成关键点丢失或偏移。我们采用水上、水下两路侧面视频，让教练能同时查看出水动作和水下动作。</w:t>
      </w:r>
    </w:p>
    <w:p>
      <w:r>
        <w:rPr>
          <w:rFonts w:ascii="Arial" w:hAnsi="Arial" w:eastAsia="Noto Sans CJK SC"/>
          <w:b w:val="0"/>
          <w:color w:val="000000"/>
        </w:rPr>
        <w:t>依托游泳专项训练场景，团队已积累约60人次真实视频，四大泳姿全覆盖，运动水平从一级到健将，并采集同一运动员不同技术动作和速度条件，完成了部分关键帧骨架标注。</w:t>
      </w:r>
    </w:p>
    <w:p>
      <w:r>
        <w:rPr>
          <w:rFonts w:ascii="Arial" w:hAnsi="Arial" w:eastAsia="Noto Sans CJK SC"/>
          <w:b w:val="0"/>
          <w:color w:val="000000"/>
        </w:rPr>
        <w:t>算法方面，我们基于开源YOLO11-pose，先使用SwimXYZ合成数据进行100轮专项微调，再用实拍标注做60轮小样本适配，形成了模型权重、训练记录和推理对照。已有合成测试结果，但真实泳池的复杂遮挡效果仍在独立验证。</w:t>
      </w:r>
    </w:p>
    <w:p>
      <w:r>
        <w:rPr>
          <w:rFonts w:ascii="Arial" w:hAnsi="Arial" w:eastAsia="Noto Sans CJK SC"/>
          <w:b w:val="0"/>
          <w:color w:val="000000"/>
        </w:rPr>
        <w:t>系统方面，我们实现了基于人工标注的二维运动学分析，覆盖身体姿态、上肢、下肢及头躯干控制四类指标，并保留质量状态、视频证据和报告输出。教练可以回到原视频核查，而不是只看到一个综合分。下一阶段重点完善遮挡标注与独立实拍评测，核验双路同步，再把真实识别模型接入产品。</w:t>
      </w:r>
    </w:p>
    <w:p>
      <w:pPr>
        <w:pStyle w:val="Heading2"/>
      </w:pPr>
      <w:r>
        <w:t>答辩材料优先准备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一张数据库事实摘要：约60人次、四泳姿、一级到健将、同人多动作多速度、部分关键帧标注。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一个真实案例：标注与骨架、某一角度曲线、对应证据帧、教练重点观察项。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一份训练成果备查：数据来源、训练轮数、权重、合成与实拍测试边界。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一段原型演示：真实视频和人工标注进入系统，生成可复核报告；自动识别实验单独标明。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一份真实团队分工证据：采集、标注、训练、软件、教练复核各自对应具体产物。</w:t>
      </w:r>
    </w:p>
    <w:p>
      <w:r>
        <w:rPr>
          <w:rFonts w:ascii="Arial" w:hAnsi="Arial" w:eastAsia="Noto Sans CJK SC"/>
          <w:b w:val="0"/>
          <w:color w:val="000000"/>
        </w:rPr>
        <w:t>整套答辩若技术时间较短，可将建议第3页训练指标和第6页路线放备份页，主讲“难点、数据库、质量与指标、报告”四页。保留原6页数量时，使用本稿的6页顺序即可；本次交付是修改依据与文字稿，原PPT文件未被改写。</w:t>
      </w:r>
    </w:p>
    <w:p>
      <w:r>
        <w:rPr>
          <w:rFonts w:ascii="Arial" w:hAnsi="Arial" w:eastAsia="Noto Sans CJK SC"/>
          <w:b w:val="0"/>
          <w:color w:val="000000"/>
          <w:sz w:val="19"/>
        </w:rPr>
        <w:t>所有项目事实、代码和结果入口见配套《游泳项目技术说明与证据清单》第9节。评审依据为团队提供规则的创意组部分。公开SwimXYZ用途可核查作者项目页；不要把公开数据写成团队自主采集。</w:t>
      </w:r>
    </w:p>
    <w:p>
      <w:pPr>
        <w:spacing w:after="120"/>
      </w:pPr>
      <w:hyperlink r:id="rId11">
        <w:r>
          <w:rPr>
            <w:rFonts w:ascii="Arial" w:hAnsi="Arial" w:eastAsia="Noto Sans CJK SC"/>
            <w:sz w:val="18"/>
            <w:color w:val="174F75"/>
          </w:rPr>
          <w:t>SwimXYZ作者项目页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color w:val="000000"/>
        <w:sz w:val="16"/>
      </w:rPr>
      <w:t xml:space="preserve">2026年10月14日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Noto Sans CJK SC"/>
        <w:color w:val="000000"/>
        <w:sz w:val="16"/>
      </w:rPr>
      <w:t>智泳云枢  |  中国国际大学生创新大赛 2026  |  高教主赛道创意组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Arial" w:hAnsi="Arial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-fiche.github.io/research-pages/swimxyz/" TargetMode="External"/><Relationship Id="rId12" Type="http://schemas.openxmlformats.org/officeDocument/2006/relationships/hyperlink" Target="https://docs.ultralytics.com/reference/utils/metrics/#ultralytics.utils.metrics.kpt_iou" TargetMode="External"/><Relationship Id="rId13" Type="http://schemas.openxmlformats.org/officeDocument/2006/relationships/hyperlink" Target="/Users/tuian/Documents/&#22823;&#23398;/&#31454;&#36187;/&#22823;&#21019;/&#28216;&#27891;/&#31227;&#21160;&#36319;&#36394;&#25216;&#26415;&#25506;&#32034;/swimpose/tools/evaluate_nearest_swimmer.py" TargetMode="External"/><Relationship Id="rId14" Type="http://schemas.openxmlformats.org/officeDocument/2006/relationships/hyperlink" Target="/Users/tuian/Documents/&#22823;&#23398;/&#31454;&#36187;/&#22823;&#21019;/&#28216;&#27891;/&#31227;&#21160;&#36319;&#36394;&#25216;&#26415;&#25506;&#32034;/swimpose/results/real_cvat_clip_20260927/previews/nearest_swimmer_summary.json" TargetMode="External"/><Relationship Id="rId15" Type="http://schemas.openxmlformats.org/officeDocument/2006/relationships/hyperlink" Target="/Users/tuian/Documents/&#22823;&#23398;/&#31454;&#36187;/&#22823;&#21019;/&#28216;&#27891;/&#31227;&#21160;&#36319;&#36394;&#25216;&#26415;&#25506;&#32034;/swimpose/results/real_cvat_clip_20260927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技术PPT修改意见与答辩文案</dc:title>
  <dc:subject>游泳项目技术内容核查与创意组答辩准备</dc:subject>
  <dc:creator>智泳云枢项目团队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