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游泳项目技术说明与证据清单</w:t>
      </w:r>
    </w:p>
    <w:p>
      <w:pPr>
        <w:pStyle w:val="Subtitle"/>
      </w:pPr>
      <w:r>
        <w:t>团队内部技术底稿  |  工程与实验材料核查  |  约60人次数据库口径采用团队确认信息</w:t>
      </w:r>
    </w:p>
    <w:p>
      <w:pPr>
        <w:pStyle w:val="Heading1"/>
      </w:pPr>
      <w:r>
        <w:t>1 技术定位与当前结论</w:t>
      </w:r>
    </w:p>
    <w:p>
      <w:r>
        <w:rPr>
          <w:rFonts w:ascii="Arial" w:hAnsi="Arial" w:eastAsia="Noto Sans CJK SC"/>
          <w:b w:val="0"/>
          <w:color w:val="000000"/>
        </w:rPr>
        <w:t>项目面向游泳俱乐部的技术复盘需求，以水上、水下两路侧面视频为采集方案，将可复核的人体关键点转化为侧面二维运动学指标、证据画面和教练辅助报告。当前最有支撑的技术价值，是</w:t>
      </w:r>
      <w:r>
        <w:rPr>
          <w:rFonts w:ascii="Arial" w:hAnsi="Arial" w:eastAsia="Noto Sans CJK SC"/>
          <w:b/>
          <w:color w:val="000000"/>
        </w:rPr>
        <w:t>真实专项数据建设、合成数据到实拍视频的模型微调、带质量判断的指标计算，以及训练分析流程的软件实现</w:t>
      </w:r>
      <w:r>
        <w:rPr>
          <w:rFonts w:ascii="Arial" w:hAnsi="Arial" w:eastAsia="Noto Sans CJK SC"/>
          <w:b w:val="0"/>
          <w:color w:val="000000"/>
        </w:rPr>
        <w:t>。</w:t>
      </w:r>
    </w:p>
    <w:p>
      <w:r>
        <w:rPr>
          <w:rFonts w:ascii="Arial" w:hAnsi="Arial" w:eastAsia="Noto Sans CJK SC"/>
          <w:b w:val="0"/>
          <w:color w:val="000000"/>
        </w:rPr>
        <w:t>建议项目技术定位：</w:t>
      </w:r>
      <w:r>
        <w:rPr>
          <w:rFonts w:ascii="Arial" w:hAnsi="Arial" w:eastAsia="Noto Sans CJK SC"/>
          <w:b/>
          <w:color w:val="000000"/>
        </w:rPr>
        <w:t>基于水上水下双机位采集、专项数据迁移学习与侧面二维运动学分析的游泳技术评估系统</w:t>
      </w:r>
      <w:r>
        <w:rPr>
          <w:rFonts w:ascii="Arial" w:hAnsi="Arial" w:eastAsia="Noto Sans CJK SC"/>
          <w:b w:val="0"/>
          <w:color w:val="000000"/>
        </w:rPr>
        <w:t>。这一定位可以体现技术深度，也与现有材料相符。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252"/>
        <w:gridCol w:w="4252"/>
      </w:tblGrid>
      <w:tr>
        <w:trPr>
          <w:cantSplit/>
          <w:tblHeader/>
        </w:trPr>
        <w:tc>
          <w:tcPr>
            <w:tcW w:type="dxa" w:w="1247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证据层级</w:t>
            </w:r>
          </w:p>
        </w:tc>
        <w:tc>
          <w:tcPr>
            <w:tcW w:type="dxa" w:w="425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已核实内容</w:t>
            </w:r>
          </w:p>
        </w:tc>
        <w:tc>
          <w:tcPr>
            <w:tcW w:type="dxa" w:w="425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可采用的表述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团队确认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约60人次；四大泳姿；一级到健将；视频采集与部分关键帧骨架标注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已建立专项视频数据库并开展关键帧标注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代码实现</w:t>
            </w:r>
          </w:p>
        </w:tc>
        <w:tc>
          <w:tcPr>
            <w:tcW w:type="dxa" w:w="425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标注解析、质量检查、23项指标字段及计算逻辑、报告与PDF导出代码</w:t>
            </w:r>
          </w:p>
        </w:tc>
        <w:tc>
          <w:tcPr>
            <w:tcW w:type="dxa" w:w="425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已实现基于人工标注的分析与报告原型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实验产物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YOLO11n-pose权重、100轮训练记录、实拍短片60轮微调、平滑脚本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已完成专项姿态模型微调及局部验证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尚待验收</w:t>
            </w:r>
          </w:p>
        </w:tc>
        <w:tc>
          <w:tcPr>
            <w:tcW w:type="dxa" w:w="425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实拍独立测试、气泡遮挡识别效果、帧级双路同步、模型接入产品</w:t>
            </w:r>
          </w:p>
        </w:tc>
        <w:tc>
          <w:tcPr>
            <w:tcW w:type="dxa" w:w="425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正在验证复杂水域识别与产品集成</w:t>
            </w:r>
          </w:p>
        </w:tc>
      </w:tr>
    </w:tbl>
    <w:p>
      <w:pPr>
        <w:spacing w:after="20"/>
      </w:pPr>
    </w:p>
    <w:p>
      <w:pPr>
        <w:pStyle w:val="Heading1"/>
      </w:pPr>
      <w:r>
        <w:t>2 创意组评分与技术材料的对应关系</w:t>
      </w:r>
    </w:p>
    <w:p>
      <w:r>
        <w:rPr>
          <w:rFonts w:ascii="Arial" w:hAnsi="Arial" w:eastAsia="Noto Sans CJK SC"/>
          <w:b w:val="0"/>
          <w:color w:val="000000"/>
        </w:rPr>
        <w:t>依据团队提供的评审规则第1至2页：个人成长30分、项目创新30分、产业价值25分、团队协作15分。技术材料应呈现问题来源、研发过程、已形成成果和成员实质贡献。创意组可以展示阶段成果及研发计划；计划与已完成成果须清楚区分。</w:t>
      </w:r>
    </w:p>
    <w:p>
      <w:r>
        <w:rPr>
          <w:rFonts w:ascii="Arial" w:hAnsi="Arial" w:eastAsia="Noto Sans CJK SC"/>
          <w:b w:val="0"/>
          <w:color w:val="000000"/>
        </w:rPr>
        <w:t>北体专业资源的价值应落实到训练场景、采集条件、动作定义和教练判断。技术负责人应拿出代码、训练日志与评估产物；其他成员和指导教师的具体贡献由团队据实际记录说明，不能只列身份。</w:t>
      </w:r>
    </w:p>
    <w:p>
      <w:r>
        <w:rPr>
          <w:rFonts w:ascii="Arial" w:hAnsi="Arial" w:eastAsia="Noto Sans CJK SC"/>
          <w:b w:val="0"/>
          <w:color w:val="000000"/>
          <w:sz w:val="18"/>
        </w:rPr>
        <w:t>核查范围：当前swim仓库、相邻移动跟踪与SwimPose实验目录、外接盘所列素材和拼接清单、现有6页技术PPT，以及评审规则。以代码和实验产物为主要依据；旧README中“PDF后期补”等表述已滞后。未连接远程服务器，未重新训练或测试模型。</w:t>
      </w:r>
    </w:p>
    <w:p>
      <w:r>
        <w:br w:type="page"/>
      </w:r>
    </w:p>
    <w:p>
      <w:pPr>
        <w:pStyle w:val="Heading1"/>
      </w:pPr>
      <w:r>
        <w:t>3 已有技术工作清单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762"/>
        <w:gridCol w:w="3231"/>
      </w:tblGrid>
      <w:tr>
        <w:trPr>
          <w:cantSplit/>
          <w:tblHeader/>
        </w:trPr>
        <w:tc>
          <w:tcPr>
            <w:tcW w:type="dxa" w:w="1757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技术工作</w:t>
            </w:r>
          </w:p>
        </w:tc>
        <w:tc>
          <w:tcPr>
            <w:tcW w:type="dxa" w:w="476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实现及产物</w:t>
            </w:r>
          </w:p>
        </w:tc>
        <w:tc>
          <w:tcPr>
            <w:tcW w:type="dxa" w:w="323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状态与边界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双路采集与视频预处理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水上、水下侧面视频；FFmpeg裁剪、缩放、上下拼接；清洗及拼接manifest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素材和脚本已有；现有拼接样例未做帧级同步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专项视频数据库</w:t>
            </w:r>
          </w:p>
        </w:tc>
        <w:tc>
          <w:tcPr>
            <w:tcW w:type="dxa" w:w="476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四泳姿、多技术动作、多速度；一级到健将；约60人次；部分关键帧骨架标注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团队确认；独立人数、总时长、标注覆盖率待台账核实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标注格式与帧映射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CVAT XML、COCO17、Kinovea及标准化JSON；源帧与标注帧映射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代码已实现；示例短片104帧骨架，映射已记录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合成数据处理</w:t>
            </w:r>
          </w:p>
        </w:tc>
        <w:tc>
          <w:tcPr>
            <w:tcW w:type="dxa" w:w="476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SwimXYZ侧视子集；BODY25到COCO17；COCO到YOLO-pose；按视频划分数据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已完成数据准备；公开数据须保留出处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专项迁移学习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COCO预训练YOLO11n-pose；SwimXYZ微调；实拍CVAT短片再次微调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100轮与60轮训练产物已核实；实拍泛化待验收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目标选择与跟踪探索</w:t>
            </w:r>
          </w:p>
        </w:tc>
        <w:tc>
          <w:tcPr>
            <w:tcW w:type="dxa" w:w="476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最大人体框选择最近泳者；YOLO、BoT-SORT/ByteTrack、GMC、泳道ROI对照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离线实验；不等同于多泳者姿态融合或实机闭环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时序后处理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置信度门控EMA；短时低置信保持；超时判失；关节角CSV与骨架叠加视频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脚本与示例已有；稳定性与精度增益尚需独立对照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二维运动学引擎</w:t>
            </w:r>
          </w:p>
        </w:tc>
        <w:tc>
          <w:tcPr>
            <w:tcW w:type="dxa" w:w="476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身体姿态、上肢、下肢、头躯干四类23项字段；角度、轨迹、波动和时序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代码已实现；不是23项均经教练或测量学验收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数据质量与结果追溯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可见性状态、单侧回退、质量等级、来源版本、证据帧、低质量结果处理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实现依据可查；不构成复杂遮挡已解决的证明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分析平台与报告</w:t>
            </w:r>
          </w:p>
        </w:tc>
        <w:tc>
          <w:tcPr>
            <w:tcW w:type="dxa" w:w="476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Vue3/TypeScript/ECharts/Canvas；FastAPI/SQLAlchemy/PostgreSQL；报告、复测、PDF及知识辅助解释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已有产品原型；自动模型服务仍为stub演示输出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</w:rPr>
        <w:t>技术栈适合放在备份页。主技术页优先讲具体问题、采用的方法与证据，避免用框架名称代替项目创新。PyTorch、YOLO、MMPose等开源工具本身不应写成团队自主发明。</w:t>
      </w:r>
    </w:p>
    <w:p>
      <w:r>
        <w:rPr>
          <w:rFonts w:ascii="Arial" w:hAnsi="Arial" w:eastAsia="Noto Sans CJK SC"/>
          <w:b w:val="0"/>
          <w:color w:val="000000"/>
        </w:rPr>
        <w:t>可用的专业表达：</w:t>
      </w:r>
      <w:r>
        <w:rPr>
          <w:rFonts w:ascii="Arial" w:hAnsi="Arial" w:eastAsia="Noto Sans CJK SC"/>
          <w:b/>
          <w:color w:val="000000"/>
        </w:rPr>
        <w:t>游泳专项数据构建、合成到实拍的姿态模型迁移学习、可见性与质量判断驱动的二维运动学分析、带证据引用的教练辅助报告</w:t>
      </w:r>
      <w:r>
        <w:rPr>
          <w:rFonts w:ascii="Arial" w:hAnsi="Arial" w:eastAsia="Noto Sans CJK SC"/>
          <w:b w:val="0"/>
          <w:color w:val="000000"/>
        </w:rPr>
        <w:t>。其中MMPose目前可表述为环境储备或备选框架；已完成训练主线应写YOLO11-pose。</w:t>
      </w:r>
    </w:p>
    <w:p>
      <w:r>
        <w:br w:type="page"/>
      </w:r>
    </w:p>
    <w:p>
      <w:pPr>
        <w:pStyle w:val="Heading1"/>
      </w:pPr>
      <w:r>
        <w:t>4 约60人次专项数据库如何表述</w:t>
      </w:r>
    </w:p>
    <w:p>
      <w:r>
        <w:rPr>
          <w:rFonts w:ascii="Arial" w:hAnsi="Arial" w:eastAsia="Noto Sans CJK SC"/>
          <w:b w:val="0"/>
          <w:color w:val="000000"/>
        </w:rPr>
        <w:t>可直接用于PPT的数据库文案：</w:t>
      </w:r>
      <w:r>
        <w:rPr>
          <w:rFonts w:ascii="Arial" w:hAnsi="Arial" w:eastAsia="Noto Sans CJK SC"/>
          <w:b/>
          <w:color w:val="000000"/>
        </w:rPr>
        <w:t>依托北京体育大学游泳专项训练场景，团队已积累约60人次真实游泳视频，覆盖自由泳、仰泳、蛙泳、蝶泳，运动水平涵盖一级到健将，并记录同一运动员不同技术动作与速度条件下的表现；已完成视频采集与部分关键帧人体骨架标注，为专项模型适配和动作对照提供基础。</w:t>
      </w:r>
    </w:p>
    <w:p>
      <w:pPr>
        <w:pStyle w:val="Heading2"/>
      </w:pPr>
      <w:r>
        <w:t>数据库的技术价值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真实水域样本：保留真实机位、水花、气泡、反光、运动模糊和肢体互遮，有助于发现公开合成数据与实际泳池之间的差异。是否系统覆盖每一种干扰，需要分类台账支持。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水平层次：一级到健将的样本可支持不同技术表现的对照；不能直接据此宣称已建立全人群标准评分。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同人不同动作与速度：可在控制部分个体差异的条件下分析动作随速度变化的规律，减少跨运动员比较中体型与能力差异的干扰。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四大泳姿覆盖：有利于后续按泳姿分别优化模型和动作指标。采集全覆盖不等于四泳姿诊断均已验证。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部分人工骨架标注：既可用于小样本适配，也可建立人工参照。训练样本和独立评测样本应分开管理。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649"/>
        <w:gridCol w:w="3231"/>
      </w:tblGrid>
      <w:tr>
        <w:trPr>
          <w:cantSplit/>
          <w:tblHeader/>
        </w:trPr>
        <w:tc>
          <w:tcPr>
            <w:tcW w:type="dxa" w:w="187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数据资产</w:t>
            </w:r>
          </w:p>
        </w:tc>
        <w:tc>
          <w:tcPr>
            <w:tcW w:type="dxa" w:w="4649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来源与规模口径</w:t>
            </w:r>
          </w:p>
        </w:tc>
        <w:tc>
          <w:tcPr>
            <w:tcW w:type="dxa" w:w="3231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当前用途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团队专项数据库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约60人次，四泳姿，一级到健将；部分关键帧标注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真实动作资料、教练复核、后续专项适配与独立测试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SwimXYZ公开合成子集</w:t>
            </w:r>
          </w:p>
        </w:tc>
        <w:tc>
          <w:tcPr>
            <w:tcW w:type="dxa" w:w="464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已准备144段视频；训练7903图、验证1064图、测试1140图；另836图OOD材料</w:t>
            </w:r>
          </w:p>
        </w:tc>
        <w:tc>
          <w:tcPr>
            <w:tcW w:type="dxa" w:w="3231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训练补充；合成测试及不同光照条件研究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已核实实拍标注短片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约7秒、421视频帧；104骨架标注帧、1768关键点；73/16/15时间块</w:t>
            </w:r>
          </w:p>
        </w:tc>
        <w:tc>
          <w:tcPr>
            <w:tcW w:type="dxa" w:w="3231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单片微调实验；不能充当跨运动员或跨场馆验证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</w:rPr>
        <w:t>“人次”保持原口径，不改为“60名运动员”“60份完整标注样本”或“大规模高精度数据库”。约60人次是团队提供的信息，本次没有通过采集台账独立复算。SwimXYZ为公开合成数据，不能合并包装成团队独立采集资产。</w:t>
      </w:r>
    </w:p>
    <w:p>
      <w:r>
        <w:rPr>
          <w:rFonts w:ascii="Arial" w:hAnsi="Arial" w:eastAsia="Noto Sans CJK SC"/>
          <w:b w:val="0"/>
          <w:color w:val="000000"/>
          <w:sz w:val="19"/>
        </w:rPr>
        <w:t>建议台账至少记录：匿名运动员编号、采集人次、泳姿、运动等级、动作任务、速度条件、场馆/日期、机位、视频时长、配对关系、标注帧数、可见性状态、训练/评测用途。当前独立人数未知；台账核实后再增加总人数或标注覆盖率。</w:t>
      </w:r>
    </w:p>
    <w:p>
      <w:r>
        <w:br w:type="page"/>
      </w:r>
    </w:p>
    <w:p>
      <w:pPr>
        <w:pStyle w:val="Heading1"/>
      </w:pPr>
      <w:r>
        <w:t>5 水中动作捕捉难点与解决路径</w:t>
      </w:r>
    </w:p>
    <w:p>
      <w:r>
        <w:rPr>
          <w:rFonts w:ascii="Arial" w:hAnsi="Arial" w:eastAsia="Noto Sans CJK SC"/>
          <w:b w:val="0"/>
          <w:color w:val="000000"/>
        </w:rPr>
        <w:t>建议把“解决气泡与折射”改成</w:t>
      </w:r>
      <w:r>
        <w:rPr>
          <w:rFonts w:ascii="Arial" w:hAnsi="Arial" w:eastAsia="Noto Sans CJK SC"/>
          <w:b/>
          <w:color w:val="000000"/>
        </w:rPr>
        <w:t>针对复杂水域图像开展专项模型适配，并通过质量判断和教练复核控制不可靠结果</w:t>
      </w:r>
      <w:r>
        <w:rPr>
          <w:rFonts w:ascii="Arial" w:hAnsi="Arial" w:eastAsia="Noto Sans CJK SC"/>
          <w:b w:val="0"/>
          <w:color w:val="000000"/>
        </w:rPr>
        <w:t>。这样既交代技术路径，也能用已有材料支撑。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422"/>
        <w:gridCol w:w="3345"/>
      </w:tblGrid>
      <w:tr>
        <w:trPr>
          <w:cantSplit/>
          <w:tblHeader/>
        </w:trPr>
        <w:tc>
          <w:tcPr>
            <w:tcW w:type="dxa" w:w="1984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具体难点</w:t>
            </w:r>
          </w:p>
        </w:tc>
        <w:tc>
          <w:tcPr>
            <w:tcW w:type="dxa" w:w="442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已有针对性工作</w:t>
            </w:r>
          </w:p>
        </w:tc>
        <w:tc>
          <w:tcPr>
            <w:tcW w:type="dxa" w:w="3345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目前能得出的结论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水花气泡与肢体互遮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真实视频与部分关键帧标注；专项微调；低置信点门控；可见性质量标记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已有处理路径；遮挡分层准确率及可靠弃权仍待评测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水面界面与反光</w:t>
            </w:r>
          </w:p>
        </w:tc>
        <w:tc>
          <w:tcPr>
            <w:tcW w:type="dxa" w:w="442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水上、水下分路采集；视频清洗；明确机位与水面参照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增加观察证据；未核实折射模型或几何畸变校正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合成到真实的域差异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SwimXYZ微调后，以实拍CVAT短片再训练；保留前后对照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单片目标选择改善；独立场馆泛化尚未证明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岸上人员和邻道干扰</w:t>
            </w:r>
          </w:p>
        </w:tc>
        <w:tc>
          <w:tcPr>
            <w:tcW w:type="dxa" w:w="442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最大框近端目标选择；泳道ROI、检测器、跟踪器对照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已发现误锁问题并做分析；最大框不是普遍正确的身份规则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逐帧关键点抖动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置信度门控EMA、有限保持及超时判失；角度与轨迹输出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可以说明已实现后处理；平滑不等于精度提高或看穿遮挡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指标受缺点和视角影响</w:t>
            </w:r>
          </w:p>
        </w:tc>
        <w:tc>
          <w:tcPr>
            <w:tcW w:type="dxa" w:w="442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单侧代理、体长归一化、连续片段筛选、质量等级、不可用状态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可说明已实现带质量状态的计算；二维投影不能当三维关节真值</w:t>
            </w:r>
          </w:p>
        </w:tc>
      </w:tr>
    </w:tbl>
    <w:p>
      <w:pPr>
        <w:spacing w:after="20"/>
      </w:pPr>
    </w:p>
    <w:p>
      <w:pPr>
        <w:pStyle w:val="Heading2"/>
      </w:pPr>
      <w:r>
        <w:t>两路视频采集的价值与边界</w:t>
      </w:r>
    </w:p>
    <w:p>
      <w:r>
        <w:rPr>
          <w:rFonts w:ascii="Arial" w:hAnsi="Arial" w:eastAsia="Noto Sans CJK SC"/>
          <w:b w:val="0"/>
          <w:color w:val="000000"/>
        </w:rPr>
        <w:t>水上视频提供出水移臂和换气等观察证据，水下视频提供水下划臂、躯干和打腿等观察证据。两路视频帮助教练复核同一次动作的不同部分；只有在时间关系核验后，才适合进行精确的跨路动作时序比较。</w:t>
      </w:r>
    </w:p>
    <w:p>
      <w:r>
        <w:rPr>
          <w:rFonts w:ascii="Arial" w:hAnsi="Arial" w:eastAsia="Noto Sans CJK SC"/>
          <w:b w:val="0"/>
          <w:color w:val="000000"/>
        </w:rPr>
        <w:t>上下拼接是显示和输入组织方式，不能直接证明同名关键点融合、遮挡位置恢复或三维重建。现有stitch_manifest明确写明“未做帧级同步，按各自干净段起点对齐”。拍摄时同时开机与输出视频帧级对齐是两个不同问题。</w:t>
      </w:r>
    </w:p>
    <w:p>
      <w:r>
        <w:rPr>
          <w:rFonts w:ascii="Arial" w:hAnsi="Arial" w:eastAsia="Noto Sans CJK SC"/>
          <w:b w:val="0"/>
          <w:color w:val="000000"/>
        </w:rPr>
        <w:t>规范采集与滤波能减少部分图像干扰及抖动，不能单独消除水面折射。没有镜头/介质标定与误差验证时，不应写“精准修正折射”“彻底解决气泡遮挡”“同步无误差”。</w:t>
      </w:r>
    </w:p>
    <w:p>
      <w:r>
        <w:br w:type="page"/>
      </w:r>
    </w:p>
    <w:p>
      <w:pPr>
        <w:pStyle w:val="Heading1"/>
      </w:pPr>
      <w:r>
        <w:t>6 模型训练与实验结果</w:t>
      </w:r>
    </w:p>
    <w:p>
      <w:pPr>
        <w:pStyle w:val="Heading2"/>
      </w:pPr>
      <w:r>
        <w:t>已核实训练主线</w:t>
      </w:r>
    </w:p>
    <w:p>
      <w:r>
        <w:rPr>
          <w:rFonts w:ascii="Arial" w:hAnsi="Arial" w:eastAsia="Noto Sans CJK SC"/>
          <w:b w:val="0"/>
          <w:color w:val="000000"/>
        </w:rPr>
        <w:t>采用COCO预训练YOLO11n-pose进行迁移学习：先完成SwimXYZ侧视子集准备与COCO17格式统一，在远程GPU服务器上训练100轮；再用真实CVAT短片标注进行60轮微调。目录中有对应权重、训练CSV、汇总JSON及推理对比产物。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572"/>
        <w:gridCol w:w="3685"/>
      </w:tblGrid>
      <w:tr>
        <w:trPr>
          <w:cantSplit/>
          <w:tblHeader/>
        </w:trPr>
        <w:tc>
          <w:tcPr>
            <w:tcW w:type="dxa" w:w="2494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实验条件</w:t>
            </w:r>
          </w:p>
        </w:tc>
        <w:tc>
          <w:tcPr>
            <w:tcW w:type="dxa" w:w="357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可核实结果</w:t>
            </w:r>
          </w:p>
        </w:tc>
        <w:tc>
          <w:tcPr>
            <w:tcW w:type="dxa" w:w="3685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可说明的能力与局限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SwimXYZ合成测试</w:t>
              <w:br/>
              <w:t>1140图，862实例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Pose mAP50 0.8833</w:t>
              <w:br/>
              <w:t>Pose mAP50–95 0.6130</w:t>
              <w:br/>
              <w:t>Box mAP50 0.9384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证明该版本完成专项训练并在留出的合成视频上取得结果；不能代表实拍气泡场景准确率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实拍单片时间留出</w:t>
              <w:br/>
              <w:t>15帧，来自同一7秒视频</w:t>
            </w:r>
          </w:p>
        </w:tc>
        <w:tc>
          <w:tcPr>
            <w:tcW w:type="dxa" w:w="357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目标IoU≥0.5：0/15→14/15</w:t>
              <w:br/>
              <w:t>平均框IoU：0.114→0.699</w:t>
              <w:br/>
              <w:t>匹配帧PCK@0.05：0.550</w:t>
              <w:br/>
              <w:t>匹配帧PCK@0.10：0.693</w:t>
            </w:r>
          </w:p>
        </w:tc>
        <w:tc>
          <w:tcPr>
            <w:tcW w:type="dxa" w:w="368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支持该片段目标选择改善；只有14个匹配帧的关键点统计，不是完整系统成功率；同域短片不算独立外测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实拍单片常规姿态评估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Pose mAP50 0.1763</w:t>
              <w:br/>
              <w:t>Pose mAP50–95 0.0206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提示关键点质量仍需改善；框检测表现不能替代骨架精度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后续s-pose实验记录</w:t>
            </w:r>
          </w:p>
        </w:tc>
        <w:tc>
          <w:tcPr>
            <w:tcW w:type="dxa" w:w="357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smooth_demo中有52轮本地CSV及评估JSON，短片PCK数值更高</w:t>
            </w:r>
          </w:p>
        </w:tc>
        <w:tc>
          <w:tcPr>
            <w:tcW w:type="dxa" w:w="368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仍使用短片指标，训练来源及独立性需复核；本稿不将其用作实拍通用性能结论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</w:rPr>
        <w:t>PCK@0.05在本项目脚本中，是关键点误差不超过人工目标框对角线5%的比例；0.10对应10%。这些比例在目标框匹配成功的帧上计算。mAP是模型评估指标，应保留名称与测试域，不能换写成“识别准确率88.3%”。</w:t>
      </w:r>
    </w:p>
    <w:p>
      <w:pPr>
        <w:pStyle w:val="Heading2"/>
      </w:pPr>
      <w:r>
        <w:t>气泡遮挡尚未被独立证明解决</w:t>
      </w:r>
    </w:p>
    <w:p>
      <w:r>
        <w:rPr>
          <w:rFonts w:ascii="Arial" w:hAnsi="Arial" w:eastAsia="Noto Sans CJK SC"/>
          <w:b w:val="0"/>
          <w:color w:val="000000"/>
        </w:rPr>
        <w:t>已核实的实拍训练标注共104帧，转换后的可见性位全部为可见，缺少真实气泡遮挡、不可见和估计点的区分。历史记录也指出置信度与正确性不一致：关键点置信度达到0.986时，单片PCK@0.05仍仅0.550。因此置信度门控属于已有后处理机制，不能称为“只保留正确点”的保证。</w:t>
      </w:r>
    </w:p>
    <w:p>
      <w:r>
        <w:rPr>
          <w:rFonts w:ascii="Arial" w:hAnsi="Arial" w:eastAsia="Noto Sans CJK SC"/>
          <w:b w:val="0"/>
          <w:color w:val="000000"/>
        </w:rPr>
        <w:t>对外成果建议用语：</w:t>
      </w:r>
      <w:r>
        <w:rPr>
          <w:rFonts w:ascii="Arial" w:hAnsi="Arial" w:eastAsia="Noto Sans CJK SC"/>
          <w:b/>
          <w:color w:val="000000"/>
        </w:rPr>
        <w:t>完成游泳专项姿态模型微调，形成17点骨架自动提取、推理可视化与关节角后处理实验；针对实拍视频开展小样本适配，并持续验证复杂遮挡条件下的可靠性。</w:t>
      </w:r>
    </w:p>
    <w:p>
      <w:r>
        <w:br w:type="page"/>
      </w:r>
    </w:p>
    <w:p>
      <w:pPr>
        <w:pStyle w:val="Heading1"/>
      </w:pPr>
      <w:r>
        <w:t>7 侧面二维运动学指标与报告</w:t>
      </w:r>
    </w:p>
    <w:p>
      <w:r>
        <w:rPr>
          <w:rFonts w:ascii="Arial" w:hAnsi="Arial" w:eastAsia="Noto Sans CJK SC"/>
          <w:b w:val="0"/>
          <w:color w:val="000000"/>
        </w:rPr>
        <w:t>最新side_2d_kinematics引擎与早期side_view_metrics分开。当前代码定义四类23项规范字段，并为指标提供数值、单位、可用性、质量信息和来源。字段数量反映实现范围，不等于每项在所有视频上都可计算，也不等于完成测量学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5159"/>
        <w:gridCol w:w="2948"/>
      </w:tblGrid>
      <w:tr>
        <w:trPr>
          <w:cantSplit/>
          <w:tblHeader/>
        </w:trPr>
        <w:tc>
          <w:tcPr>
            <w:tcW w:type="dxa" w:w="1644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5159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已实现字段对应的指标</w:t>
            </w:r>
          </w:p>
        </w:tc>
        <w:tc>
          <w:tcPr>
            <w:tcW w:type="dxa" w:w="2948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解释和使用边界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身体姿态</w:t>
              <w:br/>
              <w:t>6项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躯干轴角、身体轴角、髋部垂直波动、肩部垂直波动、身体轴角标准差、姿态稳定性变异系数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角度相对画面水平；波动以px表示，需区分相机运动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上肢运动</w:t>
              <w:br/>
              <w:t>6项</w:t>
            </w:r>
          </w:p>
        </w:tc>
        <w:tc>
          <w:tcPr>
            <w:tcW w:type="dxa" w:w="515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左右肘角、肘关节运动范围、标准化腕轨迹、手臂伸展比、腕部速度</w:t>
            </w:r>
          </w:p>
        </w:tc>
        <w:tc>
          <w:tcPr>
            <w:tcW w:type="dxa" w:w="2948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二维投影；腕速度是px/frame，不是m/s；归一化依赖参考体长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下肢运动</w:t>
              <w:br/>
              <w:t>6项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左右膝角、膝关节运动范围、踝部垂直波动、打腿周期性、左右打腿时序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左右腿遮挡会影响计算；现有周期性口径优先支持自由泳，其他泳姿降级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头躯干控制</w:t>
              <w:br/>
              <w:t>5项</w:t>
            </w:r>
          </w:p>
        </w:tc>
        <w:tc>
          <w:tcPr>
            <w:tcW w:type="dxa" w:w="5159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头部垂直波动、头肩相对偏移、头体同步性、头部剧烈运动帧、躯干垂直稳定性</w:t>
            </w:r>
          </w:p>
        </w:tc>
        <w:tc>
          <w:tcPr>
            <w:tcW w:type="dxa" w:w="2948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头点不可靠时应显示质量限制；关联指标不直接证明换气问题的因果</w:t>
            </w:r>
          </w:p>
        </w:tc>
      </w:tr>
    </w:tbl>
    <w:p>
      <w:pPr>
        <w:spacing w:after="20"/>
      </w:pPr>
    </w:p>
    <w:p>
      <w:pPr>
        <w:pStyle w:val="Heading2"/>
      </w:pPr>
      <w:r>
        <w:t>典型计算如何向评委解释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肘角：由肩、肘、腕三个图像点计算二维夹角，描述划臂过程中肘部形态变化。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身体轴角：由肩部和踝部派生点构造轴线，观察其相对画面水平的角度及波动。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轨迹归一化：将腕部等轨迹按参考体长进行归一化，有助于相同采集条件下比较。</w:t>
      </w:r>
    </w:p>
    <w:p>
      <w:pPr>
        <w:pStyle w:val="ListBullet"/>
        <w:spacing w:after="100"/>
      </w:pPr>
      <w:r>
        <w:rPr>
          <w:rFonts w:ascii="Arial" w:hAnsi="Arial" w:eastAsia="Noto Sans CJK SC"/>
          <w:color w:val="000000"/>
        </w:rPr>
        <w:t>打腿与头体时序：在连续、可用的关键点片段上计算周期或运动关联；样本不足、模式切换或其他泳姿时降低可信度。</w:t>
      </w:r>
    </w:p>
    <w:p>
      <w:r>
        <w:rPr>
          <w:rFonts w:ascii="Arial" w:hAnsi="Arial" w:eastAsia="Noto Sans CJK SC"/>
          <w:b w:val="0"/>
          <w:color w:val="000000"/>
        </w:rPr>
        <w:t>早期引擎另有划频、划幅、速度、SWOLF、髋深等字段，这些依赖动作事件、FPS、距离标定或水面线。PPT若展示m/s、m、cm，必须指明对应的真实标定依据。不能把px/frame直接换成游进速度，也不能把历史占位评分当权威评价。</w:t>
      </w:r>
    </w:p>
    <w:p>
      <w:r>
        <w:rPr>
          <w:rFonts w:ascii="Arial" w:hAnsi="Arial" w:eastAsia="Noto Sans CJK SC"/>
          <w:b w:val="0"/>
          <w:color w:val="000000"/>
        </w:rPr>
        <w:t>报告以视频证据帧、骨架、时序曲线和可读指标构成复核材料，并可输出PDF。规则提示与知识辅助解释用于提出重点观察项；“力量不足”“推进力提高”等因果结论仍需教练和其他证据判断。雷达图若没有评分定义、权重和校准，应标注示例或改为真实原始指标图。</w:t>
      </w:r>
    </w:p>
    <w:p>
      <w:r>
        <w:br w:type="page"/>
      </w:r>
    </w:p>
    <w:p>
      <w:pPr>
        <w:pStyle w:val="Heading1"/>
      </w:pPr>
      <w:r>
        <w:t>8 质量控制与下一步可验证工作</w:t>
      </w:r>
    </w:p>
    <w:p>
      <w:pPr>
        <w:pStyle w:val="Heading2"/>
      </w:pPr>
      <w:r>
        <w:t>已有质量机制</w:t>
      </w:r>
    </w:p>
    <w:p>
      <w:r>
        <w:rPr>
          <w:rFonts w:ascii="Arial" w:hAnsi="Arial" w:eastAsia="Noto Sans CJK SC"/>
          <w:b w:val="0"/>
          <w:color w:val="000000"/>
        </w:rPr>
        <w:t>标注规范化与帧映射将视频证据和标注来源连接起来；可见、遮挡、估计、缺失状态参与数据质量判断。新运动学解析层对可见性设置权重，单侧可用时用代理点并降低置信度，保留构造模式；跨帧计算不随意混合不同构造模式。结果有低置信或不可用状态，供报告解释及复核使用。</w:t>
      </w:r>
    </w:p>
    <w:p>
      <w:r>
        <w:rPr>
          <w:rFonts w:ascii="Arial" w:hAnsi="Arial" w:eastAsia="Noto Sans CJK SC"/>
          <w:b w:val="0"/>
          <w:color w:val="000000"/>
        </w:rPr>
        <w:t>软件采用独立的业务后端与模型服务边界，便于替换识别模型。已实现的人工标注分析流程能够独立于自动识别研究推进。当前model_service/app/runtime.py仍返回固定演示框、骨架与评分；独立SwimPose实验的真实权重尚不能据此视为已接入Web产品。</w:t>
      </w:r>
    </w:p>
    <w:p>
      <w:pPr>
        <w:pStyle w:val="Heading2"/>
      </w:pPr>
      <w:r>
        <w:t>答辩前优先补充的可检查证据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92"/>
        <w:gridCol w:w="3345"/>
      </w:tblGrid>
      <w:tr>
        <w:trPr>
          <w:cantSplit/>
          <w:tblHeader/>
        </w:trPr>
        <w:tc>
          <w:tcPr>
            <w:tcW w:type="dxa" w:w="1814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优先项</w:t>
            </w:r>
          </w:p>
        </w:tc>
        <w:tc>
          <w:tcPr>
            <w:tcW w:type="dxa" w:w="4592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具体工作</w:t>
            </w:r>
          </w:p>
        </w:tc>
        <w:tc>
          <w:tcPr>
            <w:tcW w:type="dxa" w:w="3345"/>
            <w:vAlign w:val="center"/>
            <w:shd w:fill="DDE7E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000000"/>
                <w:sz w:val="18"/>
              </w:rPr>
              <w:t>验收或呈现方式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采集与标注台账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核对约60人次，补独立人数、时长与标注覆盖；按四泳姿和速度归档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一张真实数据库摘要，配四泳姿样例与一帧人工标注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独立实拍评测</w:t>
            </w:r>
          </w:p>
        </w:tc>
        <w:tc>
          <w:tcPr>
            <w:tcW w:type="dxa" w:w="459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按运动员、完整采集场次及场馆/机位分组；评测视频不得参与训练或选型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按泳姿、遮挡程度分别报目标选择、PCK/误差、弃权和恢复时间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同步核验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校验两路同一事件；记录起始偏移、帧率、长片漂移与残余误差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给出前/中/后事件对齐帧和误差，未验收前保持“配对采集”表述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时序平滑消融</w:t>
            </w:r>
          </w:p>
        </w:tc>
        <w:tc>
          <w:tcPr>
            <w:tcW w:type="dxa" w:w="459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固定模型与输入，对比原始、门控、门控加EMA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同时比较关键点误差、角度波动、相位延迟与有效输出率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产品真实链路</w:t>
            </w:r>
          </w:p>
        </w:tc>
        <w:tc>
          <w:tcPr>
            <w:tcW w:type="dxa" w:w="459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选择一个标注可靠片段演示上传、分析、证据与PDF；检查数据来源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演示用真实标注；自动识别展示单独注明实验模型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教练复核记录</w:t>
            </w:r>
          </w:p>
        </w:tc>
        <w:tc>
          <w:tcPr>
            <w:tcW w:type="dxa" w:w="4592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对同一报告记录认可点、误判点及指标定义问题</w:t>
            </w:r>
          </w:p>
        </w:tc>
        <w:tc>
          <w:tcPr>
            <w:tcW w:type="dxa" w:w="3345"/>
            <w:vAlign w:val="center"/>
            <w:shd w:fill="F6F8FA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保留原始意见与修改记录；无记录时不报满意度或训练提升率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</w:rPr>
        <w:t>独立评测应保留完全未参与训练的真实采集场次。约7秒训练短片的不同时间块，只能称同域留出验证。历史记录建议北体两路素材作为候选外测，是否仍未参与后续训练须核实；这里不把该建议当作当前独立性已确认。</w:t>
      </w:r>
    </w:p>
    <w:p>
      <w:r>
        <w:rPr>
          <w:rFonts w:ascii="Arial" w:hAnsi="Arial" w:eastAsia="Noto Sans CJK SC"/>
          <w:b w:val="0"/>
          <w:color w:val="000000"/>
        </w:rPr>
        <w:t>最小展示案例：真实水下侧面帧及人工骨架 → 某一肘角或身体轴角曲线 → 对应证据帧 → 教练重点观察项。将这一个案例讲透，比缺乏定义的“六维综合分”更容易说明你们的实质工作。</w:t>
      </w:r>
    </w:p>
    <w:p>
      <w:r>
        <w:br w:type="page"/>
      </w:r>
    </w:p>
    <w:p>
      <w:pPr>
        <w:pStyle w:val="Heading1"/>
      </w:pPr>
      <w:r>
        <w:t>9 来源与复核入口</w:t>
      </w:r>
    </w:p>
    <w:p>
      <w:r>
        <w:rPr>
          <w:rFonts w:ascii="Arial" w:hAnsi="Arial" w:eastAsia="Noto Sans CJK SC"/>
          <w:b w:val="0"/>
          <w:color w:val="000000"/>
          <w:sz w:val="18"/>
        </w:rPr>
        <w:t>以下入口均已阅读或核实存在。代码证明实现范围，实验记录证明特定条件下的结果；团队提供的数据库口径没有通过本次台账重算。点击条目可定位文件。</w:t>
      </w:r>
    </w:p>
    <w:p>
      <w:pPr>
        <w:spacing w:after="120"/>
      </w:pPr>
      <w:hyperlink r:id="rId11">
        <w:r>
          <w:rPr>
            <w:rFonts w:ascii="Arial" w:hAnsi="Arial" w:eastAsia="Noto Sans CJK SC"/>
            <w:sz w:val="18"/>
            <w:color w:val="174F75"/>
          </w:rPr>
          <w:t>E01 现有技术PPT 6页</w:t>
        </w:r>
      </w:hyperlink>
    </w:p>
    <w:p>
      <w:pPr>
        <w:spacing w:after="120"/>
      </w:pPr>
      <w:hyperlink r:id="rId12">
        <w:r>
          <w:rPr>
            <w:rFonts w:ascii="Arial" w:hAnsi="Arial" w:eastAsia="Noto Sans CJK SC"/>
            <w:sz w:val="18"/>
            <w:color w:val="174F75"/>
          </w:rPr>
          <w:t>E02 2026评审规则 第1至2页创意组</w:t>
        </w:r>
      </w:hyperlink>
    </w:p>
    <w:p>
      <w:pPr>
        <w:spacing w:after="120"/>
      </w:pPr>
      <w:hyperlink r:id="rId13">
        <w:r>
          <w:rPr>
            <w:rFonts w:ascii="Arial" w:hAnsi="Arial" w:eastAsia="Noto Sans CJK SC"/>
            <w:sz w:val="18"/>
            <w:color w:val="174F75"/>
          </w:rPr>
          <w:t>E03 当前自动模型服务 演示输出</w:t>
        </w:r>
      </w:hyperlink>
    </w:p>
    <w:p>
      <w:pPr>
        <w:spacing w:after="120"/>
      </w:pPr>
      <w:hyperlink r:id="rId14">
        <w:r>
          <w:rPr>
            <w:rFonts w:ascii="Arial" w:hAnsi="Arial" w:eastAsia="Noto Sans CJK SC"/>
            <w:sz w:val="18"/>
            <w:color w:val="174F75"/>
          </w:rPr>
          <w:t>E04 人工标注运动学分析流程</w:t>
        </w:r>
      </w:hyperlink>
    </w:p>
    <w:p>
      <w:pPr>
        <w:spacing w:after="120"/>
      </w:pPr>
      <w:hyperlink r:id="rId15">
        <w:r>
          <w:rPr>
            <w:rFonts w:ascii="Arial" w:hAnsi="Arial" w:eastAsia="Noto Sans CJK SC"/>
            <w:sz w:val="18"/>
            <w:color w:val="174F75"/>
          </w:rPr>
          <w:t>E05 四类23项字段与计算入口</w:t>
        </w:r>
      </w:hyperlink>
    </w:p>
    <w:p>
      <w:pPr>
        <w:spacing w:after="120"/>
      </w:pPr>
      <w:hyperlink r:id="rId16">
        <w:r>
          <w:rPr>
            <w:rFonts w:ascii="Arial" w:hAnsi="Arial" w:eastAsia="Noto Sans CJK SC"/>
            <w:sz w:val="18"/>
            <w:color w:val="174F75"/>
          </w:rPr>
          <w:t>E06 可见性与单侧回退解析</w:t>
        </w:r>
      </w:hyperlink>
    </w:p>
    <w:p>
      <w:pPr>
        <w:spacing w:after="120"/>
      </w:pPr>
      <w:hyperlink r:id="rId17">
        <w:r>
          <w:rPr>
            <w:rFonts w:ascii="Arial" w:hAnsi="Arial" w:eastAsia="Noto Sans CJK SC"/>
            <w:sz w:val="18"/>
            <w:color w:val="174F75"/>
          </w:rPr>
          <w:t>E07 报告指标名称与呈现</w:t>
        </w:r>
      </w:hyperlink>
    </w:p>
    <w:p>
      <w:pPr>
        <w:spacing w:after="120"/>
      </w:pPr>
      <w:hyperlink r:id="rId18">
        <w:r>
          <w:rPr>
            <w:rFonts w:ascii="Arial" w:hAnsi="Arial" w:eastAsia="Noto Sans CJK SC"/>
            <w:sz w:val="18"/>
            <w:color w:val="174F75"/>
          </w:rPr>
          <w:t>E08 PDF导出实现</w:t>
        </w:r>
      </w:hyperlink>
    </w:p>
    <w:p>
      <w:pPr>
        <w:spacing w:after="120"/>
      </w:pPr>
      <w:hyperlink r:id="rId19">
        <w:r>
          <w:rPr>
            <w:rFonts w:ascii="Arial" w:hAnsi="Arial" w:eastAsia="Noto Sans CJK SC"/>
            <w:sz w:val="18"/>
            <w:color w:val="174F75"/>
          </w:rPr>
          <w:t>E09 SwimXYZ训练结果 100轮</w:t>
        </w:r>
      </w:hyperlink>
    </w:p>
    <w:p>
      <w:pPr>
        <w:spacing w:after="120"/>
      </w:pPr>
      <w:hyperlink r:id="rId20">
        <w:r>
          <w:rPr>
            <w:rFonts w:ascii="Arial" w:hAnsi="Arial" w:eastAsia="Noto Sans CJK SC"/>
            <w:sz w:val="18"/>
            <w:color w:val="174F75"/>
          </w:rPr>
          <w:t>E10 实拍短片微调及最近泳者结果</w:t>
        </w:r>
      </w:hyperlink>
    </w:p>
    <w:p>
      <w:pPr>
        <w:spacing w:after="120"/>
      </w:pPr>
      <w:hyperlink r:id="rId21">
        <w:r>
          <w:rPr>
            <w:rFonts w:ascii="Arial" w:hAnsi="Arial" w:eastAsia="Noto Sans CJK SC"/>
            <w:sz w:val="18"/>
            <w:color w:val="174F75"/>
          </w:rPr>
          <w:t>E11 实拍标注数据与73/16/15划分</w:t>
        </w:r>
      </w:hyperlink>
    </w:p>
    <w:p>
      <w:pPr>
        <w:spacing w:after="120"/>
      </w:pPr>
      <w:hyperlink r:id="rId22">
        <w:r>
          <w:rPr>
            <w:rFonts w:ascii="Arial" w:hAnsi="Arial" w:eastAsia="Noto Sans CJK SC"/>
            <w:sz w:val="18"/>
            <w:color w:val="174F75"/>
          </w:rPr>
          <w:t>E12 置信度门控EMA与关节角输出</w:t>
        </w:r>
      </w:hyperlink>
    </w:p>
    <w:p>
      <w:pPr>
        <w:spacing w:after="120"/>
      </w:pPr>
      <w:hyperlink r:id="rId23">
        <w:r>
          <w:rPr>
            <w:rFonts w:ascii="Arial" w:hAnsi="Arial" w:eastAsia="Noto Sans CJK SC"/>
            <w:sz w:val="18"/>
            <w:color w:val="174F75"/>
          </w:rPr>
          <w:t>E13 遮挡与独立评测目标分析</w:t>
        </w:r>
      </w:hyperlink>
    </w:p>
    <w:p>
      <w:pPr>
        <w:spacing w:after="120"/>
      </w:pPr>
      <w:hyperlink r:id="rId24">
        <w:r>
          <w:rPr>
            <w:rFonts w:ascii="Arial" w:hAnsi="Arial" w:eastAsia="Noto Sans CJK SC"/>
            <w:sz w:val="18"/>
            <w:color w:val="174F75"/>
          </w:rPr>
          <w:t>E14 两路拼接 未做帧级同步的清单</w:t>
        </w:r>
      </w:hyperlink>
    </w:p>
    <w:p>
      <w:pPr>
        <w:spacing w:after="120"/>
      </w:pPr>
      <w:hyperlink r:id="rId25">
        <w:r>
          <w:rPr>
            <w:rFonts w:ascii="Arial" w:hAnsi="Arial" w:eastAsia="Noto Sans CJK SC"/>
            <w:sz w:val="18"/>
            <w:color w:val="174F75"/>
          </w:rPr>
          <w:t>E15 知识辅助解释与事实引用校验</w:t>
        </w:r>
      </w:hyperlink>
    </w:p>
    <w:p>
      <w:pPr>
        <w:spacing w:after="120"/>
      </w:pPr>
      <w:hyperlink r:id="rId26">
        <w:r>
          <w:rPr>
            <w:rFonts w:ascii="Arial" w:hAnsi="Arial" w:eastAsia="Noto Sans CJK SC"/>
            <w:sz w:val="18"/>
            <w:color w:val="174F75"/>
          </w:rPr>
          <w:t>E16 后续s-pose短片评估记录</w:t>
        </w:r>
      </w:hyperlink>
    </w:p>
    <w:p>
      <w:r>
        <w:rPr>
          <w:rFonts w:ascii="Arial" w:hAnsi="Arial" w:eastAsia="Noto Sans CJK SC"/>
          <w:b w:val="0"/>
          <w:color w:val="000000"/>
          <w:sz w:val="18"/>
        </w:rPr>
        <w:t>团队口径来源：2026年10月14日本次对话，约60人次、一级到健将、同人不同技术动作与速度；随后确认四大泳姿全覆盖，完成视频采集与部分关键帧标注，独立人数暂不记得。</w:t>
      </w:r>
    </w:p>
    <w:p>
      <w:pPr>
        <w:spacing w:after="120"/>
      </w:pPr>
      <w:hyperlink r:id="rId27">
        <w:r>
          <w:rPr>
            <w:rFonts w:ascii="Arial" w:hAnsi="Arial" w:eastAsia="Noto Sans CJK SC"/>
            <w:sz w:val="18"/>
            <w:color w:val="174F75"/>
          </w:rPr>
          <w:t>外部原始来源 SwimXYZ作者项目页 合成游泳数据与论文</w:t>
        </w:r>
      </w:hyperlink>
    </w:p>
    <w:p>
      <w:pPr>
        <w:spacing w:after="120"/>
      </w:pPr>
      <w:hyperlink r:id="rId28">
        <w:r>
          <w:rPr>
            <w:rFonts w:ascii="Arial" w:hAnsi="Arial" w:eastAsia="Noto Sans CJK SC"/>
            <w:sz w:val="18"/>
            <w:color w:val="174F75"/>
          </w:rPr>
          <w:t>外部原始来源 Ultralytics官方姿态文档 框与姿态指标分开报告</w:t>
        </w:r>
      </w:hyperlink>
    </w:p>
    <w:p>
      <w:r>
        <w:rPr>
          <w:rFonts w:ascii="Arial" w:hAnsi="Arial" w:eastAsia="Noto Sans CJK SC"/>
          <w:b w:val="0"/>
          <w:color w:val="000000"/>
          <w:sz w:val="18"/>
        </w:rPr>
        <w:t>资料冲突处理：训练与产品状态优先采用实际代码、权重和结果文件；旧README仅作历史架构参考。任何更高的短片指标都不用于替代跨场馆、跨运动员的独立验证。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000000"/>
        <w:sz w:val="16"/>
      </w:rPr>
      <w:t xml:space="preserve">2026年10月14日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Noto Sans CJK SC"/>
        <w:color w:val="000000"/>
        <w:sz w:val="16"/>
      </w:rPr>
      <w:t>智泳云枢  |  中国国际大学生创新大赛 2026  |  高教主赛道创意组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/Users/tuian/Library/Containers/com.tencent.xinWeChat/Data/Documents/xwechat_files/wxid_p0zfwmnw69u022_8e32/temp/drag/&#39033;&#30446;&#21019;&#26032;.pptx" TargetMode="External"/><Relationship Id="rId12" Type="http://schemas.openxmlformats.org/officeDocument/2006/relationships/hyperlink" Target="/Volumes/Elements/&#39033;&#30446;/&#25252;&#33136;/&#22269;&#21019;&#36187;&#24066;&#36187;/&#20013;&#22269;&#22269;&#38469;&#22823;&#23398;&#29983;&#21019;&#26032;&#22823;&#36187;&#65288;2026&#65289;&#35780;&#23457;&#35268;&#21017;(1).pdf" TargetMode="External"/><Relationship Id="rId13" Type="http://schemas.openxmlformats.org/officeDocument/2006/relationships/hyperlink" Target="/Users/tuian/Documents/&#22823;&#23398;/&#31454;&#36187;/&#22823;&#21019;/&#28216;&#27891;/swim/model_service/app/runtime.py" TargetMode="External"/><Relationship Id="rId14" Type="http://schemas.openxmlformats.org/officeDocument/2006/relationships/hyperlink" Target="/Users/tuian/Documents/&#22823;&#23398;/&#31454;&#36187;/&#22823;&#21019;/&#28216;&#27891;/swim/backend/app/services/analysis_pipelines/annotation_kinematics.py" TargetMode="External"/><Relationship Id="rId15" Type="http://schemas.openxmlformats.org/officeDocument/2006/relationships/hyperlink" Target="/Users/tuian/Documents/&#22823;&#23398;/&#31454;&#36187;/&#22823;&#21019;/&#28216;&#27891;/swim/backend/app/services/metrics/kinematics/calculator.py" TargetMode="External"/><Relationship Id="rId16" Type="http://schemas.openxmlformats.org/officeDocument/2006/relationships/hyperlink" Target="/Users/tuian/Documents/&#22823;&#23398;/&#31454;&#36187;/&#22823;&#21019;/&#28216;&#27891;/swim/backend/app/services/metrics/kinematics/frame_resolver.py" TargetMode="External"/><Relationship Id="rId17" Type="http://schemas.openxmlformats.org/officeDocument/2006/relationships/hyperlink" Target="/Users/tuian/Documents/&#22823;&#23398;/&#31454;&#36187;/&#22823;&#21019;/&#28216;&#27891;/swim/backend/app/services/reporting/kinematics_report/metric_presentation.py" TargetMode="External"/><Relationship Id="rId18" Type="http://schemas.openxmlformats.org/officeDocument/2006/relationships/hyperlink" Target="/Users/tuian/Documents/&#22823;&#23398;/&#31454;&#36187;/&#22823;&#21019;/&#28216;&#27891;/swim/backend/app/services/pdf_export_service.py" TargetMode="External"/><Relationship Id="rId19" Type="http://schemas.openxmlformats.org/officeDocument/2006/relationships/hyperlink" Target="/Users/tuian/Documents/&#22823;&#23398;/&#31454;&#36187;/&#22823;&#21019;/&#28216;&#27891;/&#31227;&#21160;&#36319;&#36394;&#25216;&#26415;&#25506;&#32034;/swimpose/results/swimxyz_l1_yolo11n_pose_20260926/training_summary.json" TargetMode="External"/><Relationship Id="rId20" Type="http://schemas.openxmlformats.org/officeDocument/2006/relationships/hyperlink" Target="/Users/tuian/Documents/&#22823;&#23398;/&#31454;&#36187;/&#22823;&#21019;/&#28216;&#27891;/&#31227;&#21160;&#36319;&#36394;&#25216;&#26415;&#25506;&#32034;/swimpose/results/real_cvat_clip_20260927/README.md" TargetMode="External"/><Relationship Id="rId21" Type="http://schemas.openxmlformats.org/officeDocument/2006/relationships/hyperlink" Target="/Users/tuian/Documents/&#22823;&#23398;/&#31454;&#36187;/&#22823;&#21019;/&#28216;&#27891;/&#31227;&#21160;&#36319;&#36394;&#25216;&#26415;&#25506;&#32034;/swimpose/data/local_cvat_clip_20260927/manifest.json" TargetMode="External"/><Relationship Id="rId22" Type="http://schemas.openxmlformats.org/officeDocument/2006/relationships/hyperlink" Target="/Users/tuian/Documents/&#22823;&#23398;/&#31454;&#36187;/&#22823;&#21019;/&#28216;&#27891;/&#31227;&#21160;&#36319;&#36394;&#25216;&#26415;&#25506;&#32034;/swimpose/tools/smooth_keypoints.py" TargetMode="External"/><Relationship Id="rId23" Type="http://schemas.openxmlformats.org/officeDocument/2006/relationships/hyperlink" Target="/Users/tuian/Documents/&#22823;&#23398;/&#31454;&#36187;/&#22823;&#21019;/&#28216;&#27891;/&#31227;&#21160;&#36319;&#36394;&#25216;&#26415;&#25506;&#32034;/outputs/report/&#27891;&#32773;&#39592;&#26550;&#27169;&#22411;_&#30446;&#26631;&#23450;&#20041;&#19982;&#35780;&#27979;&#21475;&#24452;.md" TargetMode="External"/><Relationship Id="rId24" Type="http://schemas.openxmlformats.org/officeDocument/2006/relationships/hyperlink" Target="/Volumes/Elements/&#39033;&#30446;/&#28216;&#27891;/&#36319;&#36394;&#23567;&#36710;&#25506;&#32034;/data/clean_stitched/stitch_manifest.json" TargetMode="External"/><Relationship Id="rId25" Type="http://schemas.openxmlformats.org/officeDocument/2006/relationships/hyperlink" Target="/Users/tuian/Documents/&#22823;&#23398;/&#31454;&#36187;/&#22823;&#21019;/&#28216;&#27891;/swim/backend/app/services/report_interpretation/service.py" TargetMode="External"/><Relationship Id="rId26" Type="http://schemas.openxmlformats.org/officeDocument/2006/relationships/hyperlink" Target="/Users/tuian/Documents/&#22823;&#23398;/&#31454;&#36187;/&#22823;&#21019;/&#28216;&#27891;/&#31227;&#21160;&#36319;&#36394;&#25216;&#26415;&#25506;&#32034;/swimpose/results/smooth_demo/eval_new_spose.json" TargetMode="External"/><Relationship Id="rId27" Type="http://schemas.openxmlformats.org/officeDocument/2006/relationships/hyperlink" Target="https://g-fiche.github.io/research-pages/swimxyz/" TargetMode="External"/><Relationship Id="rId28" Type="http://schemas.openxmlformats.org/officeDocument/2006/relationships/hyperlink" Target="https://docs.ultralytics.com/tasks/po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游泳项目技术说明与证据清单</dc:title>
  <dc:subject>游泳项目技术内容核查与创意组答辩准备</dc:subject>
  <dc:creator>智泳云枢项目团队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